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right"/>
        <w:rPr>
          <w:rFonts w:eastAsia="仿宋" w:cs="Times New Roman"/>
          <w:b/>
          <w:bCs/>
          <w:color w:val="000000" w:themeColor="text1"/>
          <w:kern w:val="0"/>
          <w:sz w:val="28"/>
          <w:szCs w:val="28"/>
          <w14:textFill>
            <w14:solidFill>
              <w14:schemeClr w14:val="tx1"/>
            </w14:solidFill>
          </w14:textFill>
        </w:rPr>
      </w:pPr>
      <w:bookmarkStart w:id="0" w:name="_Toc71578659"/>
      <w:r>
        <w:rPr>
          <w:rFonts w:hint="eastAsia" w:eastAsia="仿宋"/>
          <w:b/>
          <w:bCs/>
          <w:color w:val="000000" w:themeColor="text1"/>
          <w:kern w:val="0"/>
          <w:sz w:val="28"/>
          <w:szCs w:val="28"/>
          <w14:textFill>
            <w14:solidFill>
              <w14:schemeClr w14:val="tx1"/>
            </w14:solidFill>
          </w14:textFill>
        </w:rPr>
        <w:t>工作资料，注意保存</w:t>
      </w:r>
    </w:p>
    <w:p>
      <w:pPr>
        <w:spacing w:line="360" w:lineRule="auto"/>
        <w:ind w:firstLine="881"/>
        <w:jc w:val="center"/>
        <w:rPr>
          <w:rFonts w:eastAsia="华文中宋" w:cs="Times New Roman"/>
          <w:b/>
          <w:color w:val="000000" w:themeColor="text1"/>
          <w:sz w:val="44"/>
          <w:szCs w:val="44"/>
          <w14:textFill>
            <w14:solidFill>
              <w14:schemeClr w14:val="tx1"/>
            </w14:solidFill>
          </w14:textFill>
        </w:rPr>
      </w:pPr>
    </w:p>
    <w:p>
      <w:pPr>
        <w:spacing w:line="360" w:lineRule="auto"/>
        <w:ind w:firstLine="881"/>
        <w:jc w:val="center"/>
        <w:rPr>
          <w:rFonts w:eastAsia="华文中宋" w:cs="Times New Roman"/>
          <w:b/>
          <w:color w:val="000000" w:themeColor="text1"/>
          <w:sz w:val="44"/>
          <w:szCs w:val="44"/>
          <w14:textFill>
            <w14:solidFill>
              <w14:schemeClr w14:val="tx1"/>
            </w14:solidFill>
          </w14:textFill>
        </w:rPr>
      </w:pPr>
    </w:p>
    <w:p>
      <w:pPr>
        <w:spacing w:line="360" w:lineRule="auto"/>
        <w:ind w:firstLine="881"/>
        <w:jc w:val="center"/>
        <w:rPr>
          <w:rFonts w:eastAsia="华文中宋" w:cs="Times New Roman"/>
          <w:b/>
          <w:color w:val="000000" w:themeColor="text1"/>
          <w:sz w:val="44"/>
          <w:szCs w:val="44"/>
          <w14:textFill>
            <w14:solidFill>
              <w14:schemeClr w14:val="tx1"/>
            </w14:solidFill>
          </w14:textFill>
        </w:rPr>
      </w:pPr>
    </w:p>
    <w:p>
      <w:pPr>
        <w:spacing w:line="360" w:lineRule="auto"/>
        <w:ind w:firstLine="881"/>
        <w:jc w:val="center"/>
        <w:rPr>
          <w:rFonts w:eastAsia="华文中宋" w:cs="Times New Roman"/>
          <w:b/>
          <w:color w:val="000000" w:themeColor="text1"/>
          <w:sz w:val="44"/>
          <w:szCs w:val="44"/>
          <w14:textFill>
            <w14:solidFill>
              <w14:schemeClr w14:val="tx1"/>
            </w14:solidFill>
          </w14:textFill>
        </w:rPr>
      </w:pPr>
    </w:p>
    <w:p>
      <w:pPr>
        <w:spacing w:line="360" w:lineRule="auto"/>
        <w:ind w:firstLine="0" w:firstLineChars="0"/>
        <w:jc w:val="center"/>
        <w:rPr>
          <w:rFonts w:hint="eastAsia" w:eastAsia="华文中宋"/>
          <w:b/>
          <w:bCs/>
          <w:color w:val="000000" w:themeColor="text1"/>
          <w:kern w:val="0"/>
          <w:sz w:val="52"/>
          <w:szCs w:val="52"/>
          <w14:textFill>
            <w14:solidFill>
              <w14:schemeClr w14:val="tx1"/>
            </w14:solidFill>
          </w14:textFill>
        </w:rPr>
      </w:pPr>
      <w:r>
        <w:rPr>
          <w:rFonts w:hint="eastAsia" w:eastAsia="华文中宋"/>
          <w:b/>
          <w:bCs/>
          <w:color w:val="000000" w:themeColor="text1"/>
          <w:kern w:val="0"/>
          <w:sz w:val="52"/>
          <w:szCs w:val="52"/>
          <w14:textFill>
            <w14:solidFill>
              <w14:schemeClr w14:val="tx1"/>
            </w14:solidFill>
          </w14:textFill>
        </w:rPr>
        <w:t>兴宁市工业发展“十四五”规划</w:t>
      </w:r>
    </w:p>
    <w:p>
      <w:pPr>
        <w:spacing w:line="360" w:lineRule="auto"/>
        <w:ind w:firstLine="0" w:firstLineChars="0"/>
        <w:jc w:val="center"/>
        <w:rPr>
          <w:rFonts w:eastAsia="楷体" w:cs="Times New Roman"/>
          <w:bCs/>
          <w:color w:val="000000" w:themeColor="text1"/>
          <w:sz w:val="28"/>
          <w:szCs w:val="28"/>
          <w14:textFill>
            <w14:solidFill>
              <w14:schemeClr w14:val="tx1"/>
            </w14:solidFill>
          </w14:textFill>
        </w:rPr>
      </w:pPr>
      <w:r>
        <w:rPr>
          <w:rFonts w:hint="eastAsia" w:eastAsia="楷体"/>
          <w:bCs/>
          <w:color w:val="000000" w:themeColor="text1"/>
          <w:kern w:val="0"/>
          <w:sz w:val="52"/>
          <w:szCs w:val="52"/>
          <w14:textFill>
            <w14:solidFill>
              <w14:schemeClr w14:val="tx1"/>
            </w14:solidFill>
          </w14:textFill>
        </w:rPr>
        <w:t>（征求意见稿）</w:t>
      </w:r>
    </w:p>
    <w:p>
      <w:pPr>
        <w:ind w:firstLine="640"/>
        <w:jc w:val="center"/>
        <w:rPr>
          <w:rFonts w:cs="宋体"/>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ind w:firstLine="640"/>
        <w:jc w:val="center"/>
        <w:rPr>
          <w:color w:val="000000" w:themeColor="text1"/>
          <w14:textFill>
            <w14:solidFill>
              <w14:schemeClr w14:val="tx1"/>
            </w14:solidFill>
          </w14:textFill>
        </w:rPr>
      </w:pPr>
    </w:p>
    <w:p>
      <w:pPr>
        <w:spacing w:line="360" w:lineRule="auto"/>
        <w:ind w:firstLine="643"/>
        <w:jc w:val="center"/>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2021</w:t>
      </w:r>
      <w:r>
        <w:rPr>
          <w:rFonts w:hint="eastAsia" w:cs="Times New Roman"/>
          <w:b/>
          <w:color w:val="000000" w:themeColor="text1"/>
          <w14:textFill>
            <w14:solidFill>
              <w14:schemeClr w14:val="tx1"/>
            </w14:solidFill>
          </w14:textFill>
        </w:rPr>
        <w:t>年</w:t>
      </w:r>
      <w:r>
        <w:rPr>
          <w:rFonts w:hint="eastAsia" w:cs="Times New Roman"/>
          <w:b/>
          <w:color w:val="000000" w:themeColor="text1"/>
          <w:lang w:val="en-US" w:eastAsia="zh-CN"/>
          <w14:textFill>
            <w14:solidFill>
              <w14:schemeClr w14:val="tx1"/>
            </w14:solidFill>
          </w14:textFill>
        </w:rPr>
        <w:t>6</w:t>
      </w:r>
      <w:r>
        <w:rPr>
          <w:rFonts w:hint="eastAsia" w:cs="Times New Roman"/>
          <w:b/>
          <w:color w:val="000000" w:themeColor="text1"/>
          <w14:textFill>
            <w14:solidFill>
              <w14:schemeClr w14:val="tx1"/>
            </w14:solidFill>
          </w14:textFill>
        </w:rPr>
        <w:t>月</w:t>
      </w:r>
    </w:p>
    <w:p>
      <w:pPr>
        <w:ind w:firstLine="640"/>
        <w:jc w:val="center"/>
        <w:rPr>
          <w:color w:val="000000" w:themeColor="text1"/>
          <w14:textFill>
            <w14:solidFill>
              <w14:schemeClr w14:val="tx1"/>
            </w14:solidFill>
          </w14:textFill>
        </w:rPr>
      </w:pPr>
    </w:p>
    <w:p>
      <w:pPr>
        <w:pStyle w:val="29"/>
        <w:jc w:val="center"/>
        <w:rPr>
          <w:rFonts w:ascii="Times New Roman" w:hAnsi="Times New Roman" w:eastAsia="黑体" w:cs="Times New Roman"/>
          <w:color w:val="000000" w:themeColor="text1"/>
          <w:kern w:val="2"/>
          <w:sz w:val="36"/>
          <w:szCs w:val="36"/>
          <w14:textFill>
            <w14:solidFill>
              <w14:schemeClr w14:val="tx1"/>
            </w14:solidFill>
          </w14:textFill>
        </w:rPr>
      </w:pPr>
      <w:r>
        <w:rPr>
          <w:rFonts w:hint="eastAsia" w:ascii="Times New Roman" w:hAnsi="Times New Roman" w:eastAsia="黑体" w:cs="Times New Roman"/>
          <w:color w:val="000000" w:themeColor="text1"/>
          <w:kern w:val="2"/>
          <w:sz w:val="36"/>
          <w:szCs w:val="36"/>
          <w14:textFill>
            <w14:solidFill>
              <w14:schemeClr w14:val="tx1"/>
            </w14:solidFill>
          </w14:textFill>
        </w:rPr>
        <w:t>目</w:t>
      </w:r>
      <w:r>
        <w:rPr>
          <w:rFonts w:ascii="Times New Roman" w:hAnsi="Times New Roman" w:eastAsia="黑体" w:cs="Times New Roman"/>
          <w:color w:val="000000" w:themeColor="text1"/>
          <w:kern w:val="2"/>
          <w:sz w:val="36"/>
          <w:szCs w:val="36"/>
          <w14:textFill>
            <w14:solidFill>
              <w14:schemeClr w14:val="tx1"/>
            </w14:solidFill>
          </w14:textFill>
        </w:rPr>
        <w:t xml:space="preserve"> </w:t>
      </w:r>
      <w:r>
        <w:rPr>
          <w:rFonts w:hint="eastAsia" w:ascii="Times New Roman" w:hAnsi="Times New Roman" w:eastAsia="黑体" w:cs="Times New Roman"/>
          <w:color w:val="000000" w:themeColor="text1"/>
          <w:kern w:val="2"/>
          <w:sz w:val="36"/>
          <w:szCs w:val="36"/>
          <w14:textFill>
            <w14:solidFill>
              <w14:schemeClr w14:val="tx1"/>
            </w14:solidFill>
          </w14:textFill>
        </w:rPr>
        <w:t>录</w:t>
      </w:r>
    </w:p>
    <w:p>
      <w:pPr>
        <w:spacing w:before="0" w:beforeLines="0" w:after="0" w:afterLines="0" w:line="240" w:lineRule="auto"/>
        <w:ind w:left="0" w:leftChars="0" w:right="0" w:rightChars="0" w:firstLine="0" w:firstLineChars="0"/>
        <w:jc w:val="center"/>
        <w:rPr>
          <w:sz w:val="24"/>
          <w:szCs w:val="24"/>
        </w:rPr>
      </w:pPr>
    </w:p>
    <w:p>
      <w:pPr>
        <w:pStyle w:val="10"/>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 w:val="28"/>
          <w:szCs w:val="28"/>
        </w:rPr>
        <w:fldChar w:fldCharType="begin"/>
      </w:r>
      <w:r>
        <w:rPr>
          <w:sz w:val="28"/>
          <w:szCs w:val="28"/>
        </w:rPr>
        <w:instrText xml:space="preserve">TOC \o "1-3" \h \u </w:instrText>
      </w:r>
      <w:r>
        <w:rPr>
          <w:sz w:val="28"/>
          <w:szCs w:val="28"/>
        </w:rPr>
        <w:fldChar w:fldCharType="separate"/>
      </w:r>
      <w:r>
        <w:rPr>
          <w:szCs w:val="28"/>
        </w:rPr>
        <w:fldChar w:fldCharType="begin"/>
      </w:r>
      <w:r>
        <w:rPr>
          <w:szCs w:val="28"/>
        </w:rPr>
        <w:instrText xml:space="preserve"> HYPERLINK \l _Toc28530 </w:instrText>
      </w:r>
      <w:r>
        <w:rPr>
          <w:szCs w:val="28"/>
        </w:rPr>
        <w:fldChar w:fldCharType="separate"/>
      </w:r>
      <w:r>
        <w:rPr>
          <w:rFonts w:hint="eastAsia" w:eastAsia="黑体" w:cs="Times New Roman"/>
        </w:rPr>
        <w:t>一、工业发展基础与环境形势</w:t>
      </w:r>
      <w:r>
        <w:tab/>
      </w:r>
      <w:r>
        <w:fldChar w:fldCharType="begin"/>
      </w:r>
      <w:r>
        <w:instrText xml:space="preserve"> PAGEREF _Toc28530 </w:instrText>
      </w:r>
      <w:r>
        <w:fldChar w:fldCharType="separate"/>
      </w:r>
      <w:r>
        <w:t>- 1 -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_Toc23216 </w:instrText>
      </w:r>
      <w:r>
        <w:rPr>
          <w:szCs w:val="28"/>
        </w:rPr>
        <w:fldChar w:fldCharType="separate"/>
      </w:r>
      <w:r>
        <w:rPr>
          <w:rFonts w:hint="eastAsia" w:ascii="Times New Roman" w:hAnsi="Times New Roman"/>
        </w:rPr>
        <w:t>（一）发展基础</w:t>
      </w:r>
      <w:r>
        <w:tab/>
      </w:r>
      <w:r>
        <w:fldChar w:fldCharType="begin"/>
      </w:r>
      <w:r>
        <w:instrText xml:space="preserve"> PAGEREF _Toc23216 </w:instrText>
      </w:r>
      <w:r>
        <w:fldChar w:fldCharType="separate"/>
      </w:r>
      <w:r>
        <w:t>- 1 -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_Toc19159 </w:instrText>
      </w:r>
      <w:r>
        <w:rPr>
          <w:szCs w:val="28"/>
        </w:rPr>
        <w:fldChar w:fldCharType="separate"/>
      </w:r>
      <w:r>
        <w:rPr>
          <w:rFonts w:hint="eastAsia" w:ascii="Times New Roman" w:hAnsi="Times New Roman"/>
        </w:rPr>
        <w:t>（二）存在问题</w:t>
      </w:r>
      <w:r>
        <w:tab/>
      </w:r>
      <w:r>
        <w:fldChar w:fldCharType="begin"/>
      </w:r>
      <w:r>
        <w:instrText xml:space="preserve"> PAGEREF _Toc19159 </w:instrText>
      </w:r>
      <w:r>
        <w:fldChar w:fldCharType="separate"/>
      </w:r>
      <w:r>
        <w:t>- 2 -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_Toc13103 </w:instrText>
      </w:r>
      <w:r>
        <w:rPr>
          <w:szCs w:val="28"/>
        </w:rPr>
        <w:fldChar w:fldCharType="separate"/>
      </w:r>
      <w:r>
        <w:rPr>
          <w:rFonts w:hint="eastAsia" w:ascii="Times New Roman" w:hAnsi="Times New Roman"/>
        </w:rPr>
        <w:t>（三）面临的挑战和机遇</w:t>
      </w:r>
      <w:r>
        <w:tab/>
      </w:r>
      <w:r>
        <w:fldChar w:fldCharType="begin"/>
      </w:r>
      <w:r>
        <w:instrText xml:space="preserve"> PAGEREF _Toc13103 </w:instrText>
      </w:r>
      <w:r>
        <w:fldChar w:fldCharType="separate"/>
      </w:r>
      <w:r>
        <w:t>- 3 -</w:t>
      </w:r>
      <w:r>
        <w:fldChar w:fldCharType="end"/>
      </w:r>
      <w:r>
        <w:rPr>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_Toc9327 </w:instrText>
      </w:r>
      <w:r>
        <w:rPr>
          <w:szCs w:val="28"/>
        </w:rPr>
        <w:fldChar w:fldCharType="separate"/>
      </w:r>
      <w:r>
        <w:rPr>
          <w:rFonts w:hint="eastAsia" w:ascii="Times New Roman" w:hAnsi="Times New Roman" w:eastAsia="黑体" w:cs="Times New Roman"/>
        </w:rPr>
        <w:t>二、“十四五”时期工业发展指导</w:t>
      </w:r>
      <w:r>
        <w:rPr>
          <w:rFonts w:hint="eastAsia" w:ascii="Times New Roman" w:hAnsi="Times New Roman" w:eastAsia="黑体" w:cs="Times New Roman"/>
          <w:lang w:val="en-US" w:eastAsia="zh-CN"/>
        </w:rPr>
        <w:t>思想</w:t>
      </w:r>
      <w:r>
        <w:rPr>
          <w:rFonts w:hint="eastAsia" w:ascii="Times New Roman" w:hAnsi="Times New Roman" w:eastAsia="黑体" w:cs="Times New Roman"/>
        </w:rPr>
        <w:t>和主要目标</w:t>
      </w:r>
      <w:r>
        <w:tab/>
      </w:r>
      <w:r>
        <w:fldChar w:fldCharType="begin"/>
      </w:r>
      <w:r>
        <w:instrText xml:space="preserve"> PAGEREF _Toc9327 </w:instrText>
      </w:r>
      <w:r>
        <w:fldChar w:fldCharType="separate"/>
      </w:r>
      <w:r>
        <w:t>- 7 -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_Toc5065 </w:instrText>
      </w:r>
      <w:r>
        <w:rPr>
          <w:szCs w:val="28"/>
        </w:rPr>
        <w:fldChar w:fldCharType="separate"/>
      </w:r>
      <w:r>
        <w:rPr>
          <w:rFonts w:hint="eastAsia" w:ascii="Times New Roman" w:hAnsi="Times New Roman"/>
        </w:rPr>
        <w:t>（一）指导思想</w:t>
      </w:r>
      <w:r>
        <w:tab/>
      </w:r>
      <w:r>
        <w:fldChar w:fldCharType="begin"/>
      </w:r>
      <w:r>
        <w:instrText xml:space="preserve"> PAGEREF _Toc5065 </w:instrText>
      </w:r>
      <w:r>
        <w:fldChar w:fldCharType="separate"/>
      </w:r>
      <w:r>
        <w:t>- 7 -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_Toc30367 </w:instrText>
      </w:r>
      <w:r>
        <w:rPr>
          <w:szCs w:val="28"/>
        </w:rPr>
        <w:fldChar w:fldCharType="separate"/>
      </w:r>
      <w:r>
        <w:rPr>
          <w:rFonts w:hint="eastAsia" w:ascii="Times New Roman" w:hAnsi="Times New Roman"/>
        </w:rPr>
        <w:t>（二）基本原则</w:t>
      </w:r>
      <w:r>
        <w:tab/>
      </w:r>
      <w:r>
        <w:fldChar w:fldCharType="begin"/>
      </w:r>
      <w:r>
        <w:instrText xml:space="preserve"> PAGEREF _Toc30367 </w:instrText>
      </w:r>
      <w:r>
        <w:fldChar w:fldCharType="separate"/>
      </w:r>
      <w:r>
        <w:t>- 7 -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_Toc3291 </w:instrText>
      </w:r>
      <w:r>
        <w:rPr>
          <w:szCs w:val="28"/>
        </w:rPr>
        <w:fldChar w:fldCharType="separate"/>
      </w:r>
      <w:r>
        <w:rPr>
          <w:rFonts w:hint="eastAsia" w:ascii="Times New Roman" w:hAnsi="Times New Roman"/>
        </w:rPr>
        <w:t>（三）发展定位</w:t>
      </w:r>
      <w:r>
        <w:tab/>
      </w:r>
      <w:r>
        <w:fldChar w:fldCharType="begin"/>
      </w:r>
      <w:r>
        <w:instrText xml:space="preserve"> PAGEREF _Toc3291 </w:instrText>
      </w:r>
      <w:r>
        <w:fldChar w:fldCharType="separate"/>
      </w:r>
      <w:r>
        <w:t>- 8 -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_Toc22938 </w:instrText>
      </w:r>
      <w:r>
        <w:rPr>
          <w:szCs w:val="28"/>
        </w:rPr>
        <w:fldChar w:fldCharType="separate"/>
      </w:r>
      <w:r>
        <w:rPr>
          <w:rFonts w:hint="eastAsia"/>
        </w:rPr>
        <w:t>（四）发展目标</w:t>
      </w:r>
      <w:r>
        <w:tab/>
      </w:r>
      <w:r>
        <w:fldChar w:fldCharType="begin"/>
      </w:r>
      <w:r>
        <w:instrText xml:space="preserve"> PAGEREF _Toc22938 </w:instrText>
      </w:r>
      <w:r>
        <w:fldChar w:fldCharType="separate"/>
      </w:r>
      <w:r>
        <w:t>- 9 -</w:t>
      </w:r>
      <w:r>
        <w:fldChar w:fldCharType="end"/>
      </w:r>
      <w:r>
        <w:rPr>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_Toc8694 </w:instrText>
      </w:r>
      <w:r>
        <w:rPr>
          <w:szCs w:val="28"/>
        </w:rPr>
        <w:fldChar w:fldCharType="separate"/>
      </w:r>
      <w:r>
        <w:rPr>
          <w:rFonts w:hint="eastAsia" w:ascii="Times New Roman" w:hAnsi="Times New Roman" w:eastAsia="黑体" w:cs="Times New Roman"/>
        </w:rPr>
        <w:t>三、主要任务</w:t>
      </w:r>
      <w:r>
        <w:tab/>
      </w:r>
      <w:r>
        <w:fldChar w:fldCharType="begin"/>
      </w:r>
      <w:r>
        <w:instrText xml:space="preserve"> PAGEREF _Toc8694 </w:instrText>
      </w:r>
      <w:r>
        <w:fldChar w:fldCharType="separate"/>
      </w:r>
      <w:r>
        <w:t>- 11 -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_Toc26184 </w:instrText>
      </w:r>
      <w:r>
        <w:rPr>
          <w:szCs w:val="28"/>
        </w:rPr>
        <w:fldChar w:fldCharType="separate"/>
      </w:r>
      <w:r>
        <w:rPr>
          <w:rFonts w:hint="eastAsia" w:ascii="Times New Roman" w:hAnsi="Times New Roman"/>
          <w:lang w:eastAsia="zh-CN"/>
        </w:rPr>
        <w:t>（</w:t>
      </w:r>
      <w:r>
        <w:rPr>
          <w:rFonts w:hint="eastAsia" w:ascii="Times New Roman" w:hAnsi="Times New Roman"/>
          <w:lang w:val="en-US" w:eastAsia="zh-CN"/>
        </w:rPr>
        <w:t>一</w:t>
      </w:r>
      <w:r>
        <w:rPr>
          <w:rFonts w:hint="eastAsia" w:ascii="Times New Roman" w:hAnsi="Times New Roman"/>
          <w:lang w:eastAsia="zh-CN"/>
        </w:rPr>
        <w:t>）</w:t>
      </w:r>
      <w:r>
        <w:rPr>
          <w:rFonts w:hint="eastAsia"/>
        </w:rPr>
        <w:t>构建兴宁市“1231”工业发展新体系</w:t>
      </w:r>
      <w:r>
        <w:tab/>
      </w:r>
      <w:r>
        <w:fldChar w:fldCharType="begin"/>
      </w:r>
      <w:r>
        <w:instrText xml:space="preserve"> PAGEREF _Toc26184 </w:instrText>
      </w:r>
      <w:r>
        <w:fldChar w:fldCharType="separate"/>
      </w:r>
      <w:r>
        <w:t>- 11 -</w:t>
      </w:r>
      <w:r>
        <w:fldChar w:fldCharType="end"/>
      </w:r>
      <w:r>
        <w:rPr>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_Toc1423 </w:instrText>
      </w:r>
      <w:r>
        <w:rPr>
          <w:szCs w:val="28"/>
        </w:rPr>
        <w:fldChar w:fldCharType="separate"/>
      </w:r>
      <w:r>
        <w:rPr>
          <w:rFonts w:hint="eastAsia"/>
          <w:bCs/>
          <w:lang w:val="en-US" w:eastAsia="zh-CN"/>
        </w:rPr>
        <w:t>1.</w:t>
      </w:r>
      <w:r>
        <w:rPr>
          <w:rFonts w:hint="eastAsia"/>
          <w:bCs/>
        </w:rPr>
        <w:t>做大做强</w:t>
      </w:r>
      <w:r>
        <w:rPr>
          <w:rFonts w:hint="eastAsia"/>
          <w:bCs/>
          <w:lang w:val="en-US" w:eastAsia="zh-CN"/>
        </w:rPr>
        <w:t>一个</w:t>
      </w:r>
      <w:r>
        <w:rPr>
          <w:rFonts w:hint="eastAsia"/>
          <w:bCs/>
        </w:rPr>
        <w:t>主导产业</w:t>
      </w:r>
      <w:r>
        <w:tab/>
      </w:r>
      <w:r>
        <w:fldChar w:fldCharType="begin"/>
      </w:r>
      <w:r>
        <w:instrText xml:space="preserve"> PAGEREF _Toc1423 </w:instrText>
      </w:r>
      <w:r>
        <w:fldChar w:fldCharType="separate"/>
      </w:r>
      <w:r>
        <w:t>- 11 -</w:t>
      </w:r>
      <w:r>
        <w:fldChar w:fldCharType="end"/>
      </w:r>
      <w:r>
        <w:rPr>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_Toc21941 </w:instrText>
      </w:r>
      <w:r>
        <w:rPr>
          <w:szCs w:val="28"/>
        </w:rPr>
        <w:fldChar w:fldCharType="separate"/>
      </w:r>
      <w:r>
        <w:rPr>
          <w:rFonts w:hint="eastAsia"/>
          <w:bCs w:val="0"/>
        </w:rPr>
        <w:t>2.做精做优</w:t>
      </w:r>
      <w:r>
        <w:rPr>
          <w:rFonts w:hint="eastAsia"/>
          <w:bCs w:val="0"/>
          <w:lang w:val="en-US" w:eastAsia="zh-CN"/>
        </w:rPr>
        <w:t>二个</w:t>
      </w:r>
      <w:r>
        <w:rPr>
          <w:rFonts w:hint="eastAsia"/>
          <w:bCs w:val="0"/>
        </w:rPr>
        <w:t>特色产业</w:t>
      </w:r>
      <w:r>
        <w:tab/>
      </w:r>
      <w:r>
        <w:fldChar w:fldCharType="begin"/>
      </w:r>
      <w:r>
        <w:instrText xml:space="preserve"> PAGEREF _Toc21941 </w:instrText>
      </w:r>
      <w:r>
        <w:fldChar w:fldCharType="separate"/>
      </w:r>
      <w:r>
        <w:t>- 13 -</w:t>
      </w:r>
      <w:r>
        <w:fldChar w:fldCharType="end"/>
      </w:r>
      <w:r>
        <w:rPr>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_Toc17222 </w:instrText>
      </w:r>
      <w:r>
        <w:rPr>
          <w:szCs w:val="28"/>
        </w:rPr>
        <w:fldChar w:fldCharType="separate"/>
      </w:r>
      <w:r>
        <w:rPr>
          <w:rFonts w:hint="eastAsia"/>
          <w:bCs/>
        </w:rPr>
        <w:t>3.培育壮大</w:t>
      </w:r>
      <w:r>
        <w:rPr>
          <w:rFonts w:hint="eastAsia"/>
          <w:bCs/>
          <w:lang w:val="en-US" w:eastAsia="zh-CN"/>
        </w:rPr>
        <w:t>三个</w:t>
      </w:r>
      <w:r>
        <w:rPr>
          <w:rFonts w:hint="eastAsia"/>
          <w:bCs/>
        </w:rPr>
        <w:t>新兴产业</w:t>
      </w:r>
      <w:r>
        <w:tab/>
      </w:r>
      <w:r>
        <w:fldChar w:fldCharType="begin"/>
      </w:r>
      <w:r>
        <w:instrText xml:space="preserve"> PAGEREF _Toc17222 </w:instrText>
      </w:r>
      <w:r>
        <w:fldChar w:fldCharType="separate"/>
      </w:r>
      <w:r>
        <w:t>- 16 -</w:t>
      </w:r>
      <w:r>
        <w:fldChar w:fldCharType="end"/>
      </w:r>
      <w:r>
        <w:rPr>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_Toc26805 </w:instrText>
      </w:r>
      <w:r>
        <w:rPr>
          <w:szCs w:val="28"/>
        </w:rPr>
        <w:fldChar w:fldCharType="separate"/>
      </w:r>
      <w:r>
        <w:rPr>
          <w:rFonts w:hint="eastAsia"/>
          <w:bCs/>
          <w:lang w:val="en-US" w:eastAsia="zh-CN"/>
        </w:rPr>
        <w:t>4.做大做实一个产业</w:t>
      </w:r>
      <w:r>
        <w:rPr>
          <w:rFonts w:hint="eastAsia" w:cs="仿宋"/>
          <w:bCs/>
        </w:rPr>
        <w:t>振兴</w:t>
      </w:r>
      <w:r>
        <w:rPr>
          <w:rFonts w:hint="eastAsia" w:cs="仿宋"/>
          <w:bCs/>
          <w:lang w:val="en-US" w:eastAsia="zh-CN"/>
        </w:rPr>
        <w:t>主</w:t>
      </w:r>
      <w:r>
        <w:rPr>
          <w:rFonts w:hint="eastAsia" w:cs="仿宋"/>
          <w:bCs/>
        </w:rPr>
        <w:t>平台</w:t>
      </w:r>
      <w:r>
        <w:tab/>
      </w:r>
      <w:r>
        <w:fldChar w:fldCharType="begin"/>
      </w:r>
      <w:r>
        <w:instrText xml:space="preserve"> PAGEREF _Toc26805 </w:instrText>
      </w:r>
      <w:r>
        <w:fldChar w:fldCharType="separate"/>
      </w:r>
      <w:r>
        <w:t>- 21 -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_Toc21872 </w:instrText>
      </w:r>
      <w:r>
        <w:rPr>
          <w:szCs w:val="28"/>
        </w:rPr>
        <w:fldChar w:fldCharType="separate"/>
      </w:r>
      <w:r>
        <w:rPr>
          <w:rFonts w:hint="eastAsia" w:ascii="Times New Roman" w:hAnsi="Times New Roman"/>
        </w:rPr>
        <w:t>（</w:t>
      </w:r>
      <w:r>
        <w:rPr>
          <w:rFonts w:hint="eastAsia" w:ascii="Times New Roman" w:hAnsi="Times New Roman"/>
          <w:lang w:val="en-US" w:eastAsia="zh-CN"/>
        </w:rPr>
        <w:t>二</w:t>
      </w:r>
      <w:r>
        <w:rPr>
          <w:rFonts w:hint="eastAsia" w:ascii="Times New Roman" w:hAnsi="Times New Roman"/>
        </w:rPr>
        <w:t>）完善工业创新体系</w:t>
      </w:r>
      <w:r>
        <w:tab/>
      </w:r>
      <w:r>
        <w:fldChar w:fldCharType="begin"/>
      </w:r>
      <w:r>
        <w:instrText xml:space="preserve"> PAGEREF _Toc21872 </w:instrText>
      </w:r>
      <w:r>
        <w:fldChar w:fldCharType="separate"/>
      </w:r>
      <w:r>
        <w:t>- 25 -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_Toc16858 </w:instrText>
      </w:r>
      <w:r>
        <w:rPr>
          <w:szCs w:val="28"/>
        </w:rPr>
        <w:fldChar w:fldCharType="separate"/>
      </w:r>
      <w:r>
        <w:rPr>
          <w:rFonts w:hint="eastAsia" w:ascii="Times New Roman" w:hAnsi="Times New Roman"/>
        </w:rPr>
        <w:t>（</w:t>
      </w:r>
      <w:r>
        <w:rPr>
          <w:rFonts w:hint="eastAsia" w:ascii="Times New Roman" w:hAnsi="Times New Roman"/>
          <w:lang w:val="en-US" w:eastAsia="zh-CN"/>
        </w:rPr>
        <w:t>三</w:t>
      </w:r>
      <w:r>
        <w:rPr>
          <w:rFonts w:hint="eastAsia" w:ascii="Times New Roman" w:hAnsi="Times New Roman"/>
        </w:rPr>
        <w:t>）提升招商引资水平</w:t>
      </w:r>
      <w:r>
        <w:tab/>
      </w:r>
      <w:r>
        <w:fldChar w:fldCharType="begin"/>
      </w:r>
      <w:r>
        <w:instrText xml:space="preserve"> PAGEREF _Toc16858 </w:instrText>
      </w:r>
      <w:r>
        <w:fldChar w:fldCharType="separate"/>
      </w:r>
      <w:r>
        <w:t>- 26 -</w:t>
      </w:r>
      <w:r>
        <w:fldChar w:fldCharType="end"/>
      </w:r>
      <w:r>
        <w:rPr>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_Toc18362 </w:instrText>
      </w:r>
      <w:r>
        <w:rPr>
          <w:szCs w:val="28"/>
        </w:rPr>
        <w:fldChar w:fldCharType="separate"/>
      </w:r>
      <w:r>
        <w:rPr>
          <w:rFonts w:hint="eastAsia" w:ascii="Times New Roman" w:hAnsi="Times New Roman" w:eastAsia="黑体" w:cs="Times New Roman"/>
        </w:rPr>
        <w:t>四、保障措施</w:t>
      </w:r>
      <w:r>
        <w:tab/>
      </w:r>
      <w:r>
        <w:fldChar w:fldCharType="begin"/>
      </w:r>
      <w:r>
        <w:instrText xml:space="preserve"> PAGEREF _Toc18362 </w:instrText>
      </w:r>
      <w:r>
        <w:fldChar w:fldCharType="separate"/>
      </w:r>
      <w:r>
        <w:t>- 27 -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_Toc27636 </w:instrText>
      </w:r>
      <w:r>
        <w:rPr>
          <w:szCs w:val="28"/>
        </w:rPr>
        <w:fldChar w:fldCharType="separate"/>
      </w:r>
      <w:r>
        <w:rPr>
          <w:rFonts w:ascii="Times New Roman" w:hAnsi="Times New Roman"/>
          <w:highlight w:val="none"/>
        </w:rPr>
        <w:t>（一）</w:t>
      </w:r>
      <w:r>
        <w:rPr>
          <w:rFonts w:hint="eastAsia" w:ascii="Times New Roman" w:hAnsi="Times New Roman"/>
          <w:highlight w:val="none"/>
        </w:rPr>
        <w:t>切实加强组织领导</w:t>
      </w:r>
      <w:r>
        <w:tab/>
      </w:r>
      <w:r>
        <w:fldChar w:fldCharType="begin"/>
      </w:r>
      <w:r>
        <w:instrText xml:space="preserve"> PAGEREF _Toc27636 </w:instrText>
      </w:r>
      <w:r>
        <w:fldChar w:fldCharType="separate"/>
      </w:r>
      <w:r>
        <w:t>- 27 -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_Toc22563 </w:instrText>
      </w:r>
      <w:r>
        <w:rPr>
          <w:szCs w:val="28"/>
        </w:rPr>
        <w:fldChar w:fldCharType="separate"/>
      </w:r>
      <w:r>
        <w:rPr>
          <w:rFonts w:hint="eastAsia" w:ascii="Times New Roman" w:hAnsi="Times New Roman"/>
        </w:rPr>
        <w:t>（二）完善资源要素保障</w:t>
      </w:r>
      <w:r>
        <w:tab/>
      </w:r>
      <w:r>
        <w:fldChar w:fldCharType="begin"/>
      </w:r>
      <w:r>
        <w:instrText xml:space="preserve"> PAGEREF _Toc22563 </w:instrText>
      </w:r>
      <w:r>
        <w:fldChar w:fldCharType="separate"/>
      </w:r>
      <w:r>
        <w:t>- 28 -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_Toc22961 </w:instrText>
      </w:r>
      <w:r>
        <w:rPr>
          <w:szCs w:val="28"/>
        </w:rPr>
        <w:fldChar w:fldCharType="separate"/>
      </w:r>
      <w:r>
        <w:rPr>
          <w:rFonts w:hint="eastAsia" w:ascii="Times New Roman" w:hAnsi="Times New Roman"/>
        </w:rPr>
        <w:t>（三）优化改善营商环境</w:t>
      </w:r>
      <w:r>
        <w:tab/>
      </w:r>
      <w:r>
        <w:fldChar w:fldCharType="begin"/>
      </w:r>
      <w:r>
        <w:instrText xml:space="preserve"> PAGEREF _Toc22961 </w:instrText>
      </w:r>
      <w:r>
        <w:fldChar w:fldCharType="separate"/>
      </w:r>
      <w:r>
        <w:t>- 29 -</w:t>
      </w:r>
      <w:r>
        <w:fldChar w:fldCharType="end"/>
      </w:r>
      <w:r>
        <w:rPr>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20" w:lineRule="exact"/>
        <w:textAlignment w:val="auto"/>
      </w:pPr>
      <w:r>
        <w:rPr>
          <w:szCs w:val="28"/>
        </w:rPr>
        <w:fldChar w:fldCharType="begin"/>
      </w:r>
      <w:r>
        <w:rPr>
          <w:szCs w:val="28"/>
        </w:rPr>
        <w:instrText xml:space="preserve"> HYPERLINK \l _Toc20647 </w:instrText>
      </w:r>
      <w:r>
        <w:rPr>
          <w:szCs w:val="28"/>
        </w:rPr>
        <w:fldChar w:fldCharType="separate"/>
      </w:r>
      <w:r>
        <w:rPr>
          <w:rFonts w:hint="eastAsia" w:ascii="Times New Roman" w:hAnsi="Times New Roman"/>
        </w:rPr>
        <w:t>（四）</w:t>
      </w:r>
      <w:r>
        <w:rPr>
          <w:rFonts w:hint="eastAsia" w:ascii="Times New Roman" w:hAnsi="Times New Roman"/>
          <w:lang w:val="en-US" w:eastAsia="zh-CN"/>
        </w:rPr>
        <w:t>加强督导考评力度</w:t>
      </w:r>
      <w:r>
        <w:tab/>
      </w:r>
      <w:r>
        <w:fldChar w:fldCharType="begin"/>
      </w:r>
      <w:r>
        <w:instrText xml:space="preserve"> PAGEREF _Toc20647 </w:instrText>
      </w:r>
      <w:r>
        <w:fldChar w:fldCharType="separate"/>
      </w:r>
      <w:r>
        <w:t>- 30 -</w:t>
      </w:r>
      <w:r>
        <w:fldChar w:fldCharType="end"/>
      </w:r>
      <w:r>
        <w:rPr>
          <w:szCs w:val="28"/>
        </w:rPr>
        <w:fldChar w:fldCharType="end"/>
      </w:r>
    </w:p>
    <w:p>
      <w:pPr>
        <w:pStyle w:val="10"/>
        <w:tabs>
          <w:tab w:val="right" w:leader="dot" w:pos="8296"/>
        </w:tabs>
        <w:spacing w:line="520" w:lineRule="exact"/>
        <w:ind w:firstLine="0" w:firstLineChars="0"/>
      </w:pPr>
      <w:r>
        <w:rPr>
          <w:szCs w:val="28"/>
        </w:rPr>
        <w:fldChar w:fldCharType="end"/>
      </w:r>
    </w:p>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435" w:charSpace="0"/>
        </w:sectPr>
      </w:pPr>
    </w:p>
    <w:bookmarkEnd w:id="0"/>
    <w:p>
      <w:pPr>
        <w:ind w:firstLine="640"/>
        <w:outlineLvl w:val="0"/>
      </w:pPr>
      <w:bookmarkStart w:id="1" w:name="_Toc28530"/>
      <w:r>
        <w:rPr>
          <w:rFonts w:hint="eastAsia" w:eastAsia="黑体" w:cs="Times New Roman"/>
          <w:b/>
          <w:color w:val="000000" w:themeColor="text1"/>
          <w14:textFill>
            <w14:solidFill>
              <w14:schemeClr w14:val="tx1"/>
            </w14:solidFill>
          </w14:textFill>
        </w:rPr>
        <w:t>一、工业发展基础与环境形势</w:t>
      </w:r>
      <w:bookmarkEnd w:id="1"/>
    </w:p>
    <w:p>
      <w:pPr>
        <w:pStyle w:val="3"/>
        <w:rPr>
          <w:rFonts w:ascii="Times New Roman" w:hAnsi="Times New Roman"/>
          <w:color w:val="000000" w:themeColor="text1"/>
          <w14:textFill>
            <w14:solidFill>
              <w14:schemeClr w14:val="tx1"/>
            </w14:solidFill>
          </w14:textFill>
        </w:rPr>
      </w:pPr>
      <w:bookmarkStart w:id="2" w:name="_Toc56082139"/>
      <w:bookmarkStart w:id="3" w:name="_Toc23216"/>
      <w:bookmarkStart w:id="4" w:name="_Toc71578660"/>
      <w:bookmarkStart w:id="5" w:name="_Toc71906663"/>
      <w:r>
        <w:rPr>
          <w:rFonts w:hint="eastAsia" w:ascii="Times New Roman" w:hAnsi="Times New Roman"/>
          <w:color w:val="000000" w:themeColor="text1"/>
          <w14:textFill>
            <w14:solidFill>
              <w14:schemeClr w14:val="tx1"/>
            </w14:solidFill>
          </w14:textFill>
        </w:rPr>
        <w:t>（一）</w:t>
      </w:r>
      <w:bookmarkEnd w:id="2"/>
      <w:r>
        <w:rPr>
          <w:rFonts w:hint="eastAsia" w:ascii="Times New Roman" w:hAnsi="Times New Roman"/>
          <w:color w:val="000000" w:themeColor="text1"/>
          <w14:textFill>
            <w14:solidFill>
              <w14:schemeClr w14:val="tx1"/>
            </w14:solidFill>
          </w14:textFill>
        </w:rPr>
        <w:t>发展基础</w:t>
      </w:r>
      <w:bookmarkEnd w:id="3"/>
      <w:bookmarkEnd w:id="4"/>
      <w:bookmarkEnd w:id="5"/>
    </w:p>
    <w:p>
      <w:pPr>
        <w:ind w:firstLine="643"/>
        <w:rPr>
          <w:rFonts w:cs="Times New Roman"/>
        </w:rPr>
      </w:pPr>
      <w:r>
        <w:rPr>
          <w:rFonts w:hint="eastAsia" w:cs="Times New Roman"/>
          <w:b/>
          <w:bCs/>
        </w:rPr>
        <w:t>——</w:t>
      </w:r>
      <w:r>
        <w:rPr>
          <w:rFonts w:cs="Times New Roman"/>
          <w:b/>
          <w:bCs/>
        </w:rPr>
        <w:t>工业经济发展平稳。</w:t>
      </w:r>
      <w:r>
        <w:rPr>
          <w:rFonts w:hint="eastAsia" w:cs="Times New Roman"/>
          <w:color w:val="000000" w:themeColor="text1"/>
          <w14:textFill>
            <w14:solidFill>
              <w14:schemeClr w14:val="tx1"/>
            </w14:solidFill>
          </w14:textFill>
        </w:rPr>
        <w:t>“十三五”期间，全市工业规模发展态势总体平稳，规上</w:t>
      </w:r>
      <w:r>
        <w:rPr>
          <w:rFonts w:cs="Times New Roman"/>
          <w:color w:val="000000" w:themeColor="text1"/>
          <w14:textFill>
            <w14:solidFill>
              <w14:schemeClr w14:val="tx1"/>
            </w14:solidFill>
          </w14:textFill>
        </w:rPr>
        <w:t>工业总产值</w:t>
      </w:r>
      <w:r>
        <w:rPr>
          <w:rFonts w:hint="eastAsia" w:cs="Times New Roman"/>
          <w:color w:val="000000" w:themeColor="text1"/>
          <w14:textFill>
            <w14:solidFill>
              <w14:schemeClr w14:val="tx1"/>
            </w14:solidFill>
          </w14:textFill>
        </w:rPr>
        <w:t>由2</w:t>
      </w:r>
      <w:r>
        <w:rPr>
          <w:rFonts w:cs="Times New Roman"/>
          <w:color w:val="000000" w:themeColor="text1"/>
          <w14:textFill>
            <w14:solidFill>
              <w14:schemeClr w14:val="tx1"/>
            </w14:solidFill>
          </w14:textFill>
        </w:rPr>
        <w:t>016</w:t>
      </w:r>
      <w:r>
        <w:rPr>
          <w:rFonts w:hint="eastAsia" w:cs="Times New Roman"/>
          <w:color w:val="000000" w:themeColor="text1"/>
          <w14:textFill>
            <w14:solidFill>
              <w14:schemeClr w14:val="tx1"/>
            </w14:solidFill>
          </w14:textFill>
        </w:rPr>
        <w:t>年的4</w:t>
      </w:r>
      <w:r>
        <w:rPr>
          <w:rFonts w:cs="Times New Roman"/>
          <w:color w:val="000000" w:themeColor="text1"/>
          <w14:textFill>
            <w14:solidFill>
              <w14:schemeClr w14:val="tx1"/>
            </w14:solidFill>
          </w14:textFill>
        </w:rPr>
        <w:t>9</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04</w:t>
      </w:r>
      <w:r>
        <w:rPr>
          <w:rFonts w:hint="eastAsia" w:cs="Times New Roman"/>
          <w:color w:val="000000" w:themeColor="text1"/>
          <w14:textFill>
            <w14:solidFill>
              <w14:schemeClr w14:val="tx1"/>
            </w14:solidFill>
          </w14:textFill>
        </w:rPr>
        <w:t>亿元增至2</w:t>
      </w:r>
      <w:r>
        <w:rPr>
          <w:rFonts w:cs="Times New Roman"/>
          <w:color w:val="000000" w:themeColor="text1"/>
          <w14:textFill>
            <w14:solidFill>
              <w14:schemeClr w14:val="tx1"/>
            </w14:solidFill>
          </w14:textFill>
        </w:rPr>
        <w:t>020</w:t>
      </w:r>
      <w:r>
        <w:rPr>
          <w:rFonts w:hint="eastAsia" w:cs="Times New Roman"/>
          <w:color w:val="000000" w:themeColor="text1"/>
          <w14:textFill>
            <w14:solidFill>
              <w14:schemeClr w14:val="tx1"/>
            </w14:solidFill>
          </w14:textFill>
        </w:rPr>
        <w:t>年的51.15</w:t>
      </w:r>
      <w:r>
        <w:rPr>
          <w:rFonts w:cs="Times New Roman"/>
          <w:color w:val="000000" w:themeColor="text1"/>
          <w14:textFill>
            <w14:solidFill>
              <w14:schemeClr w14:val="tx1"/>
            </w14:solidFill>
          </w14:textFill>
        </w:rPr>
        <w:t>亿元，</w:t>
      </w:r>
      <w:r>
        <w:rPr>
          <w:rFonts w:hint="eastAsia" w:cs="Times New Roman"/>
          <w:color w:val="000000" w:themeColor="text1"/>
          <w14:textFill>
            <w14:solidFill>
              <w14:schemeClr w14:val="tx1"/>
            </w14:solidFill>
          </w14:textFill>
        </w:rPr>
        <w:t>实现全年规上工业增加值</w:t>
      </w:r>
      <w:r>
        <w:rPr>
          <w:rFonts w:cs="Times New Roman"/>
          <w:color w:val="000000" w:themeColor="text1"/>
          <w14:textFill>
            <w14:solidFill>
              <w14:schemeClr w14:val="tx1"/>
            </w14:solidFill>
          </w14:textFill>
        </w:rPr>
        <w:t>12.71</w:t>
      </w:r>
      <w:r>
        <w:rPr>
          <w:rFonts w:hint="eastAsia" w:cs="Times New Roman"/>
          <w:color w:val="000000" w:themeColor="text1"/>
          <w14:textFill>
            <w14:solidFill>
              <w14:schemeClr w14:val="tx1"/>
            </w14:solidFill>
          </w14:textFill>
        </w:rPr>
        <w:t>亿元</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至2</w:t>
      </w:r>
      <w:r>
        <w:rPr>
          <w:rFonts w:cs="Times New Roman"/>
          <w:color w:val="000000" w:themeColor="text1"/>
          <w14:textFill>
            <w14:solidFill>
              <w14:schemeClr w14:val="tx1"/>
            </w14:solidFill>
          </w14:textFill>
        </w:rPr>
        <w:t>020</w:t>
      </w:r>
      <w:r>
        <w:rPr>
          <w:rFonts w:hint="eastAsia" w:cs="Times New Roman"/>
          <w:color w:val="000000" w:themeColor="text1"/>
          <w14:textFill>
            <w14:solidFill>
              <w14:schemeClr w14:val="tx1"/>
            </w14:solidFill>
          </w14:textFill>
        </w:rPr>
        <w:t>年底，</w:t>
      </w:r>
      <w:r>
        <w:rPr>
          <w:rFonts w:cs="Times New Roman"/>
          <w:color w:val="000000" w:themeColor="text1"/>
          <w14:textFill>
            <w14:solidFill>
              <w14:schemeClr w14:val="tx1"/>
            </w14:solidFill>
          </w14:textFill>
        </w:rPr>
        <w:t>全市共有工业企业</w:t>
      </w:r>
      <w:r>
        <w:rPr>
          <w:rFonts w:hint="eastAsia" w:cs="Times New Roman"/>
          <w:color w:val="000000" w:themeColor="text1"/>
          <w14:textFill>
            <w14:solidFill>
              <w14:schemeClr w14:val="tx1"/>
            </w14:solidFill>
          </w14:textFill>
        </w:rPr>
        <w:t>730</w:t>
      </w:r>
      <w:r>
        <w:rPr>
          <w:rFonts w:cs="Times New Roman"/>
          <w:color w:val="000000" w:themeColor="text1"/>
          <w14:textFill>
            <w14:solidFill>
              <w14:schemeClr w14:val="tx1"/>
            </w14:solidFill>
          </w14:textFill>
        </w:rPr>
        <w:t>家，规模以上工业企业69家，</w:t>
      </w:r>
      <w:r>
        <w:rPr>
          <w:rFonts w:hint="eastAsia" w:cs="Times New Roman"/>
          <w:color w:val="000000" w:themeColor="text1"/>
          <w14:textFill>
            <w14:solidFill>
              <w14:schemeClr w14:val="tx1"/>
            </w14:solidFill>
          </w14:textFill>
        </w:rPr>
        <w:t>其中</w:t>
      </w:r>
      <w:r>
        <w:rPr>
          <w:rFonts w:cs="Times New Roman"/>
          <w:color w:val="000000" w:themeColor="text1"/>
          <w14:textFill>
            <w14:solidFill>
              <w14:schemeClr w14:val="tx1"/>
            </w14:solidFill>
          </w14:textFill>
        </w:rPr>
        <w:t>亿元</w:t>
      </w:r>
      <w:r>
        <w:rPr>
          <w:rFonts w:hint="eastAsia" w:cs="Times New Roman"/>
          <w:color w:val="000000" w:themeColor="text1"/>
          <w14:textFill>
            <w14:solidFill>
              <w14:schemeClr w14:val="tx1"/>
            </w14:solidFill>
          </w14:textFill>
        </w:rPr>
        <w:t>以上</w:t>
      </w:r>
      <w:r>
        <w:rPr>
          <w:rFonts w:cs="Times New Roman"/>
          <w:color w:val="000000" w:themeColor="text1"/>
          <w14:textFill>
            <w14:solidFill>
              <w14:schemeClr w14:val="tx1"/>
            </w14:solidFill>
          </w14:textFill>
        </w:rPr>
        <w:t>企业</w:t>
      </w:r>
      <w:r>
        <w:rPr>
          <w:rFonts w:hint="eastAsia" w:cs="Times New Roman"/>
          <w:color w:val="000000" w:themeColor="text1"/>
          <w14:textFill>
            <w14:solidFill>
              <w14:schemeClr w14:val="tx1"/>
            </w14:solidFill>
          </w14:textFill>
        </w:rPr>
        <w:t>14</w:t>
      </w:r>
      <w:r>
        <w:rPr>
          <w:rFonts w:cs="Times New Roman"/>
          <w:color w:val="000000" w:themeColor="text1"/>
          <w14:textFill>
            <w14:solidFill>
              <w14:schemeClr w14:val="tx1"/>
            </w14:solidFill>
          </w14:textFill>
        </w:rPr>
        <w:t>家，占规上企业总数的</w:t>
      </w:r>
      <w:r>
        <w:rPr>
          <w:rFonts w:hint="eastAsia" w:cs="Times New Roman"/>
          <w:color w:val="000000" w:themeColor="text1"/>
          <w14:textFill>
            <w14:solidFill>
              <w14:schemeClr w14:val="tx1"/>
            </w14:solidFill>
          </w14:textFill>
        </w:rPr>
        <w:t>20.29</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，“十三五”期间净</w:t>
      </w:r>
      <w:r>
        <w:rPr>
          <w:rFonts w:cs="Times New Roman"/>
          <w:color w:val="000000" w:themeColor="text1"/>
          <w14:textFill>
            <w14:solidFill>
              <w14:schemeClr w14:val="tx1"/>
            </w14:solidFill>
          </w14:textFill>
        </w:rPr>
        <w:t>增规上工业企业</w:t>
      </w:r>
      <w:r>
        <w:rPr>
          <w:rFonts w:hint="eastAsia" w:cs="Times New Roman"/>
          <w:color w:val="000000" w:themeColor="text1"/>
          <w14:textFill>
            <w14:solidFill>
              <w14:schemeClr w14:val="tx1"/>
            </w14:solidFill>
          </w14:textFill>
        </w:rPr>
        <w:t>17</w:t>
      </w:r>
      <w:r>
        <w:rPr>
          <w:rFonts w:cs="Times New Roman"/>
          <w:color w:val="000000" w:themeColor="text1"/>
          <w14:textFill>
            <w14:solidFill>
              <w14:schemeClr w14:val="tx1"/>
            </w14:solidFill>
          </w14:textFill>
        </w:rPr>
        <w:t>家。</w:t>
      </w:r>
    </w:p>
    <w:p>
      <w:pPr>
        <w:spacing w:line="240" w:lineRule="auto"/>
        <w:ind w:firstLine="0" w:firstLineChars="0"/>
        <w:jc w:val="both"/>
      </w:pPr>
    </w:p>
    <w:p>
      <w:pPr>
        <w:pStyle w:val="5"/>
        <w:ind w:firstLine="0" w:firstLineChars="0"/>
        <w:jc w:val="center"/>
      </w:pPr>
      <w:r>
        <w:drawing>
          <wp:anchor distT="0" distB="0" distL="114300" distR="114300" simplePos="0" relativeHeight="251658240" behindDoc="0" locked="0" layoutInCell="1" allowOverlap="1">
            <wp:simplePos x="0" y="0"/>
            <wp:positionH relativeFrom="column">
              <wp:posOffset>321945</wp:posOffset>
            </wp:positionH>
            <wp:positionV relativeFrom="paragraph">
              <wp:posOffset>131445</wp:posOffset>
            </wp:positionV>
            <wp:extent cx="4572000" cy="2574925"/>
            <wp:effectExtent l="4445" t="4445" r="8255" b="1143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rPr>
        <w:t>2</w:t>
      </w:r>
      <w:r>
        <w:t>01</w:t>
      </w:r>
      <w:r>
        <w:rPr>
          <w:rFonts w:hint="eastAsia"/>
          <w:lang w:val="en-US" w:eastAsia="zh-CN"/>
        </w:rPr>
        <w:t>6</w:t>
      </w:r>
      <w:r>
        <w:rPr>
          <w:rFonts w:hint="eastAsia"/>
        </w:rPr>
        <w:t>年至</w:t>
      </w:r>
      <w:r>
        <w:t>2020</w:t>
      </w:r>
      <w:r>
        <w:rPr>
          <w:rFonts w:hint="eastAsia"/>
        </w:rPr>
        <w:t>年兴宁市工业总产值</w:t>
      </w:r>
    </w:p>
    <w:p>
      <w:pPr>
        <w:ind w:firstLine="643"/>
        <w:rPr>
          <w:rFonts w:cs="Times New Roman"/>
        </w:rPr>
      </w:pPr>
      <w:r>
        <w:rPr>
          <w:rFonts w:hint="eastAsia" w:cs="Times New Roman"/>
          <w:b/>
        </w:rPr>
        <w:t>——招商引资取得进展。</w:t>
      </w:r>
      <w:r>
        <w:rPr>
          <w:rFonts w:cs="Times New Roman"/>
        </w:rPr>
        <w:t>立足</w:t>
      </w:r>
      <w:r>
        <w:rPr>
          <w:rFonts w:hint="eastAsia" w:cs="Times New Roman"/>
        </w:rPr>
        <w:t>生态功能区定位</w:t>
      </w:r>
      <w:r>
        <w:rPr>
          <w:rFonts w:cs="Times New Roman"/>
        </w:rPr>
        <w:t>，不断创新招商方式</w:t>
      </w:r>
      <w:r>
        <w:rPr>
          <w:rFonts w:hint="eastAsia" w:cs="Times New Roman"/>
        </w:rPr>
        <w:t>，引进装备制造、新能源、绿色食品等产业项目，推动工业经济发展</w:t>
      </w:r>
      <w:r>
        <w:rPr>
          <w:rFonts w:cs="Times New Roman"/>
        </w:rPr>
        <w:t>。</w:t>
      </w:r>
      <w:r>
        <w:rPr>
          <w:rFonts w:hint="eastAsia" w:cs="Times New Roman"/>
        </w:rPr>
        <w:t>“十三五”期间</w:t>
      </w:r>
      <w:r>
        <w:rPr>
          <w:rFonts w:cs="Times New Roman"/>
        </w:rPr>
        <w:t>，全市共引进</w:t>
      </w:r>
      <w:r>
        <w:rPr>
          <w:rFonts w:hint="eastAsia" w:cs="Times New Roman"/>
        </w:rPr>
        <w:t>工业</w:t>
      </w:r>
      <w:r>
        <w:rPr>
          <w:rFonts w:cs="Times New Roman"/>
        </w:rPr>
        <w:t>合同项目</w:t>
      </w:r>
      <w:r>
        <w:rPr>
          <w:rFonts w:hint="eastAsia" w:cs="Times New Roman"/>
        </w:rPr>
        <w:t>47</w:t>
      </w:r>
      <w:r>
        <w:rPr>
          <w:rFonts w:cs="Times New Roman"/>
        </w:rPr>
        <w:t>个，</w:t>
      </w:r>
      <w:r>
        <w:rPr>
          <w:rFonts w:hint="eastAsia" w:cs="Times New Roman"/>
        </w:rPr>
        <w:t>其中亿元项目达39个，</w:t>
      </w:r>
      <w:r>
        <w:rPr>
          <w:rFonts w:cs="Times New Roman"/>
        </w:rPr>
        <w:t>投资总额</w:t>
      </w:r>
      <w:r>
        <w:rPr>
          <w:rFonts w:hint="eastAsia" w:cs="Times New Roman"/>
        </w:rPr>
        <w:t>105.02</w:t>
      </w:r>
      <w:r>
        <w:rPr>
          <w:rFonts w:cs="Times New Roman"/>
        </w:rPr>
        <w:t>亿元</w:t>
      </w:r>
      <w:r>
        <w:rPr>
          <w:rFonts w:hint="eastAsia" w:cs="Times New Roman"/>
        </w:rPr>
        <w:t>。</w:t>
      </w:r>
    </w:p>
    <w:p>
      <w:pPr>
        <w:ind w:firstLine="643"/>
        <w:rPr>
          <w:rFonts w:cs="Times New Roman"/>
          <w:bCs/>
        </w:rPr>
      </w:pPr>
      <w:r>
        <w:rPr>
          <w:rFonts w:hint="eastAsia" w:cs="Times New Roman"/>
          <w:b/>
          <w:bCs/>
        </w:rPr>
        <w:t>——园区建设稳步推进。</w:t>
      </w:r>
      <w:r>
        <w:rPr>
          <w:rFonts w:hint="eastAsia" w:cs="Times New Roman"/>
          <w:bCs/>
        </w:rPr>
        <w:t>广州天河（兴宁）产业转移工业园基础设施不断完善，工业发展主战场定位得到有效支撑。至2020年底，园区完成土地开发5357.37亩，储备土地约800亩，建成标准厂房面积9.16万平方米。“十三五”期间，完成污水处理厂、垃圾中转站、220KV变电站、自来水专管工程、安置区首期、园区外环路、两河合一配套桥梁等基础设施工程，园区基础设施标准化进程不断推进。</w:t>
      </w:r>
    </w:p>
    <w:p>
      <w:pPr>
        <w:ind w:firstLine="643"/>
        <w:rPr>
          <w:rFonts w:cs="Times New Roman"/>
          <w:bCs/>
        </w:rPr>
      </w:pPr>
      <w:r>
        <w:rPr>
          <w:rFonts w:hint="eastAsia" w:cs="Times New Roman"/>
          <w:b/>
        </w:rPr>
        <w:t>——创新能力不断增强。</w:t>
      </w:r>
      <w:r>
        <w:rPr>
          <w:rFonts w:hint="eastAsia" w:cs="Times New Roman"/>
          <w:bCs/>
        </w:rPr>
        <w:t>“十三五”期间，全市新增国家级科技企业孵化器1家、国家备案众创空间2个、省级众创空间4个、企业技术中心4家。</w:t>
      </w:r>
      <w:r>
        <w:rPr>
          <w:rFonts w:hint="eastAsia" w:cs="Times New Roman"/>
          <w:bCs/>
          <w:lang w:val="en-US" w:eastAsia="zh-CN"/>
        </w:rPr>
        <w:t>至2020年底，已有</w:t>
      </w:r>
      <w:r>
        <w:rPr>
          <w:rFonts w:hint="eastAsia" w:cs="Times New Roman"/>
          <w:bCs/>
        </w:rPr>
        <w:t>广东省著名商标6件，广东省名牌产品3个，工程技术研究中心32家、科技型中小企业37家。国家高新技术企业25家，是2015年的4倍，2020年底高新技术企业总产值15.7亿元，其中，规模以上高新企业21家，占全市规上工业企业75家的28.0%。</w:t>
      </w:r>
    </w:p>
    <w:p>
      <w:pPr>
        <w:pStyle w:val="3"/>
        <w:rPr>
          <w:rFonts w:ascii="Times New Roman" w:hAnsi="Times New Roman"/>
          <w:color w:val="000000" w:themeColor="text1"/>
          <w14:textFill>
            <w14:solidFill>
              <w14:schemeClr w14:val="tx1"/>
            </w14:solidFill>
          </w14:textFill>
        </w:rPr>
      </w:pPr>
      <w:bookmarkStart w:id="6" w:name="_Toc56082140"/>
      <w:bookmarkStart w:id="7" w:name="_Toc19159"/>
      <w:bookmarkStart w:id="8" w:name="_Toc71578661"/>
      <w:bookmarkStart w:id="9" w:name="_Toc71906664"/>
      <w:r>
        <w:rPr>
          <w:rFonts w:hint="eastAsia" w:ascii="Times New Roman" w:hAnsi="Times New Roman"/>
          <w:color w:val="000000" w:themeColor="text1"/>
          <w14:textFill>
            <w14:solidFill>
              <w14:schemeClr w14:val="tx1"/>
            </w14:solidFill>
          </w14:textFill>
        </w:rPr>
        <w:t>（二）存在问题</w:t>
      </w:r>
      <w:bookmarkEnd w:id="6"/>
      <w:bookmarkEnd w:id="7"/>
      <w:bookmarkEnd w:id="8"/>
      <w:bookmarkEnd w:id="9"/>
    </w:p>
    <w:p>
      <w:pPr>
        <w:ind w:firstLine="643"/>
        <w:rPr>
          <w:rFonts w:cs="Times New Roman"/>
          <w:b/>
        </w:rPr>
      </w:pPr>
      <w:r>
        <w:rPr>
          <w:rFonts w:hint="eastAsia" w:cs="Times New Roman"/>
          <w:b/>
        </w:rPr>
        <w:t>工业经济总量偏小。</w:t>
      </w:r>
      <w:r>
        <w:rPr>
          <w:rFonts w:hint="eastAsia" w:cs="Times New Roman"/>
        </w:rPr>
        <w:t>2020年，全市规上工业增加值12.71亿元，仅占全市GDP的7.0%，仅占梅州市规上工业增加值227.94亿元的5.6%。全市工业企业仍以中小型民营企业为主，缺乏大型企业，没有一家产值10亿元以上的企业，产值5亿元以上的仅2家。</w:t>
      </w:r>
    </w:p>
    <w:p>
      <w:pPr>
        <w:ind w:firstLine="643"/>
        <w:rPr>
          <w:rFonts w:cs="Times New Roman"/>
          <w:b/>
        </w:rPr>
      </w:pPr>
      <w:r>
        <w:rPr>
          <w:rFonts w:hint="eastAsia" w:cs="Times New Roman"/>
          <w:b/>
        </w:rPr>
        <w:t>创新驱动能力不足。</w:t>
      </w:r>
      <w:r>
        <w:rPr>
          <w:shd w:val="clear" w:color="auto" w:fill="FFFFFF"/>
        </w:rPr>
        <w:t>企业创新主体地位不够明显，</w:t>
      </w:r>
      <w:r>
        <w:rPr>
          <w:rFonts w:hint="eastAsia"/>
          <w:shd w:val="clear" w:color="auto" w:fill="FFFFFF"/>
        </w:rPr>
        <w:t>至2</w:t>
      </w:r>
      <w:r>
        <w:rPr>
          <w:shd w:val="clear" w:color="auto" w:fill="FFFFFF"/>
        </w:rPr>
        <w:t>020</w:t>
      </w:r>
      <w:r>
        <w:rPr>
          <w:rFonts w:hint="eastAsia"/>
          <w:shd w:val="clear" w:color="auto" w:fill="FFFFFF"/>
        </w:rPr>
        <w:t>年底，</w:t>
      </w:r>
      <w:r>
        <w:rPr>
          <w:shd w:val="clear" w:color="auto" w:fill="FFFFFF"/>
        </w:rPr>
        <w:t>全市具有省级研发机构的规上工业企业仅</w:t>
      </w:r>
      <w:r>
        <w:rPr>
          <w:rFonts w:hint="eastAsia"/>
          <w:shd w:val="clear" w:color="auto" w:fill="FFFFFF"/>
        </w:rPr>
        <w:t>8</w:t>
      </w:r>
      <w:r>
        <w:rPr>
          <w:shd w:val="clear" w:color="auto" w:fill="FFFFFF"/>
        </w:rPr>
        <w:t>家，占全市规上工业企业的</w:t>
      </w:r>
      <w:r>
        <w:rPr>
          <w:rFonts w:hint="eastAsia"/>
          <w:shd w:val="clear" w:color="auto" w:fill="FFFFFF"/>
        </w:rPr>
        <w:t>11.59</w:t>
      </w:r>
      <w:r>
        <w:rPr>
          <w:shd w:val="clear" w:color="auto" w:fill="FFFFFF"/>
        </w:rPr>
        <w:t>%</w:t>
      </w:r>
      <w:r>
        <w:rPr>
          <w:rFonts w:hint="eastAsia"/>
          <w:shd w:val="clear" w:color="auto" w:fill="FFFFFF"/>
        </w:rPr>
        <w:t>，</w:t>
      </w:r>
      <w:r>
        <w:rPr>
          <w:shd w:val="clear" w:color="auto" w:fill="FFFFFF"/>
        </w:rPr>
        <w:t>高新技术企业</w:t>
      </w:r>
      <w:r>
        <w:rPr>
          <w:rFonts w:hint="eastAsia"/>
          <w:shd w:val="clear" w:color="auto" w:fill="FFFFFF"/>
        </w:rPr>
        <w:t>25</w:t>
      </w:r>
      <w:r>
        <w:rPr>
          <w:shd w:val="clear" w:color="auto" w:fill="FFFFFF"/>
        </w:rPr>
        <w:t>家，仅</w:t>
      </w:r>
      <w:r>
        <w:rPr>
          <w:rFonts w:hint="eastAsia"/>
          <w:shd w:val="clear" w:color="auto" w:fill="FFFFFF"/>
        </w:rPr>
        <w:t>为</w:t>
      </w:r>
      <w:r>
        <w:rPr>
          <w:shd w:val="clear" w:color="auto" w:fill="FFFFFF"/>
        </w:rPr>
        <w:t>梅州市</w:t>
      </w:r>
      <w:r>
        <w:rPr>
          <w:rFonts w:hint="eastAsia"/>
          <w:shd w:val="clear" w:color="auto" w:fill="FFFFFF"/>
        </w:rPr>
        <w:t>高新技术企业</w:t>
      </w:r>
      <w:r>
        <w:rPr>
          <w:shd w:val="clear" w:color="auto" w:fill="FFFFFF"/>
        </w:rPr>
        <w:t>总数的</w:t>
      </w:r>
      <w:r>
        <w:rPr>
          <w:rFonts w:hint="eastAsia"/>
          <w:shd w:val="clear" w:color="auto" w:fill="FFFFFF"/>
        </w:rPr>
        <w:t>10.48</w:t>
      </w:r>
      <w:r>
        <w:rPr>
          <w:shd w:val="clear" w:color="auto" w:fill="FFFFFF"/>
        </w:rPr>
        <w:t>%</w:t>
      </w:r>
      <w:r>
        <w:rPr>
          <w:rFonts w:hint="eastAsia"/>
          <w:shd w:val="clear" w:color="auto" w:fill="FFFFFF"/>
        </w:rPr>
        <w:t>。企业自主创新能力偏弱，市场竞争力不足，全市每万人专利授权量6.87%，高新技术</w:t>
      </w:r>
      <w:r>
        <w:rPr>
          <w:rFonts w:hint="eastAsia"/>
        </w:rPr>
        <w:t>产品仅75个，自主品牌数量少，</w:t>
      </w:r>
      <w:r>
        <w:rPr>
          <w:shd w:val="clear" w:color="auto" w:fill="FFFFFF"/>
        </w:rPr>
        <w:t>缺乏具有明显竞争优势的核心技术及高附加值产品</w:t>
      </w:r>
      <w:r>
        <w:rPr>
          <w:rFonts w:hint="eastAsia"/>
          <w:shd w:val="clear" w:color="auto" w:fill="FFFFFF"/>
        </w:rPr>
        <w:t>。创新型人才数量少，高精尖科技人才和管理人才缺口较大。科技创新综合能力不足制约了兴宁产业转型升级。</w:t>
      </w:r>
    </w:p>
    <w:p>
      <w:pPr>
        <w:ind w:firstLine="643"/>
        <w:rPr>
          <w:rFonts w:cs="Times New Roman"/>
          <w:b/>
        </w:rPr>
      </w:pPr>
      <w:r>
        <w:rPr>
          <w:rFonts w:hint="eastAsia"/>
          <w:b/>
          <w:shd w:val="clear" w:color="auto" w:fill="FFFFFF"/>
        </w:rPr>
        <w:t>产业转型效率不高。</w:t>
      </w:r>
      <w:r>
        <w:rPr>
          <w:rFonts w:hint="eastAsia"/>
          <w:shd w:val="clear" w:color="auto" w:fill="FFFFFF"/>
        </w:rPr>
        <w:t>全市工业行业关联度不高，传统支柱产业多数偏低端，转型升级效率较低。除生态特色食品行业拥有较为完善的产业链之外，其余产业链延伸小，新产业、新业态、新模式发展速度缓慢，尤其是新兴产业领域的企业规模小、数量少，具有产业集聚与带动效应的龙头企业少之又少，尚不具备打造完整产业链条的基础，对工业经济的支撑作用不明显。</w:t>
      </w:r>
    </w:p>
    <w:p>
      <w:pPr>
        <w:ind w:firstLine="643"/>
        <w:rPr>
          <w:rFonts w:cs="Times New Roman"/>
          <w:u w:val="single"/>
        </w:rPr>
      </w:pPr>
      <w:r>
        <w:rPr>
          <w:rFonts w:cs="Times New Roman"/>
          <w:b/>
        </w:rPr>
        <w:t>园区带动</w:t>
      </w:r>
      <w:r>
        <w:rPr>
          <w:rFonts w:hint="eastAsia" w:cs="Times New Roman"/>
          <w:b/>
        </w:rPr>
        <w:t>作用</w:t>
      </w:r>
      <w:r>
        <w:rPr>
          <w:rFonts w:cs="Times New Roman"/>
          <w:b/>
        </w:rPr>
        <w:t>不</w:t>
      </w:r>
      <w:r>
        <w:rPr>
          <w:rFonts w:hint="eastAsia" w:cs="Times New Roman"/>
          <w:b/>
        </w:rPr>
        <w:t>明显。</w:t>
      </w:r>
      <w:r>
        <w:rPr>
          <w:rFonts w:hint="eastAsia" w:cs="Times New Roman"/>
        </w:rPr>
        <w:t>作为工业化发展的主战场，园区内产业集聚效应较弱，发展优势不突出，对全市工业经济的带动作用尚未充分显现。2020年，园区企业总产值28.36亿元。园区内工业企业规模小，龙头企业少，产值5亿元以上的企业1家。土地产出效率不高，至2020年底，亩均年产值56.72万元，亩均年税收2.22万元，亩均投资强度和亩均年税收偏低。“十三五”期间，园区企业累计税收8.13亿元，仅占</w:t>
      </w:r>
      <w:r>
        <w:rPr>
          <w:rFonts w:hint="eastAsia" w:cs="Times New Roman"/>
          <w:lang w:val="en-US" w:eastAsia="zh-CN"/>
        </w:rPr>
        <w:t>全</w:t>
      </w:r>
      <w:r>
        <w:rPr>
          <w:rFonts w:hint="eastAsia" w:cs="Times New Roman"/>
        </w:rPr>
        <w:t>市税收收入90.8亿元的8.95%，税收占比偏低。</w:t>
      </w:r>
    </w:p>
    <w:p>
      <w:pPr>
        <w:pStyle w:val="3"/>
        <w:rPr>
          <w:rFonts w:ascii="Times New Roman" w:hAnsi="Times New Roman"/>
          <w:color w:val="000000" w:themeColor="text1"/>
          <w14:textFill>
            <w14:solidFill>
              <w14:schemeClr w14:val="tx1"/>
            </w14:solidFill>
          </w14:textFill>
        </w:rPr>
      </w:pPr>
      <w:bookmarkStart w:id="10" w:name="_Toc71906665"/>
      <w:bookmarkStart w:id="11" w:name="_Toc13103"/>
      <w:r>
        <w:rPr>
          <w:rFonts w:hint="eastAsia" w:ascii="Times New Roman" w:hAnsi="Times New Roman"/>
          <w:color w:val="000000" w:themeColor="text1"/>
          <w14:textFill>
            <w14:solidFill>
              <w14:schemeClr w14:val="tx1"/>
            </w14:solidFill>
          </w14:textFill>
        </w:rPr>
        <w:t>（三）面临</w:t>
      </w:r>
      <w:bookmarkEnd w:id="10"/>
      <w:r>
        <w:rPr>
          <w:rFonts w:hint="eastAsia" w:ascii="Times New Roman" w:hAnsi="Times New Roman"/>
          <w:color w:val="000000" w:themeColor="text1"/>
          <w14:textFill>
            <w14:solidFill>
              <w14:schemeClr w14:val="tx1"/>
            </w14:solidFill>
          </w14:textFill>
        </w:rPr>
        <w:t>的挑战和机遇</w:t>
      </w:r>
      <w:bookmarkEnd w:id="11"/>
    </w:p>
    <w:p>
      <w:pPr>
        <w:ind w:firstLine="643"/>
        <w:rPr>
          <w:rFonts w:cs="Times New Roman"/>
          <w:bCs/>
        </w:rPr>
      </w:pPr>
      <w:r>
        <w:rPr>
          <w:rFonts w:hint="eastAsia"/>
          <w:b/>
          <w:bCs/>
        </w:rPr>
        <w:t>全球产业链面临重构。</w:t>
      </w:r>
      <w:r>
        <w:rPr>
          <w:rFonts w:hint="eastAsia"/>
          <w:bCs/>
        </w:rPr>
        <w:t>一是</w:t>
      </w:r>
      <w:r>
        <w:rPr>
          <w:rFonts w:hint="eastAsia" w:cs="Times New Roman"/>
          <w:bCs/>
        </w:rPr>
        <w:t>中美贸易摩擦背景下，全市有相当一部分工业企业从事低端产品的组装与制造，产业链面临“断链”风险。二是各国出台政策加速产业链重构，</w:t>
      </w:r>
      <w:r>
        <w:rPr>
          <w:rFonts w:hint="eastAsia"/>
          <w:bCs/>
        </w:rPr>
        <w:t>东南亚地区利用要素低成本优势，积极吸引珠三角劳动密集型和低附加值制造环节转移，欧美国家纷纷出台“再工业化”政策措施，意图通过促进较低技术产业回流和产业链整体回迁，对我市工业经济发展带来更大压力。</w:t>
      </w:r>
    </w:p>
    <w:p>
      <w:pPr>
        <w:ind w:firstLine="643"/>
      </w:pPr>
      <w:r>
        <w:rPr>
          <w:rFonts w:hint="eastAsia"/>
          <w:b/>
          <w:bCs/>
        </w:rPr>
        <w:t>国内产业竞争日趋激烈。</w:t>
      </w:r>
      <w:r>
        <w:rPr>
          <w:rFonts w:hint="eastAsia"/>
          <w:bCs/>
        </w:rPr>
        <w:t>一是</w:t>
      </w:r>
      <w:r>
        <w:rPr>
          <w:rFonts w:hint="eastAsia"/>
        </w:rPr>
        <w:t>粤东西北兄弟县市和周边省份出台各类优惠政策吸引大湾区产业落户，区域间在产业布局和招商引资等方面将形成激烈的竞争关系。二是</w:t>
      </w:r>
      <w:r>
        <w:t>大湾区配套设施的不断</w:t>
      </w:r>
      <w:r>
        <w:rPr>
          <w:rFonts w:hint="eastAsia"/>
        </w:rPr>
        <w:t>完善</w:t>
      </w:r>
      <w:r>
        <w:t>，核心城市的优势不断凸显，对大湾区</w:t>
      </w:r>
      <w:r>
        <w:rPr>
          <w:rFonts w:hint="eastAsia"/>
        </w:rPr>
        <w:t>周边</w:t>
      </w:r>
      <w:r>
        <w:t>资源的虹吸效应显著增强，</w:t>
      </w:r>
      <w:r>
        <w:rPr>
          <w:rFonts w:hint="eastAsia"/>
        </w:rPr>
        <w:t>全市</w:t>
      </w:r>
      <w:r>
        <w:t>将面临着新一轮资源外流的风险。</w:t>
      </w:r>
    </w:p>
    <w:p>
      <w:pPr>
        <w:ind w:firstLine="643"/>
        <w:rPr>
          <w:bCs/>
        </w:rPr>
      </w:pPr>
      <w:r>
        <w:rPr>
          <w:b/>
          <w:bCs/>
        </w:rPr>
        <w:t>资源环境约束</w:t>
      </w:r>
      <w:r>
        <w:rPr>
          <w:rFonts w:hint="eastAsia"/>
          <w:b/>
          <w:bCs/>
        </w:rPr>
        <w:t>持续加大</w:t>
      </w:r>
      <w:r>
        <w:rPr>
          <w:rFonts w:hint="eastAsia"/>
          <w:bCs/>
        </w:rPr>
        <w:t>。兴宁市作为广东省构建“一核一带一区”区域发展新格局中的“一区”——北部生态发展区，开发强度力度将受到严格控制，工业发展受到生态红线、环境容量、土地占补平衡等因素制约，同时随着劳动力、材料、能源等关键要素价格持续上涨，制造业企业生产和投资成本不断上升，全市原有的比较优势逐渐削弱，迫切需要探索一条破解资源环境瓶颈跃速的工业绿色发展道路。</w:t>
      </w:r>
    </w:p>
    <w:p>
      <w:pPr>
        <w:ind w:firstLine="643"/>
        <w:rPr>
          <w:b/>
        </w:rPr>
      </w:pPr>
      <w:r>
        <w:rPr>
          <w:rFonts w:hint="eastAsia"/>
          <w:b/>
        </w:rPr>
        <w:t>在危机中育新机、于变局中开新局，我国经济正处在转变发展方式、优化经济结构、转换增长动力的攻关期，我市既要立足当前，又需放眼长远，在危机中积极主动作为，抓住双循环发展、粤港澳大湾区建设、革命老区苏区振兴等新机遇，将新的契机转化为推动兴宁工业高质量发展的实践和行动。</w:t>
      </w:r>
    </w:p>
    <w:p>
      <w:pPr>
        <w:ind w:firstLine="643"/>
      </w:pPr>
      <w:r>
        <w:rPr>
          <w:rFonts w:hint="eastAsia"/>
          <w:b/>
          <w:bCs/>
        </w:rPr>
        <w:t>新一轮科技和产业变革促进工业转型升级。</w:t>
      </w:r>
      <w:r>
        <w:rPr>
          <w:rFonts w:hint="eastAsia"/>
        </w:rPr>
        <w:t>新一轮科技革命和产业变革深入发展，工业化和信息化融合向更大范围、更深层次、更高水平拓展，催生出更多新技术、新产业、新业态、新模式。工业互联网、云计算、大数据、人工智能等技术深度融合于经济社会各个领域；先进材料、智能制造、生物医药、半导体等领域技术不断实现突破，推动传统工业体系分化重组；全球气候变化助推新能源产业发展，清洁能源技术应用规模不断扩大；新技术和新兴产业将引发国际分工和国际贸易格局重构，引领全球创新经济发展进入新时代。我市大力发展“互联网+”经济，推动实体产业数字化转型，有助于传统企业提高生产效率、减少能耗与污染，推动工业转型升级。</w:t>
      </w:r>
    </w:p>
    <w:p>
      <w:pPr>
        <w:ind w:firstLine="643"/>
        <w:rPr>
          <w:b/>
          <w:bCs/>
        </w:rPr>
      </w:pPr>
      <w:r>
        <w:rPr>
          <w:b/>
          <w:bCs/>
        </w:rPr>
        <w:t>国家和省重大战略部署扩展工业发展空间</w:t>
      </w:r>
      <w:r>
        <w:rPr>
          <w:rFonts w:hint="eastAsia"/>
          <w:b/>
          <w:bCs/>
        </w:rPr>
        <w:t>。</w:t>
      </w:r>
      <w:r>
        <w:rPr>
          <w:rFonts w:hint="eastAsia"/>
        </w:rPr>
        <w:t>当前我国正着力构建以国内大循环为主体、国内国际双循环相互促进的新发展格局，国内消费市场促进生产加速推进，倒逼和推动制造业供给结构不断升级。新型基础设施建设加速推进，成为推动制造业转型升级和高质量发展的新基础。广东省经济总量大、产业配套齐、市场机制活、开放水平高，转型升级、领先发展的态势更加明显。“十四五”期间，“双区”建设和“双城”联动利好叠加， 20个战略性产业集群培育行动计划进一步推进，广东“制造业十九条”进一步落实。将推动我市挖掘绿色发展潜力，拓展新的发展空间，为我市工业构建新发展格局打开更广阔空间。</w:t>
      </w:r>
    </w:p>
    <w:p>
      <w:pPr>
        <w:ind w:firstLine="643"/>
      </w:pPr>
      <w:r>
        <w:rPr>
          <w:b/>
          <w:bCs/>
        </w:rPr>
        <w:t>老区苏区振兴发展政策支撑工业高质量发展</w:t>
      </w:r>
      <w:r>
        <w:rPr>
          <w:rFonts w:hint="eastAsia"/>
          <w:b/>
          <w:bCs/>
        </w:rPr>
        <w:t>。</w:t>
      </w:r>
      <w:r>
        <w:rPr>
          <w:rFonts w:hint="eastAsia"/>
        </w:rPr>
        <w:t>党中央高度重视老区苏区发展，先后出台实施《国务院关于支持赣南等原中央苏区振兴发展的若干意见》《赣闽粤原中央苏区振兴发展规划》《国务院关于新时代支持革命老区振兴发展的意见》等政策文件支持老区苏区振兴发展。广东省坚决贯彻落实党中央、国务院决策部署，先后出台实施《广东省贯彻落实〈赣闽粤原中央苏区振兴发展规划〉实施方案》《关于加大脱贫攻坚力度支持革命老区开发建设的实施意见》《关于进一步推动我省革命老区和原中央苏区振兴发展的意见》等政策文件，推动老区苏区在高质量发展中实现振兴；进一步出台实施《广东省促进革命老区发展条例》，通过强化法制支撑，促进老区苏区长期、可持续发展。</w:t>
      </w:r>
    </w:p>
    <w:p>
      <w:pPr>
        <w:ind w:firstLine="643" w:firstLineChars="200"/>
      </w:pPr>
      <w:bookmarkStart w:id="12" w:name="_Toc71578663"/>
      <w:bookmarkStart w:id="13" w:name="_Toc71906666"/>
      <w:r>
        <w:rPr>
          <w:rFonts w:hint="eastAsia" w:ascii="Times New Roman" w:hAnsi="Times New Roman"/>
          <w:b/>
          <w:bCs/>
          <w:sz w:val="32"/>
        </w:rPr>
        <w:t>北部生态功能区定位助推工业绿色发展。</w:t>
      </w:r>
      <w:r>
        <w:rPr>
          <w:rFonts w:hint="eastAsia" w:ascii="Times New Roman" w:hAnsi="Times New Roman"/>
          <w:b w:val="0"/>
          <w:sz w:val="32"/>
        </w:rPr>
        <w:t>随着“一核一带一区”区域发展格局进一步深化，我省将出台一系列政策，支持北部生态发展区大力发展绿色经济，带动一系列环境友好型产业发展。立足北部生态发展区，通过创新引领，加强资源综合利用，发展低碳经济，充分发挥特色生态资源优势，主动融入、积极对接粤港澳大湾区和深圳中国特色社会主义先行示范区建设，有助于我市在对接支持服务“双区”建设中找准定位，把握“双区”建设带来的重大机遇，推进产业生态化和生态产业化发展。</w:t>
      </w:r>
    </w:p>
    <w:p>
      <w:pPr>
        <w:pStyle w:val="2"/>
        <w:tabs>
          <w:tab w:val="left" w:pos="2268"/>
        </w:tabs>
        <w:spacing w:line="360" w:lineRule="auto"/>
        <w:rPr>
          <w:rFonts w:ascii="Times New Roman" w:hAnsi="Times New Roman" w:eastAsia="黑体" w:cs="Times New Roman"/>
          <w:color w:val="000000" w:themeColor="text1"/>
          <w:sz w:val="32"/>
          <w14:textFill>
            <w14:solidFill>
              <w14:schemeClr w14:val="tx1"/>
            </w14:solidFill>
          </w14:textFill>
        </w:rPr>
      </w:pPr>
      <w:bookmarkStart w:id="14" w:name="_Toc9327"/>
      <w:r>
        <w:rPr>
          <w:rFonts w:hint="eastAsia" w:ascii="Times New Roman" w:hAnsi="Times New Roman" w:eastAsia="黑体" w:cs="Times New Roman"/>
          <w:color w:val="000000" w:themeColor="text1"/>
          <w:sz w:val="32"/>
          <w14:textFill>
            <w14:solidFill>
              <w14:schemeClr w14:val="tx1"/>
            </w14:solidFill>
          </w14:textFill>
        </w:rPr>
        <w:t>二、“十四五”时期工业发展指导</w:t>
      </w:r>
      <w:r>
        <w:rPr>
          <w:rFonts w:hint="eastAsia" w:ascii="Times New Roman" w:hAnsi="Times New Roman" w:eastAsia="黑体" w:cs="Times New Roman"/>
          <w:color w:val="000000" w:themeColor="text1"/>
          <w:sz w:val="32"/>
          <w:lang w:val="en-US" w:eastAsia="zh-CN"/>
          <w14:textFill>
            <w14:solidFill>
              <w14:schemeClr w14:val="tx1"/>
            </w14:solidFill>
          </w14:textFill>
        </w:rPr>
        <w:t>思想</w:t>
      </w:r>
      <w:r>
        <w:rPr>
          <w:rFonts w:hint="eastAsia" w:ascii="Times New Roman" w:hAnsi="Times New Roman" w:eastAsia="黑体" w:cs="Times New Roman"/>
          <w:color w:val="000000" w:themeColor="text1"/>
          <w:sz w:val="32"/>
          <w14:textFill>
            <w14:solidFill>
              <w14:schemeClr w14:val="tx1"/>
            </w14:solidFill>
          </w14:textFill>
        </w:rPr>
        <w:t>和主要目标</w:t>
      </w:r>
      <w:bookmarkEnd w:id="12"/>
      <w:bookmarkEnd w:id="13"/>
      <w:bookmarkEnd w:id="14"/>
    </w:p>
    <w:p>
      <w:pPr>
        <w:pStyle w:val="3"/>
        <w:rPr>
          <w:rFonts w:ascii="Times New Roman" w:hAnsi="Times New Roman"/>
          <w:color w:val="000000" w:themeColor="text1"/>
          <w14:textFill>
            <w14:solidFill>
              <w14:schemeClr w14:val="tx1"/>
            </w14:solidFill>
          </w14:textFill>
        </w:rPr>
      </w:pPr>
      <w:bookmarkStart w:id="15" w:name="_Toc5065"/>
      <w:bookmarkStart w:id="16" w:name="_Toc71906667"/>
      <w:bookmarkStart w:id="17" w:name="_Toc71578664"/>
      <w:r>
        <w:rPr>
          <w:rFonts w:hint="eastAsia" w:ascii="Times New Roman" w:hAnsi="Times New Roman"/>
          <w:color w:val="000000" w:themeColor="text1"/>
          <w14:textFill>
            <w14:solidFill>
              <w14:schemeClr w14:val="tx1"/>
            </w14:solidFill>
          </w14:textFill>
        </w:rPr>
        <w:t>（一）指导思想</w:t>
      </w:r>
      <w:bookmarkEnd w:id="15"/>
      <w:bookmarkEnd w:id="16"/>
      <w:bookmarkEnd w:id="17"/>
    </w:p>
    <w:p>
      <w:pPr>
        <w:ind w:firstLine="640"/>
        <w:rPr>
          <w:color w:val="FF0000"/>
        </w:rPr>
      </w:pPr>
      <w:r>
        <w:rPr>
          <w:rFonts w:hint="eastAsia"/>
        </w:rPr>
        <w:t>以习近平新时代中国特色社会主义思想为指导，全面贯彻党的十九大和十九届二中、三中、四中、五中全会精神，全面学习贯彻落实习近平总书记对广东重要讲话和重要指示批示精神，贯彻落实省委“1+1+9”工作部署和广东省关于推动制造业高质量发展的意见，按照梅州构建“</w:t>
      </w:r>
      <w:r>
        <w:t>5311”</w:t>
      </w:r>
      <w:r>
        <w:rPr>
          <w:rFonts w:hint="eastAsia"/>
        </w:rPr>
        <w:t>绿色产业体系，推动形成“五星争辉”区域发展格局的思路举措，围绕兴宁市建设“工贸新城</w:t>
      </w:r>
      <w:r>
        <w:rPr>
          <w:rFonts w:hint="eastAsia"/>
          <w:lang w:val="en-US" w:eastAsia="zh-CN"/>
        </w:rPr>
        <w:t>·</w:t>
      </w:r>
      <w:r>
        <w:rPr>
          <w:rFonts w:hint="eastAsia"/>
        </w:rPr>
        <w:t>智慧兴宁”，打造梅州副中心城市目标，主动融入“双区”建设，以项目建设为抓手，以园区为主战场，挖潜力、补短板、抓落实，做大做强</w:t>
      </w:r>
      <w:r>
        <w:rPr>
          <w:rFonts w:hint="eastAsia" w:cs="仿宋_GB2312"/>
        </w:rPr>
        <w:t>主导产业，做精做优特色产业，培育发展新兴产业，做大做实工业振兴平台，</w:t>
      </w:r>
      <w:r>
        <w:rPr>
          <w:rFonts w:hint="eastAsia"/>
        </w:rPr>
        <w:t>促进全市经济发展。</w:t>
      </w:r>
    </w:p>
    <w:p>
      <w:pPr>
        <w:pStyle w:val="3"/>
        <w:rPr>
          <w:rFonts w:ascii="Times New Roman" w:hAnsi="Times New Roman"/>
          <w:color w:val="000000" w:themeColor="text1"/>
          <w14:textFill>
            <w14:solidFill>
              <w14:schemeClr w14:val="tx1"/>
            </w14:solidFill>
          </w14:textFill>
        </w:rPr>
      </w:pPr>
      <w:bookmarkStart w:id="18" w:name="_Toc71906668"/>
      <w:bookmarkStart w:id="19" w:name="_Toc30367"/>
      <w:r>
        <w:rPr>
          <w:rFonts w:hint="eastAsia" w:ascii="Times New Roman" w:hAnsi="Times New Roman"/>
          <w:color w:val="000000" w:themeColor="text1"/>
          <w14:textFill>
            <w14:solidFill>
              <w14:schemeClr w14:val="tx1"/>
            </w14:solidFill>
          </w14:textFill>
        </w:rPr>
        <w:t>（二）基本原则</w:t>
      </w:r>
      <w:bookmarkEnd w:id="18"/>
      <w:bookmarkEnd w:id="19"/>
    </w:p>
    <w:p>
      <w:pPr>
        <w:ind w:firstLine="643"/>
      </w:pPr>
      <w:bookmarkStart w:id="20" w:name="_Toc63665461"/>
      <w:r>
        <w:rPr>
          <w:rFonts w:hint="eastAsia"/>
          <w:b/>
        </w:rPr>
        <w:t>——绿色发展，生态优先。</w:t>
      </w:r>
      <w:r>
        <w:rPr>
          <w:rFonts w:hint="eastAsia"/>
        </w:rPr>
        <w:t>坚持绿水青山就是金山银山的理念，深入实施可持续发展战略，坚持绿色低碳循环发展，坚持节约资源和保护环境的基本国策。加强节能环保技术、工艺、装备推广应用，全面推行清洁生产，加快推动绿色低碳发展，全面提高全市工业生产资源利用效率。</w:t>
      </w:r>
    </w:p>
    <w:p>
      <w:pPr>
        <w:ind w:firstLine="643"/>
      </w:pPr>
      <w:r>
        <w:rPr>
          <w:rFonts w:hint="eastAsia"/>
          <w:b/>
        </w:rPr>
        <w:t>——创新驱动，</w:t>
      </w:r>
      <w:r>
        <w:rPr>
          <w:rFonts w:hint="eastAsia"/>
          <w:b/>
          <w:lang w:val="en-US" w:eastAsia="zh-CN"/>
        </w:rPr>
        <w:t>科技</w:t>
      </w:r>
      <w:r>
        <w:rPr>
          <w:rFonts w:hint="eastAsia"/>
          <w:b/>
        </w:rPr>
        <w:t>引领。</w:t>
      </w:r>
      <w:r>
        <w:rPr>
          <w:rFonts w:hint="eastAsia"/>
        </w:rPr>
        <w:t>深入实施创新驱动发展战略，增强产业自主创新能力，以科技创新催生新发展动能，构建“产学研”深度融合的工业协同创新体系。重点瞄准集成创新、引进消化吸收再创新，促进跨界融合，全面提升产品的附加价值和竞争力。改革体制机制，破除旧管理方式对新兴产业发展的束缚，降低创新创业成本。</w:t>
      </w:r>
    </w:p>
    <w:p>
      <w:pPr>
        <w:ind w:firstLine="643"/>
      </w:pPr>
      <w:r>
        <w:rPr>
          <w:rFonts w:hint="eastAsia"/>
          <w:b/>
        </w:rPr>
        <w:t>——智能改造，数字转型。</w:t>
      </w:r>
      <w:r>
        <w:rPr>
          <w:rFonts w:hint="eastAsia"/>
        </w:rPr>
        <w:t>推动制造业数字化、网络化、智能化转型。以实施制造业数字化转型行动为抓手，积极推进制造业企业开展数字化、网络化、智能化改造，发展工业互联网，推动5G、人工智能在制造业的应用，加快培育制造业新模式新业态。</w:t>
      </w:r>
    </w:p>
    <w:p>
      <w:pPr>
        <w:ind w:firstLine="643"/>
      </w:pPr>
      <w:r>
        <w:rPr>
          <w:rFonts w:hint="eastAsia"/>
          <w:b/>
        </w:rPr>
        <w:t>——优化布局，集群发展。</w:t>
      </w:r>
      <w:r>
        <w:rPr>
          <w:rFonts w:hint="eastAsia"/>
        </w:rPr>
        <w:t>科学规划，优化产业布局，集约高效利用园区土地资源，加快补齐基础设施短板，完善园区功能配套，提升园区承载能力。充分发挥区位、资源、政策优势，加大招商力度、提升服务水平，围绕产业链上下游的配套产业，引进培育一批综合效益高、创新能力强的企业，重点推动高端补链、终端延链、整体强链，加速形成产业集群集聚。</w:t>
      </w:r>
    </w:p>
    <w:p>
      <w:pPr>
        <w:ind w:firstLine="643"/>
      </w:pPr>
      <w:r>
        <w:rPr>
          <w:rFonts w:hint="eastAsia"/>
          <w:b/>
        </w:rPr>
        <w:t>——开放合作，协同发展。</w:t>
      </w:r>
      <w:r>
        <w:rPr>
          <w:rFonts w:hint="eastAsia" w:cs="仿宋_GB2312"/>
        </w:rPr>
        <w:t>坚持全方位开放发展的基本理念，</w:t>
      </w:r>
      <w:r>
        <w:rPr>
          <w:rFonts w:hint="eastAsia"/>
        </w:rPr>
        <w:t>加强与粤港澳大湾区产业合作共建，积极参与全省“双十”产业集群建设和产业链分工，深化区域产业共建，打造跨区域产业链。</w:t>
      </w:r>
      <w:r>
        <w:rPr>
          <w:rFonts w:hint="eastAsia" w:cs="仿宋_GB2312"/>
        </w:rPr>
        <w:t>在更好地服务“双区”建设中加速全市经济发展</w:t>
      </w:r>
      <w:r>
        <w:rPr>
          <w:rFonts w:hint="eastAsia"/>
        </w:rPr>
        <w:t>，</w:t>
      </w:r>
      <w:r>
        <w:rPr>
          <w:rFonts w:hint="eastAsia" w:cs="仿宋_GB2312"/>
        </w:rPr>
        <w:t>不断拓展大湾区城市交流合作的深度广度，</w:t>
      </w:r>
      <w:r>
        <w:rPr>
          <w:rFonts w:hint="eastAsia"/>
        </w:rPr>
        <w:t>完善制造业及相关生产性服务业的产业链、供应链体系，畅通生产、流通、分配、消费等经济循环。</w:t>
      </w:r>
    </w:p>
    <w:p>
      <w:pPr>
        <w:pStyle w:val="3"/>
        <w:rPr>
          <w:rFonts w:hint="eastAsia" w:ascii="Times New Roman" w:hAnsi="Times New Roman"/>
          <w:b/>
          <w:color w:val="000000" w:themeColor="text1"/>
          <w14:textFill>
            <w14:solidFill>
              <w14:schemeClr w14:val="tx1"/>
            </w14:solidFill>
          </w14:textFill>
        </w:rPr>
      </w:pPr>
      <w:bookmarkStart w:id="21" w:name="_Toc3291"/>
      <w:bookmarkStart w:id="22" w:name="_Toc71906669"/>
      <w:r>
        <w:rPr>
          <w:rFonts w:hint="eastAsia" w:ascii="Times New Roman" w:hAnsi="Times New Roman"/>
          <w:color w:val="000000" w:themeColor="text1"/>
          <w14:textFill>
            <w14:solidFill>
              <w14:schemeClr w14:val="tx1"/>
            </w14:solidFill>
          </w14:textFill>
        </w:rPr>
        <w:t>（三）</w:t>
      </w:r>
      <w:r>
        <w:rPr>
          <w:rFonts w:hint="eastAsia" w:ascii="Times New Roman" w:hAnsi="Times New Roman"/>
          <w:b/>
          <w:color w:val="000000" w:themeColor="text1"/>
          <w14:textFill>
            <w14:solidFill>
              <w14:schemeClr w14:val="tx1"/>
            </w14:solidFill>
          </w14:textFill>
        </w:rPr>
        <w:t>发展定位</w:t>
      </w:r>
      <w:bookmarkEnd w:id="20"/>
      <w:bookmarkEnd w:id="21"/>
      <w:bookmarkEnd w:id="22"/>
    </w:p>
    <w:p>
      <w:pPr>
        <w:ind w:firstLine="640"/>
        <w:rPr>
          <w:color w:val="000000" w:themeColor="text1"/>
          <w14:textFill>
            <w14:solidFill>
              <w14:schemeClr w14:val="tx1"/>
            </w14:solidFill>
          </w14:textFill>
        </w:rPr>
      </w:pPr>
      <w:r>
        <w:rPr>
          <w:rFonts w:hint="eastAsia"/>
          <w:lang w:val="en-US" w:eastAsia="zh-CN"/>
        </w:rPr>
        <w:t>立足“三新一高”，深入实施创新驱动发展战略，对标梅州“5311”绿色产业体系，培育发展低碳产业和绿色经济，全力打造</w:t>
      </w:r>
      <w:r>
        <w:rPr>
          <w:rFonts w:hint="eastAsia"/>
        </w:rPr>
        <w:t>“1231”工业发展新体系</w:t>
      </w:r>
      <w:r>
        <w:rPr>
          <w:rFonts w:hint="eastAsia" w:ascii="仿宋" w:hAnsi="仿宋" w:eastAsia="仿宋"/>
        </w:rPr>
        <w:t>〔</w:t>
      </w:r>
      <w:r>
        <w:rPr>
          <w:rFonts w:hint="eastAsia"/>
        </w:rPr>
        <w:t>即做大做强一个主导产业（装备制造</w:t>
      </w:r>
      <w:r>
        <w:rPr>
          <w:rFonts w:hint="eastAsia"/>
          <w:lang w:eastAsia="zh-CN"/>
        </w:rPr>
        <w:t>业</w:t>
      </w:r>
      <w:r>
        <w:rPr>
          <w:rFonts w:hint="eastAsia"/>
        </w:rPr>
        <w:t>产业），做精做优二个特色产业（生态特色食品产业</w:t>
      </w:r>
      <w:r>
        <w:rPr>
          <w:rFonts w:hint="eastAsia"/>
          <w:lang w:val="en-US" w:eastAsia="zh-CN"/>
        </w:rPr>
        <w:t>和</w:t>
      </w:r>
      <w:r>
        <w:rPr>
          <w:rFonts w:hint="eastAsia"/>
        </w:rPr>
        <w:t>现代轻工纺织产业），培育壮大三个新兴产业（新一代电子信息产业、新材料和生物医药与健康产业），做大做实广州（天河）产业转移园这个工业振兴的主战场主平台</w:t>
      </w:r>
      <w:r>
        <w:rPr>
          <w:rFonts w:hint="eastAsia" w:ascii="仿宋" w:hAnsi="仿宋" w:eastAsia="仿宋"/>
        </w:rPr>
        <w:t>〕</w:t>
      </w:r>
      <w:r>
        <w:rPr>
          <w:rFonts w:hint="eastAsia"/>
        </w:rPr>
        <w:t>，</w:t>
      </w:r>
      <w:r>
        <w:rPr>
          <w:rFonts w:hint="eastAsia"/>
          <w:lang w:val="en-US" w:eastAsia="zh-CN"/>
        </w:rPr>
        <w:t>把兴宁</w:t>
      </w:r>
      <w:r>
        <w:rPr>
          <w:rFonts w:hint="eastAsia"/>
        </w:rPr>
        <w:t>发展</w:t>
      </w:r>
      <w:r>
        <w:rPr>
          <w:rFonts w:hint="eastAsia"/>
          <w:lang w:val="en-US" w:eastAsia="zh-CN"/>
        </w:rPr>
        <w:t>成</w:t>
      </w:r>
      <w:r>
        <w:rPr>
          <w:rFonts w:hint="eastAsia"/>
        </w:rPr>
        <w:t>为粤东北地区特色工业城市</w:t>
      </w:r>
      <w:r>
        <w:rPr>
          <w:rFonts w:hint="eastAsia"/>
          <w:lang w:eastAsia="zh-CN"/>
        </w:rPr>
        <w:t>。</w:t>
      </w:r>
    </w:p>
    <w:p>
      <w:pPr>
        <w:ind w:firstLine="640"/>
        <w:outlineLvl w:val="1"/>
        <w:rPr>
          <w:rFonts w:hint="eastAsia"/>
          <w:b/>
          <w:color w:val="000000" w:themeColor="text1"/>
          <w14:textFill>
            <w14:solidFill>
              <w14:schemeClr w14:val="tx1"/>
            </w14:solidFill>
          </w14:textFill>
        </w:rPr>
      </w:pPr>
      <w:bookmarkStart w:id="23" w:name="_Toc22938"/>
      <w:bookmarkStart w:id="24" w:name="_Toc71906670"/>
      <w:r>
        <w:rPr>
          <w:rFonts w:hint="eastAsia"/>
          <w:b/>
          <w:color w:val="000000" w:themeColor="text1"/>
          <w14:textFill>
            <w14:solidFill>
              <w14:schemeClr w14:val="tx1"/>
            </w14:solidFill>
          </w14:textFill>
        </w:rPr>
        <w:t>（四）发展目标</w:t>
      </w:r>
      <w:bookmarkEnd w:id="23"/>
      <w:bookmarkEnd w:id="24"/>
    </w:p>
    <w:p>
      <w:pPr>
        <w:ind w:firstLine="640"/>
      </w:pPr>
      <w:r>
        <w:rPr>
          <w:rFonts w:hint="eastAsia"/>
        </w:rPr>
        <w:t>到2025年，全市工业经济综合实力显著提升，发展方式逐步优化。工业增加值占全市GDP的比重稳步提升</w:t>
      </w:r>
      <w:r>
        <w:rPr>
          <w:rFonts w:hint="eastAsia"/>
          <w:lang w:eastAsia="zh-CN"/>
        </w:rPr>
        <w:t>，</w:t>
      </w:r>
      <w:r>
        <w:rPr>
          <w:rFonts w:hint="eastAsia"/>
        </w:rPr>
        <w:t>培育形成1-2条具有较大影响力的标志性产业链，主导产业、特色产业、新兴产业</w:t>
      </w:r>
      <w:r>
        <w:rPr>
          <w:rFonts w:hint="eastAsia"/>
          <w:lang w:val="en-US" w:eastAsia="zh-CN"/>
        </w:rPr>
        <w:t>等</w:t>
      </w:r>
      <w:r>
        <w:rPr>
          <w:rFonts w:hint="eastAsia"/>
        </w:rPr>
        <w:t>“123”产业集群实现引领发展，质量效益水平保持在梅州领先水平，努力成为梅州工业经济高质量发展的新标杆。</w:t>
      </w:r>
    </w:p>
    <w:p>
      <w:pPr>
        <w:ind w:firstLine="0" w:firstLineChars="0"/>
        <w:jc w:val="center"/>
        <w:outlineLvl w:val="9"/>
        <w:rPr>
          <w:rFonts w:hint="eastAsia"/>
          <w:b/>
          <w:bCs/>
          <w:sz w:val="28"/>
          <w:szCs w:val="28"/>
          <w:highlight w:val="none"/>
        </w:rPr>
      </w:pPr>
    </w:p>
    <w:p>
      <w:pPr>
        <w:ind w:firstLine="0" w:firstLineChars="0"/>
        <w:jc w:val="center"/>
        <w:outlineLvl w:val="9"/>
        <w:rPr>
          <w:rFonts w:hint="eastAsia"/>
          <w:sz w:val="28"/>
          <w:szCs w:val="28"/>
          <w:highlight w:val="none"/>
        </w:rPr>
      </w:pPr>
      <w:r>
        <w:rPr>
          <w:rFonts w:hint="eastAsia"/>
          <w:b/>
          <w:bCs/>
          <w:sz w:val="28"/>
          <w:szCs w:val="28"/>
          <w:highlight w:val="none"/>
        </w:rPr>
        <w:t>“十四五”时期工业发展主要指标</w:t>
      </w:r>
    </w:p>
    <w:tbl>
      <w:tblPr>
        <w:tblStyle w:val="13"/>
        <w:tblW w:w="9170" w:type="dxa"/>
        <w:jc w:val="center"/>
        <w:tblLayout w:type="autofit"/>
        <w:tblCellMar>
          <w:top w:w="0" w:type="dxa"/>
          <w:left w:w="108" w:type="dxa"/>
          <w:bottom w:w="0" w:type="dxa"/>
          <w:right w:w="108" w:type="dxa"/>
        </w:tblCellMar>
      </w:tblPr>
      <w:tblGrid>
        <w:gridCol w:w="481"/>
        <w:gridCol w:w="695"/>
        <w:gridCol w:w="680"/>
        <w:gridCol w:w="2665"/>
        <w:gridCol w:w="680"/>
        <w:gridCol w:w="964"/>
        <w:gridCol w:w="964"/>
        <w:gridCol w:w="1134"/>
        <w:gridCol w:w="907"/>
      </w:tblGrid>
      <w:tr>
        <w:tblPrEx>
          <w:tblCellMar>
            <w:top w:w="0" w:type="dxa"/>
            <w:left w:w="108" w:type="dxa"/>
            <w:bottom w:w="0" w:type="dxa"/>
            <w:right w:w="108" w:type="dxa"/>
          </w:tblCellMar>
        </w:tblPrEx>
        <w:trPr>
          <w:trHeight w:val="585" w:hRule="atLeast"/>
          <w:jc w:val="center"/>
        </w:trPr>
        <w:tc>
          <w:tcPr>
            <w:tcW w:w="1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类别</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266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指标名称</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2020年</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2025年</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年均增速</w:t>
            </w: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属性</w:t>
            </w:r>
          </w:p>
        </w:tc>
      </w:tr>
      <w:tr>
        <w:tblPrEx>
          <w:tblCellMar>
            <w:top w:w="0" w:type="dxa"/>
            <w:left w:w="108" w:type="dxa"/>
            <w:bottom w:w="0" w:type="dxa"/>
            <w:right w:w="108" w:type="dxa"/>
          </w:tblCellMar>
        </w:tblPrEx>
        <w:trPr>
          <w:trHeight w:val="444" w:hRule="atLeast"/>
          <w:jc w:val="center"/>
        </w:trPr>
        <w:tc>
          <w:tcPr>
            <w:tcW w:w="117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经济效益</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工业总产值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102.31</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eastAsia="zh-CN"/>
              </w:rPr>
              <w:t>2</w:t>
            </w:r>
            <w:r>
              <w:rPr>
                <w:rFonts w:hint="eastAsia" w:ascii="宋体" w:hAnsi="宋体" w:eastAsia="宋体" w:cs="宋体"/>
                <w:color w:val="000000"/>
                <w:kern w:val="0"/>
                <w:sz w:val="22"/>
                <w:szCs w:val="22"/>
                <w:highlight w:val="none"/>
                <w:lang w:val="en-US" w:eastAsia="zh-CN"/>
              </w:rPr>
              <w:t>55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20.04</w:t>
            </w:r>
            <w:r>
              <w:rPr>
                <w:rFonts w:hint="eastAsia" w:ascii="宋体" w:hAnsi="宋体" w:eastAsia="宋体" w:cs="宋体"/>
                <w:color w:val="000000"/>
                <w:kern w:val="0"/>
                <w:sz w:val="22"/>
                <w:szCs w:val="22"/>
                <w:highlight w:val="none"/>
              </w:rPr>
              <w:t>%</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预期性</w:t>
            </w:r>
          </w:p>
        </w:tc>
      </w:tr>
      <w:tr>
        <w:tblPrEx>
          <w:tblCellMar>
            <w:top w:w="0" w:type="dxa"/>
            <w:left w:w="108" w:type="dxa"/>
            <w:bottom w:w="0" w:type="dxa"/>
            <w:right w:w="108" w:type="dxa"/>
          </w:tblCellMar>
        </w:tblPrEx>
        <w:trPr>
          <w:trHeight w:val="46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规上工业增加</w:t>
            </w:r>
            <w:bookmarkStart w:id="73" w:name="_GoBack"/>
            <w:bookmarkEnd w:id="73"/>
            <w:r>
              <w:rPr>
                <w:rFonts w:hint="eastAsia" w:ascii="宋体" w:hAnsi="宋体" w:eastAsia="宋体" w:cs="宋体"/>
                <w:color w:val="000000"/>
                <w:kern w:val="0"/>
                <w:sz w:val="22"/>
                <w:szCs w:val="22"/>
              </w:rPr>
              <w:t>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12.71</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577"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年产值超1亿元企业数</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4</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25</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51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年产值超5亿元企业数</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创新能力</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规模以上工业企业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设立研发机构比例</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30.2</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10.61%</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省、市级企业技术中心数</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个</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14.87%</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高新技术企业数</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7.84%</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万人发明专利拥有量</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34</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r>
              <w:rPr>
                <w:rFonts w:hint="eastAsia" w:ascii="宋体" w:hAnsi="宋体" w:eastAsia="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eastAsia="zh-CN"/>
              </w:rPr>
              <w:t>3</w:t>
            </w:r>
            <w:r>
              <w:rPr>
                <w:rFonts w:hint="eastAsia" w:ascii="宋体" w:hAnsi="宋体" w:eastAsia="宋体" w:cs="宋体"/>
                <w:color w:val="000000"/>
                <w:kern w:val="0"/>
                <w:sz w:val="22"/>
                <w:szCs w:val="22"/>
                <w:highlight w:val="none"/>
                <w:lang w:val="en-US" w:eastAsia="zh-CN"/>
              </w:rPr>
              <w:t>2.00</w:t>
            </w:r>
            <w:r>
              <w:rPr>
                <w:rFonts w:hint="eastAsia" w:ascii="宋体" w:hAnsi="宋体" w:eastAsia="宋体" w:cs="宋体"/>
                <w:color w:val="000000"/>
                <w:kern w:val="0"/>
                <w:sz w:val="22"/>
                <w:szCs w:val="22"/>
                <w:highlight w:val="none"/>
              </w:rPr>
              <w:t>%</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高新技术产值</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占全市工业总产值比重</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15.34</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4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产业结构</w:t>
            </w:r>
          </w:p>
        </w:tc>
        <w:tc>
          <w:tcPr>
            <w:tcW w:w="69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主导产业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装备制造业</w:t>
            </w:r>
            <w:r>
              <w:rPr>
                <w:rFonts w:hint="eastAsia" w:ascii="宋体" w:hAnsi="宋体" w:eastAsia="宋体" w:cs="宋体"/>
                <w:color w:val="000000"/>
                <w:kern w:val="0"/>
                <w:sz w:val="22"/>
                <w:szCs w:val="22"/>
                <w:lang w:eastAsia="zh-CN"/>
              </w:rPr>
              <w:t>产业</w:t>
            </w:r>
            <w:r>
              <w:rPr>
                <w:rFonts w:hint="eastAsia" w:ascii="宋体" w:hAnsi="宋体" w:eastAsia="宋体" w:cs="宋体"/>
                <w:color w:val="000000"/>
                <w:kern w:val="0"/>
                <w:sz w:val="22"/>
                <w:szCs w:val="22"/>
              </w:rPr>
              <w:t>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23.62</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70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24.27%</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593" w:hRule="atLeast"/>
          <w:jc w:val="center"/>
        </w:trPr>
        <w:tc>
          <w:tcPr>
            <w:tcW w:w="4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特色产业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生态特色食品</w:t>
            </w:r>
            <w:r>
              <w:rPr>
                <w:rFonts w:hint="eastAsia" w:ascii="宋体" w:hAnsi="宋体" w:eastAsia="宋体" w:cs="宋体"/>
                <w:color w:val="000000"/>
                <w:kern w:val="0"/>
                <w:sz w:val="22"/>
                <w:szCs w:val="22"/>
                <w:lang w:eastAsia="zh-CN"/>
              </w:rPr>
              <w:t>产业</w:t>
            </w:r>
            <w:r>
              <w:rPr>
                <w:rFonts w:hint="eastAsia" w:ascii="宋体" w:hAnsi="宋体" w:eastAsia="宋体" w:cs="宋体"/>
                <w:color w:val="000000"/>
                <w:kern w:val="0"/>
                <w:sz w:val="22"/>
                <w:szCs w:val="22"/>
              </w:rPr>
              <w:t>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24.59</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17.47%</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543" w:hRule="atLeast"/>
          <w:jc w:val="center"/>
        </w:trPr>
        <w:tc>
          <w:tcPr>
            <w:tcW w:w="4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95"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现代轻工纺织产业产值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18.44</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16.75%</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27" w:hRule="atLeast"/>
          <w:jc w:val="center"/>
        </w:trPr>
        <w:tc>
          <w:tcPr>
            <w:tcW w:w="4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新兴产业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新一代电子信息产业产值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5.97</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42.44%</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4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95"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新材料产业产值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15.47</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10.08%</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594" w:hRule="atLeast"/>
          <w:jc w:val="center"/>
        </w:trPr>
        <w:tc>
          <w:tcPr>
            <w:tcW w:w="481"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95"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生物医药与健康产业产值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6.02</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20.03%</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60" w:hRule="atLeast"/>
          <w:jc w:val="center"/>
        </w:trPr>
        <w:tc>
          <w:tcPr>
            <w:tcW w:w="117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园区发展</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园区工业产值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28.36</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00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园区工业产值</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占全市工业总产值比重</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27.72</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工业园区单位土地产值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万</w:t>
            </w:r>
            <w:r>
              <w:rPr>
                <w:rFonts w:hint="eastAsia" w:ascii="宋体" w:hAnsi="宋体" w:eastAsia="宋体" w:cs="宋体"/>
                <w:color w:val="000000"/>
                <w:kern w:val="0"/>
                <w:sz w:val="22"/>
                <w:szCs w:val="22"/>
              </w:rPr>
              <w:t>元/</w:t>
            </w:r>
            <w:r>
              <w:rPr>
                <w:rFonts w:hint="eastAsia" w:ascii="宋体" w:hAnsi="宋体" w:eastAsia="宋体" w:cs="宋体"/>
                <w:color w:val="000000"/>
                <w:kern w:val="0"/>
                <w:sz w:val="22"/>
                <w:szCs w:val="22"/>
                <w:lang w:val="en-US" w:eastAsia="zh-CN"/>
              </w:rPr>
              <w:t>亩</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56.72</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350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493"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19</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工业园区单位土地</w:t>
            </w:r>
            <w:r>
              <w:rPr>
                <w:rFonts w:hint="eastAsia" w:ascii="宋体" w:hAnsi="宋体" w:eastAsia="宋体" w:cs="宋体"/>
                <w:color w:val="000000"/>
                <w:kern w:val="0"/>
                <w:sz w:val="22"/>
                <w:szCs w:val="22"/>
                <w:lang w:val="en-US" w:eastAsia="zh-CN"/>
              </w:rPr>
              <w:t>税收</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万</w:t>
            </w:r>
            <w:r>
              <w:rPr>
                <w:rFonts w:hint="eastAsia" w:ascii="宋体" w:hAnsi="宋体" w:eastAsia="宋体" w:cs="宋体"/>
                <w:color w:val="000000"/>
                <w:kern w:val="0"/>
                <w:sz w:val="22"/>
                <w:szCs w:val="22"/>
              </w:rPr>
              <w:t>元/</w:t>
            </w:r>
            <w:r>
              <w:rPr>
                <w:rFonts w:hint="eastAsia" w:ascii="宋体" w:hAnsi="宋体" w:eastAsia="宋体" w:cs="宋体"/>
                <w:color w:val="000000"/>
                <w:kern w:val="0"/>
                <w:sz w:val="22"/>
                <w:szCs w:val="22"/>
                <w:lang w:val="en-US" w:eastAsia="zh-CN"/>
              </w:rPr>
              <w:t>亩</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2.22</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CellMar>
            <w:top w:w="0" w:type="dxa"/>
            <w:left w:w="108" w:type="dxa"/>
            <w:bottom w:w="0" w:type="dxa"/>
            <w:right w:w="108" w:type="dxa"/>
          </w:tblCellMar>
        </w:tblPrEx>
        <w:trPr>
          <w:trHeight w:val="660"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宋体" w:hAnsi="宋体" w:eastAsia="宋体" w:cs="宋体"/>
                <w:color w:val="000000"/>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园区“123”产业总产值</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占园区工业总产值比重</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39.04</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113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18.18</w:t>
            </w:r>
            <w:r>
              <w:rPr>
                <w:rFonts w:hint="eastAsia" w:ascii="宋体" w:hAnsi="宋体" w:eastAsia="宋体" w:cs="宋体"/>
                <w:color w:val="000000"/>
                <w:kern w:val="0"/>
                <w:sz w:val="22"/>
                <w:szCs w:val="22"/>
              </w:rPr>
              <w:t>%</w:t>
            </w:r>
          </w:p>
        </w:tc>
        <w:tc>
          <w:tcPr>
            <w:tcW w:w="90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bl>
    <w:p>
      <w:pPr>
        <w:pStyle w:val="2"/>
        <w:spacing w:line="360" w:lineRule="auto"/>
        <w:ind w:firstLine="0" w:firstLineChars="0"/>
        <w:rPr>
          <w:rFonts w:ascii="Times New Roman" w:hAnsi="Times New Roman" w:eastAsia="黑体" w:cs="Times New Roman"/>
          <w:color w:val="000000" w:themeColor="text1"/>
          <w:sz w:val="32"/>
          <w14:textFill>
            <w14:solidFill>
              <w14:schemeClr w14:val="tx1"/>
            </w14:solidFill>
          </w14:textFill>
        </w:rPr>
      </w:pPr>
      <w:r>
        <w:rPr>
          <w:rStyle w:val="25"/>
        </w:rPr>
        <w:br w:type="page"/>
      </w:r>
      <w:bookmarkStart w:id="25" w:name="_Toc71578668"/>
      <w:bookmarkStart w:id="26" w:name="_Toc71906671"/>
      <w:bookmarkStart w:id="27" w:name="_Toc8694"/>
      <w:r>
        <w:rPr>
          <w:rFonts w:hint="eastAsia" w:ascii="Times New Roman" w:hAnsi="Times New Roman" w:eastAsia="黑体" w:cs="Times New Roman"/>
          <w:color w:val="000000" w:themeColor="text1"/>
          <w:sz w:val="32"/>
          <w14:textFill>
            <w14:solidFill>
              <w14:schemeClr w14:val="tx1"/>
            </w14:solidFill>
          </w14:textFill>
        </w:rPr>
        <w:t>三、主要</w:t>
      </w:r>
      <w:bookmarkEnd w:id="25"/>
      <w:r>
        <w:rPr>
          <w:rFonts w:hint="eastAsia" w:ascii="Times New Roman" w:hAnsi="Times New Roman" w:eastAsia="黑体" w:cs="Times New Roman"/>
          <w:color w:val="000000" w:themeColor="text1"/>
          <w:sz w:val="32"/>
          <w14:textFill>
            <w14:solidFill>
              <w14:schemeClr w14:val="tx1"/>
            </w14:solidFill>
          </w14:textFill>
        </w:rPr>
        <w:t>任务</w:t>
      </w:r>
      <w:bookmarkEnd w:id="26"/>
      <w:bookmarkEnd w:id="27"/>
    </w:p>
    <w:p>
      <w:pPr>
        <w:pStyle w:val="3"/>
      </w:pPr>
      <w:bookmarkStart w:id="28" w:name="_Toc71578669"/>
      <w:bookmarkStart w:id="29" w:name="_Toc71906672"/>
      <w:bookmarkStart w:id="30" w:name="_Toc26184"/>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一</w:t>
      </w:r>
      <w:r>
        <w:rPr>
          <w:rFonts w:hint="eastAsia" w:ascii="Times New Roman" w:hAnsi="Times New Roman"/>
          <w:color w:val="000000" w:themeColor="text1"/>
          <w:lang w:eastAsia="zh-CN"/>
          <w14:textFill>
            <w14:solidFill>
              <w14:schemeClr w14:val="tx1"/>
            </w14:solidFill>
          </w14:textFill>
        </w:rPr>
        <w:t>）</w:t>
      </w:r>
      <w:bookmarkEnd w:id="28"/>
      <w:bookmarkEnd w:id="29"/>
      <w:r>
        <w:rPr>
          <w:rFonts w:hint="eastAsia"/>
        </w:rPr>
        <w:t>构建兴宁市“1231”工业发展新体系</w:t>
      </w:r>
      <w:bookmarkEnd w:id="30"/>
    </w:p>
    <w:p>
      <w:pPr>
        <w:ind w:firstLine="640"/>
      </w:pPr>
      <w:r>
        <w:rPr>
          <w:rFonts w:hint="eastAsia"/>
        </w:rPr>
        <w:t>以粤港澳大湾区现代产业体系建设和广东省20个产业集群培育的重大战略为指引，以“补短板、增长板、夯基础、抓创新、强韧性、保稳定”为原则，结合兴宁市传统产业基础、资源禀赋和配套需求，</w:t>
      </w:r>
      <w:r>
        <w:rPr>
          <w:rFonts w:hint="eastAsia"/>
          <w:lang w:val="en-US" w:eastAsia="zh-CN"/>
        </w:rPr>
        <w:t>不断</w:t>
      </w:r>
      <w:r>
        <w:rPr>
          <w:rFonts w:hint="eastAsia"/>
        </w:rPr>
        <w:t>优化产业结构和布局，</w:t>
      </w:r>
      <w:r>
        <w:rPr>
          <w:rFonts w:hint="eastAsia"/>
          <w:lang w:val="en-US" w:eastAsia="zh-CN"/>
        </w:rPr>
        <w:t>着力壮大龙头企业，</w:t>
      </w:r>
      <w:r>
        <w:rPr>
          <w:rFonts w:hint="eastAsia"/>
        </w:rPr>
        <w:t>构建兴宁市“1231”工业发展新体系。</w:t>
      </w:r>
    </w:p>
    <w:p>
      <w:pPr>
        <w:ind w:firstLine="643"/>
        <w:outlineLvl w:val="2"/>
        <w:rPr>
          <w:b/>
          <w:bCs/>
        </w:rPr>
      </w:pPr>
      <w:bookmarkStart w:id="31" w:name="_Toc1423"/>
      <w:r>
        <w:rPr>
          <w:rFonts w:hint="eastAsia"/>
          <w:b/>
          <w:bCs/>
          <w:lang w:val="en-US" w:eastAsia="zh-CN"/>
        </w:rPr>
        <w:t>1.</w:t>
      </w:r>
      <w:r>
        <w:rPr>
          <w:rFonts w:hint="eastAsia"/>
          <w:b/>
          <w:bCs/>
        </w:rPr>
        <w:t>做大做强</w:t>
      </w:r>
      <w:r>
        <w:rPr>
          <w:rFonts w:hint="eastAsia"/>
          <w:b/>
          <w:bCs/>
          <w:lang w:val="en-US" w:eastAsia="zh-CN"/>
        </w:rPr>
        <w:t>一个</w:t>
      </w:r>
      <w:r>
        <w:rPr>
          <w:rFonts w:hint="eastAsia"/>
          <w:b/>
          <w:bCs/>
        </w:rPr>
        <w:t>主导产业</w:t>
      </w:r>
      <w:bookmarkEnd w:id="31"/>
      <w:bookmarkStart w:id="32" w:name="_Toc60258718"/>
    </w:p>
    <w:p>
      <w:pPr>
        <w:ind w:firstLine="643"/>
        <w:rPr>
          <w:color w:val="FF0000"/>
          <w:u w:val="single"/>
        </w:rPr>
      </w:pPr>
      <w:r>
        <w:rPr>
          <w:rFonts w:hint="eastAsia"/>
          <w:b/>
        </w:rPr>
        <w:t>装备制造业</w:t>
      </w:r>
      <w:r>
        <w:rPr>
          <w:rFonts w:hint="eastAsia"/>
          <w:b/>
          <w:lang w:eastAsia="zh-CN"/>
        </w:rPr>
        <w:t>产业</w:t>
      </w:r>
      <w:r>
        <w:rPr>
          <w:rFonts w:hint="eastAsia"/>
          <w:b/>
        </w:rPr>
        <w:t>。</w:t>
      </w:r>
      <w:r>
        <w:rPr>
          <w:rFonts w:hint="eastAsia"/>
        </w:rPr>
        <w:t>利用园区已有工业基础，提升企业智能化、数字化制造水平，做大做强装备制造业</w:t>
      </w:r>
      <w:r>
        <w:rPr>
          <w:rFonts w:hint="eastAsia"/>
          <w:lang w:eastAsia="zh-CN"/>
        </w:rPr>
        <w:t>产业</w:t>
      </w:r>
      <w:r>
        <w:rPr>
          <w:rFonts w:hint="eastAsia"/>
        </w:rPr>
        <w:t>，</w:t>
      </w:r>
      <w:r>
        <w:rPr>
          <w:rFonts w:hint="eastAsia"/>
          <w:color w:val="000000" w:themeColor="text1"/>
          <w14:textFill>
            <w14:solidFill>
              <w14:schemeClr w14:val="tx1"/>
            </w14:solidFill>
          </w14:textFill>
        </w:rPr>
        <w:t>充分发挥本土企业协同效应，加强企业间合作交流，进一步扩大产业规模</w:t>
      </w:r>
      <w:r>
        <w:rPr>
          <w:rFonts w:hint="eastAsia"/>
        </w:rPr>
        <w:t>。力争到2025年，全市装备制造业</w:t>
      </w:r>
      <w:r>
        <w:rPr>
          <w:rFonts w:hint="eastAsia"/>
          <w:lang w:eastAsia="zh-CN"/>
        </w:rPr>
        <w:t>产业</w:t>
      </w:r>
      <w:r>
        <w:rPr>
          <w:rFonts w:hint="eastAsia"/>
        </w:rPr>
        <w:t>产值</w:t>
      </w:r>
      <w:r>
        <w:rPr>
          <w:rFonts w:hint="eastAsia"/>
          <w:highlight w:val="none"/>
        </w:rPr>
        <w:t>达</w:t>
      </w:r>
      <w:r>
        <w:rPr>
          <w:rFonts w:hint="eastAsia"/>
          <w:highlight w:val="none"/>
          <w:lang w:val="en-US" w:eastAsia="zh-CN"/>
        </w:rPr>
        <w:t>70</w:t>
      </w:r>
      <w:r>
        <w:rPr>
          <w:rFonts w:hint="eastAsia"/>
          <w:highlight w:val="none"/>
        </w:rPr>
        <w:t>亿元以上。</w:t>
      </w:r>
    </w:p>
    <w:p>
      <w:pPr>
        <w:ind w:firstLine="64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切实推进高端数控机床、高端漆包线、泵阀、电梯配件的精密铸造、汽车配件、智能家电、水轮发电机、电站智能监控系统以及新能源汽车等领域的装备制造业发展，突破产业发展瓶颈和短板，向智能制造高端化发展，培育一批具有较大影响力和自有品牌价值的“专精特新”企业。建设从上游原材料生产供应，到中游产品加工制造，再到面向细分市场销售的全链条发展路径，大力推进以电气机械与器材、通用设备以及新能源汽车为主的装备制造业向智能制造高端化发展；汇力聚势</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加强与广东梅州高新技术产业园区产业对接，</w:t>
      </w:r>
      <w:r>
        <w:rPr>
          <w:rFonts w:hint="eastAsia"/>
          <w:color w:val="000000" w:themeColor="text1"/>
          <w:highlight w:val="none"/>
          <w14:textFill>
            <w14:solidFill>
              <w14:schemeClr w14:val="tx1"/>
            </w14:solidFill>
          </w14:textFill>
        </w:rPr>
        <w:t>与梅县区、梅</w:t>
      </w:r>
      <w:r>
        <w:rPr>
          <w:rFonts w:hint="eastAsia"/>
          <w:color w:val="000000" w:themeColor="text1"/>
          <w14:textFill>
            <w14:solidFill>
              <w14:schemeClr w14:val="tx1"/>
            </w14:solidFill>
          </w14:textFill>
        </w:rPr>
        <w:t>江区、平远县等周边县区优势企业建立分工合作关系，精准补齐产业链短板，延长产业链，构建全市装备制造业内外联动畅通发展格局；配套发展新型仓储、现代物流等生产性服务业。实现“产、研、销、展”一体化，形成区域内有竞争力的装备制造业产业集群。</w:t>
      </w:r>
    </w:p>
    <w:tbl>
      <w:tblPr>
        <w:tblStyle w:val="13"/>
        <w:tblW w:w="5000" w:type="pct"/>
        <w:tblInd w:w="0" w:type="dxa"/>
        <w:tblLayout w:type="autofit"/>
        <w:tblCellMar>
          <w:top w:w="0" w:type="dxa"/>
          <w:left w:w="108" w:type="dxa"/>
          <w:bottom w:w="0" w:type="dxa"/>
          <w:right w:w="108" w:type="dxa"/>
        </w:tblCellMar>
      </w:tblPr>
      <w:tblGrid>
        <w:gridCol w:w="1493"/>
        <w:gridCol w:w="4433"/>
        <w:gridCol w:w="2596"/>
      </w:tblGrid>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装备制造业产业重点企业</w:t>
            </w:r>
          </w:p>
        </w:tc>
      </w:tr>
      <w:tr>
        <w:tblPrEx>
          <w:tblCellMar>
            <w:top w:w="0" w:type="dxa"/>
            <w:left w:w="108" w:type="dxa"/>
            <w:bottom w:w="0" w:type="dxa"/>
            <w:right w:w="108" w:type="dxa"/>
          </w:tblCellMar>
        </w:tblPrEx>
        <w:trPr>
          <w:trHeight w:val="600" w:hRule="atLeast"/>
        </w:trPr>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1"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广东金雁电工科技股份有限公司</w:t>
            </w:r>
          </w:p>
        </w:tc>
        <w:tc>
          <w:tcPr>
            <w:tcW w:w="1521" w:type="pct"/>
            <w:tcBorders>
              <w:top w:val="single" w:color="auto" w:sz="4" w:space="0"/>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73967</w:t>
            </w:r>
          </w:p>
        </w:tc>
      </w:tr>
      <w:tr>
        <w:tblPrEx>
          <w:tblCellMar>
            <w:top w:w="0" w:type="dxa"/>
            <w:left w:w="108" w:type="dxa"/>
            <w:bottom w:w="0" w:type="dxa"/>
            <w:right w:w="108" w:type="dxa"/>
          </w:tblCellMar>
        </w:tblPrEx>
        <w:trPr>
          <w:trHeight w:val="60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1"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广东华雨金属制造有限公司</w:t>
            </w:r>
          </w:p>
        </w:tc>
        <w:tc>
          <w:tcPr>
            <w:tcW w:w="1521"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24228</w:t>
            </w:r>
          </w:p>
        </w:tc>
      </w:tr>
      <w:tr>
        <w:tblPrEx>
          <w:tblCellMar>
            <w:top w:w="0" w:type="dxa"/>
            <w:left w:w="108" w:type="dxa"/>
            <w:bottom w:w="0" w:type="dxa"/>
            <w:right w:w="108" w:type="dxa"/>
          </w:tblCellMar>
        </w:tblPrEx>
        <w:trPr>
          <w:trHeight w:val="60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1"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万宝电器有限公司</w:t>
            </w:r>
          </w:p>
        </w:tc>
        <w:tc>
          <w:tcPr>
            <w:tcW w:w="1521"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11914</w:t>
            </w:r>
          </w:p>
        </w:tc>
      </w:tr>
      <w:tr>
        <w:tblPrEx>
          <w:tblCellMar>
            <w:top w:w="0" w:type="dxa"/>
            <w:left w:w="108" w:type="dxa"/>
            <w:bottom w:w="0" w:type="dxa"/>
            <w:right w:w="108" w:type="dxa"/>
          </w:tblCellMar>
        </w:tblPrEx>
        <w:trPr>
          <w:trHeight w:val="60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1"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广东科为健康智能科技股份有限公司</w:t>
            </w:r>
          </w:p>
        </w:tc>
        <w:tc>
          <w:tcPr>
            <w:tcW w:w="1521"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10222</w:t>
            </w:r>
          </w:p>
        </w:tc>
      </w:tr>
      <w:tr>
        <w:tblPrEx>
          <w:tblCellMar>
            <w:top w:w="0" w:type="dxa"/>
            <w:left w:w="108" w:type="dxa"/>
            <w:bottom w:w="0" w:type="dxa"/>
            <w:right w:w="108" w:type="dxa"/>
          </w:tblCellMar>
        </w:tblPrEx>
        <w:trPr>
          <w:trHeight w:val="60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1"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广东海思智能装备有限公司</w:t>
            </w:r>
          </w:p>
        </w:tc>
        <w:tc>
          <w:tcPr>
            <w:tcW w:w="1521"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8131</w:t>
            </w:r>
          </w:p>
        </w:tc>
      </w:tr>
      <w:tr>
        <w:tblPrEx>
          <w:tblCellMar>
            <w:top w:w="0" w:type="dxa"/>
            <w:left w:w="108" w:type="dxa"/>
            <w:bottom w:w="0" w:type="dxa"/>
            <w:right w:w="108" w:type="dxa"/>
          </w:tblCellMar>
        </w:tblPrEx>
        <w:trPr>
          <w:trHeight w:val="60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6</w:t>
            </w:r>
          </w:p>
        </w:tc>
        <w:tc>
          <w:tcPr>
            <w:tcW w:w="2601"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兴宁市奥浦合金工业有限公司</w:t>
            </w:r>
          </w:p>
        </w:tc>
        <w:tc>
          <w:tcPr>
            <w:tcW w:w="1521"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7241</w:t>
            </w:r>
          </w:p>
        </w:tc>
      </w:tr>
      <w:tr>
        <w:tblPrEx>
          <w:tblCellMar>
            <w:top w:w="0" w:type="dxa"/>
            <w:left w:w="108" w:type="dxa"/>
            <w:bottom w:w="0" w:type="dxa"/>
            <w:right w:w="108" w:type="dxa"/>
          </w:tblCellMar>
        </w:tblPrEx>
        <w:trPr>
          <w:trHeight w:val="600" w:hRule="atLeast"/>
        </w:trPr>
        <w:tc>
          <w:tcPr>
            <w:tcW w:w="8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7</w:t>
            </w:r>
          </w:p>
        </w:tc>
        <w:tc>
          <w:tcPr>
            <w:tcW w:w="2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梅州广汽汽车弹簧有限公司</w:t>
            </w:r>
          </w:p>
        </w:tc>
        <w:tc>
          <w:tcPr>
            <w:tcW w:w="15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5564</w:t>
            </w:r>
          </w:p>
        </w:tc>
      </w:tr>
      <w:tr>
        <w:tblPrEx>
          <w:tblCellMar>
            <w:top w:w="0" w:type="dxa"/>
            <w:left w:w="108" w:type="dxa"/>
            <w:bottom w:w="0" w:type="dxa"/>
            <w:right w:w="108" w:type="dxa"/>
          </w:tblCellMar>
        </w:tblPrEx>
        <w:trPr>
          <w:trHeight w:val="600" w:hRule="atLeast"/>
        </w:trPr>
        <w:tc>
          <w:tcPr>
            <w:tcW w:w="8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现有企业93家，2020年总产值23.62亿元，占全市工业总产值23.09%。</w:t>
            </w:r>
          </w:p>
        </w:tc>
      </w:tr>
    </w:tbl>
    <w:p>
      <w:pPr>
        <w:ind w:firstLine="640"/>
        <w:rPr>
          <w:rFonts w:hint="eastAsia"/>
          <w:color w:val="000000" w:themeColor="text1"/>
          <w:lang w:val="en-US" w:eastAsia="zh-CN"/>
          <w14:textFill>
            <w14:solidFill>
              <w14:schemeClr w14:val="tx1"/>
            </w14:solidFill>
          </w14:textFill>
        </w:rPr>
      </w:pPr>
    </w:p>
    <w:tbl>
      <w:tblPr>
        <w:tblStyle w:val="13"/>
        <w:tblW w:w="9184" w:type="dxa"/>
        <w:jc w:val="center"/>
        <w:tblLayout w:type="autofit"/>
        <w:tblCellMar>
          <w:top w:w="0" w:type="dxa"/>
          <w:left w:w="108" w:type="dxa"/>
          <w:bottom w:w="0" w:type="dxa"/>
          <w:right w:w="108" w:type="dxa"/>
        </w:tblCellMar>
      </w:tblPr>
      <w:tblGrid>
        <w:gridCol w:w="704"/>
        <w:gridCol w:w="3460"/>
        <w:gridCol w:w="3604"/>
        <w:gridCol w:w="1416"/>
      </w:tblGrid>
      <w:tr>
        <w:tblPrEx>
          <w:tblCellMar>
            <w:top w:w="0" w:type="dxa"/>
            <w:left w:w="108" w:type="dxa"/>
            <w:bottom w:w="0" w:type="dxa"/>
            <w:right w:w="108" w:type="dxa"/>
          </w:tblCellMar>
        </w:tblPrEx>
        <w:trPr>
          <w:trHeight w:val="561" w:hRule="atLeast"/>
          <w:jc w:val="center"/>
        </w:trPr>
        <w:tc>
          <w:tcPr>
            <w:tcW w:w="9184"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装备制造业</w:t>
            </w:r>
            <w:r>
              <w:rPr>
                <w:rFonts w:hint="eastAsia" w:ascii="宋体" w:hAnsi="宋体" w:eastAsia="宋体" w:cs="宋体"/>
                <w:b/>
                <w:bCs/>
                <w:kern w:val="0"/>
                <w:sz w:val="22"/>
                <w:szCs w:val="22"/>
                <w:lang w:eastAsia="zh-CN"/>
              </w:rPr>
              <w:t>产业</w:t>
            </w:r>
            <w:r>
              <w:rPr>
                <w:rFonts w:hint="eastAsia" w:ascii="宋体" w:hAnsi="宋体" w:eastAsia="宋体" w:cs="宋体"/>
                <w:b/>
                <w:bCs/>
                <w:kern w:val="0"/>
                <w:sz w:val="22"/>
                <w:szCs w:val="22"/>
                <w:lang w:val="en-US" w:eastAsia="zh-CN"/>
              </w:rPr>
              <w:t>在建/规划</w:t>
            </w:r>
            <w:r>
              <w:rPr>
                <w:rFonts w:hint="eastAsia" w:ascii="宋体" w:hAnsi="宋体" w:eastAsia="宋体" w:cs="宋体"/>
                <w:b/>
                <w:bCs/>
                <w:kern w:val="0"/>
                <w:sz w:val="22"/>
                <w:szCs w:val="22"/>
              </w:rPr>
              <w:t>重点项目</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广州轻工智能家电产业集群项目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广东三角牌电器股份有限公司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77</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广汽零部件产业基地项目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梅州广汽零部件产业有限公司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电工产品生产项目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广东红禾郎电工有限公司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梅州广汽汽车弹簧生产项目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梅州广汽汽车弹簧有限公司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rPr>
              <w:t>8</w:t>
            </w:r>
            <w:r>
              <w:rPr>
                <w:rFonts w:hint="eastAsia" w:ascii="宋体" w:hAnsi="宋体" w:eastAsia="宋体" w:cs="宋体"/>
                <w:color w:val="000000"/>
                <w:kern w:val="0"/>
                <w:sz w:val="22"/>
                <w:szCs w:val="22"/>
                <w:lang w:val="en-US" w:eastAsia="zh-CN"/>
              </w:rPr>
              <w:t>6</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嘉恒钢结构构件项目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广东嘉恒钢结构有限公司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高端汽车玻璃生产项目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梅州圣戈班汽车玻璃系统有限公司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9</w:t>
            </w:r>
            <w:r>
              <w:rPr>
                <w:rFonts w:hint="eastAsia" w:ascii="宋体" w:hAnsi="宋体" w:eastAsia="宋体" w:cs="宋体"/>
                <w:color w:val="000000"/>
                <w:kern w:val="0"/>
                <w:sz w:val="22"/>
                <w:szCs w:val="22"/>
                <w:lang w:val="en-US" w:eastAsia="zh-CN"/>
              </w:rPr>
              <w:t>2</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家安消防设备生产项目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梅州市家安消防设备有限公司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80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梅州裕晟照明有限公司照明产品生产线项目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梅州裕晟照明有限公司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60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湛电智能家电及其配套生产项目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广东湛电工业有限公司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尚善彩印项目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兴宁市尚善彩印有限公司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永昇灯具及配件制造项目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梅州市永昇新能源有限公司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兴宁市数控机床项目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广东海思智能装备有限公司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官田脚轮制造项目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广东官田脚轮制造有限公司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新型农机及工程机械设备项目</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兴宁市运鑫机械设备有限公司</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r>
              <w:rPr>
                <w:rFonts w:hint="eastAsia" w:ascii="宋体" w:hAnsi="宋体" w:eastAsia="宋体" w:cs="宋体"/>
                <w:color w:val="000000"/>
                <w:kern w:val="0"/>
                <w:sz w:val="22"/>
                <w:szCs w:val="22"/>
              </w:rPr>
              <w:t>80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60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7</w:t>
            </w:r>
            <w:r>
              <w:rPr>
                <w:rFonts w:hint="eastAsia" w:ascii="宋体" w:hAnsi="宋体" w:eastAsia="宋体" w:cs="宋体"/>
                <w:color w:val="000000"/>
                <w:kern w:val="0"/>
                <w:sz w:val="22"/>
                <w:szCs w:val="22"/>
                <w:lang w:val="en-US" w:eastAsia="zh-CN"/>
              </w:rPr>
              <w:t>5</w:t>
            </w:r>
          </w:p>
        </w:tc>
      </w:tr>
    </w:tbl>
    <w:p>
      <w:pPr>
        <w:ind w:left="0" w:leftChars="0" w:firstLine="0" w:firstLineChars="0"/>
        <w:rPr>
          <w:rFonts w:hint="eastAsia"/>
          <w:b/>
          <w:bCs/>
          <w:color w:val="000000" w:themeColor="text1"/>
          <w:lang w:val="en-US" w:eastAsia="zh-CN"/>
          <w14:textFill>
            <w14:solidFill>
              <w14:schemeClr w14:val="tx1"/>
            </w14:solidFill>
          </w14:textFill>
        </w:rPr>
      </w:pPr>
    </w:p>
    <w:bookmarkEnd w:id="32"/>
    <w:p>
      <w:pPr>
        <w:ind w:firstLine="643"/>
        <w:outlineLvl w:val="2"/>
        <w:rPr>
          <w:rFonts w:hint="eastAsia"/>
          <w:b/>
          <w:bCs w:val="0"/>
        </w:rPr>
      </w:pPr>
      <w:bookmarkStart w:id="33" w:name="_Toc21941"/>
      <w:bookmarkStart w:id="34" w:name="_Toc60258719"/>
      <w:r>
        <w:rPr>
          <w:rFonts w:hint="eastAsia"/>
          <w:b/>
          <w:bCs w:val="0"/>
        </w:rPr>
        <w:t>2.做精做优</w:t>
      </w:r>
      <w:r>
        <w:rPr>
          <w:rFonts w:hint="eastAsia"/>
          <w:b/>
          <w:bCs w:val="0"/>
          <w:lang w:val="en-US" w:eastAsia="zh-CN"/>
        </w:rPr>
        <w:t>二个</w:t>
      </w:r>
      <w:r>
        <w:rPr>
          <w:rFonts w:hint="eastAsia"/>
          <w:b/>
          <w:bCs w:val="0"/>
        </w:rPr>
        <w:t>特色产业</w:t>
      </w:r>
      <w:bookmarkEnd w:id="33"/>
      <w:bookmarkEnd w:id="34"/>
    </w:p>
    <w:p>
      <w:pPr>
        <w:ind w:firstLine="640"/>
      </w:pPr>
      <w:r>
        <w:rPr>
          <w:rFonts w:hint="eastAsia"/>
        </w:rPr>
        <w:t>做精做优生态特色食品</w:t>
      </w:r>
      <w:r>
        <w:rPr>
          <w:rFonts w:hint="eastAsia"/>
          <w:lang w:eastAsia="zh-CN"/>
        </w:rPr>
        <w:t>、</w:t>
      </w:r>
      <w:r>
        <w:rPr>
          <w:rFonts w:hint="eastAsia"/>
        </w:rPr>
        <w:t>现代轻工纺织两大特色产业，培育创建自主特色品牌，积极拓展国内外市场。力争到2025年，特色产业产</w:t>
      </w:r>
      <w:r>
        <w:rPr>
          <w:rFonts w:hint="eastAsia"/>
          <w:highlight w:val="none"/>
        </w:rPr>
        <w:t>值达</w:t>
      </w:r>
      <w:r>
        <w:rPr>
          <w:rFonts w:hint="eastAsia"/>
          <w:highlight w:val="none"/>
          <w:lang w:val="en-US" w:eastAsia="zh-CN"/>
        </w:rPr>
        <w:t>95</w:t>
      </w:r>
      <w:r>
        <w:rPr>
          <w:rFonts w:hint="eastAsia"/>
          <w:highlight w:val="none"/>
        </w:rPr>
        <w:t>亿元以上，其中生态特色食品产业</w:t>
      </w:r>
      <w:r>
        <w:rPr>
          <w:rFonts w:hint="eastAsia"/>
          <w:highlight w:val="none"/>
          <w:lang w:val="en-US" w:eastAsia="zh-CN"/>
        </w:rPr>
        <w:t>55</w:t>
      </w:r>
      <w:r>
        <w:rPr>
          <w:rFonts w:hint="eastAsia"/>
          <w:highlight w:val="none"/>
        </w:rPr>
        <w:t>亿元</w:t>
      </w:r>
      <w:r>
        <w:rPr>
          <w:rFonts w:hint="eastAsia"/>
          <w:highlight w:val="none"/>
          <w:lang w:eastAsia="zh-CN"/>
        </w:rPr>
        <w:t>，</w:t>
      </w:r>
      <w:r>
        <w:rPr>
          <w:rFonts w:hint="eastAsia"/>
          <w:highlight w:val="none"/>
        </w:rPr>
        <w:t>现代轻工纺织产业</w:t>
      </w:r>
      <w:r>
        <w:rPr>
          <w:rFonts w:hint="eastAsia"/>
          <w:highlight w:val="none"/>
          <w:lang w:val="en-US" w:eastAsia="zh-CN"/>
        </w:rPr>
        <w:t>40</w:t>
      </w:r>
      <w:r>
        <w:rPr>
          <w:rFonts w:hint="eastAsia"/>
          <w:highlight w:val="none"/>
        </w:rPr>
        <w:t>亿元。</w:t>
      </w:r>
    </w:p>
    <w:p>
      <w:pPr>
        <w:ind w:firstLine="643"/>
        <w:rPr>
          <w:rFonts w:hint="eastAsia"/>
        </w:rPr>
      </w:pPr>
      <w:r>
        <w:rPr>
          <w:rFonts w:hint="eastAsia"/>
          <w:b/>
        </w:rPr>
        <w:t>生态特色食品产业。</w:t>
      </w:r>
      <w:r>
        <w:rPr>
          <w:rFonts w:hint="eastAsia"/>
        </w:rPr>
        <w:t>以拉长产业链、提高附加值、增强竞争力为目标，加快推进项目建设。大力发展以客</w:t>
      </w:r>
      <w:r>
        <w:rPr>
          <w:rFonts w:hint="eastAsia"/>
          <w:lang w:val="en-US" w:eastAsia="zh-CN"/>
        </w:rPr>
        <w:t>乡</w:t>
      </w:r>
      <w:r>
        <w:rPr>
          <w:rFonts w:hint="eastAsia"/>
        </w:rPr>
        <w:t>酒，兴宁鸽，兴宁丝苗米，兴宁茶油，兴宁单枞茶，肉制品，水果制品，豆制品等具有兴宁地方特色的生态食品，创响“粤字号”、“中华老字号”品牌。壮大发展龙头企业，重点支持</w:t>
      </w:r>
      <w:r>
        <w:rPr>
          <w:rFonts w:hint="eastAsia"/>
          <w:lang w:val="en-US" w:eastAsia="zh-CN"/>
        </w:rPr>
        <w:t>珍珠红酒业、</w:t>
      </w:r>
      <w:r>
        <w:rPr>
          <w:rFonts w:hint="eastAsia"/>
        </w:rPr>
        <w:t>富农生物、金绿现代等企业，切实推进</w:t>
      </w:r>
      <w:r>
        <w:rPr>
          <w:rFonts w:hint="eastAsia"/>
          <w:lang w:val="en-US" w:eastAsia="zh-CN"/>
        </w:rPr>
        <w:t>珍珠红酒文化产业园、</w:t>
      </w:r>
      <w:r>
        <w:rPr>
          <w:rFonts w:hint="eastAsia"/>
        </w:rPr>
        <w:t>肉鸡产业示范园、肉鸽加工一体化、兴宁丝苗米现代产业园等重点建设项目。加快企业技术改造升级，着力引进先进智能化装备，推动食品产业机械化、自动化、清洁化生产，着力打造由</w:t>
      </w:r>
      <w:r>
        <w:rPr>
          <w:rFonts w:hint="eastAsia"/>
          <w:lang w:val="en-US" w:eastAsia="zh-CN"/>
        </w:rPr>
        <w:t>肉类加工业</w:t>
      </w:r>
      <w:r>
        <w:rPr>
          <w:rFonts w:hint="eastAsia"/>
        </w:rPr>
        <w:t>、</w:t>
      </w:r>
      <w:r>
        <w:rPr>
          <w:rFonts w:hint="eastAsia"/>
          <w:lang w:val="en-US" w:eastAsia="zh-CN"/>
        </w:rPr>
        <w:t>酿酒工业、粮油加工业为主的</w:t>
      </w:r>
      <w:r>
        <w:rPr>
          <w:rFonts w:hint="eastAsia"/>
        </w:rPr>
        <w:t>生态特色食品产业体系，</w:t>
      </w:r>
      <w:r>
        <w:rPr>
          <w:rFonts w:hint="eastAsia"/>
          <w:sz w:val="32"/>
          <w:szCs w:val="32"/>
          <w:lang w:val="en-US" w:eastAsia="zh-CN"/>
        </w:rPr>
        <w:t>培育一批根植性强的产业链“链主”企业</w:t>
      </w:r>
      <w:r>
        <w:rPr>
          <w:rFonts w:hint="eastAsia"/>
        </w:rPr>
        <w:t>。</w:t>
      </w:r>
    </w:p>
    <w:tbl>
      <w:tblPr>
        <w:tblStyle w:val="13"/>
        <w:tblW w:w="4998" w:type="pct"/>
        <w:tblInd w:w="0" w:type="dxa"/>
        <w:tblLayout w:type="autofit"/>
        <w:tblCellMar>
          <w:top w:w="0" w:type="dxa"/>
          <w:left w:w="108" w:type="dxa"/>
          <w:bottom w:w="0" w:type="dxa"/>
          <w:right w:w="108" w:type="dxa"/>
        </w:tblCellMar>
      </w:tblPr>
      <w:tblGrid>
        <w:gridCol w:w="1486"/>
        <w:gridCol w:w="4442"/>
        <w:gridCol w:w="2591"/>
      </w:tblGrid>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生态特色食品产业重点企业</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nil"/>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7" w:type="pct"/>
            <w:tcBorders>
              <w:top w:val="single" w:color="auto" w:sz="4" w:space="0"/>
              <w:left w:val="nil"/>
              <w:bottom w:val="single" w:color="auto" w:sz="4" w:space="0"/>
              <w:right w:val="nil"/>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0"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7"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梅州伊利冷冻食品有限责任公司</w:t>
            </w:r>
          </w:p>
        </w:tc>
        <w:tc>
          <w:tcPr>
            <w:tcW w:w="1520" w:type="pct"/>
            <w:tcBorders>
              <w:top w:val="single" w:color="auto" w:sz="4" w:space="0"/>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51108</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广东三丰禽业食品有限公司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20531</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广东富农生物科技股份有限公司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11648</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广东明珠珍珠红酒业有限公司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5235</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广东凯闻生物科技有限公司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4739</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现有企业198家，2020年总产值24.59亿元，占全市工业总产值24.03%。</w:t>
            </w:r>
          </w:p>
        </w:tc>
      </w:tr>
    </w:tbl>
    <w:p>
      <w:pPr>
        <w:ind w:left="0" w:leftChars="0" w:firstLine="0" w:firstLineChars="0"/>
        <w:rPr>
          <w:rFonts w:hint="eastAsia"/>
        </w:rPr>
      </w:pPr>
    </w:p>
    <w:tbl>
      <w:tblPr>
        <w:tblStyle w:val="13"/>
        <w:tblW w:w="9251" w:type="dxa"/>
        <w:jc w:val="center"/>
        <w:tblLayout w:type="autofit"/>
        <w:tblCellMar>
          <w:top w:w="0" w:type="dxa"/>
          <w:left w:w="108" w:type="dxa"/>
          <w:bottom w:w="0" w:type="dxa"/>
          <w:right w:w="108" w:type="dxa"/>
        </w:tblCellMar>
      </w:tblPr>
      <w:tblGrid>
        <w:gridCol w:w="771"/>
        <w:gridCol w:w="3460"/>
        <w:gridCol w:w="3627"/>
        <w:gridCol w:w="1393"/>
      </w:tblGrid>
      <w:tr>
        <w:tblPrEx>
          <w:tblCellMar>
            <w:top w:w="0" w:type="dxa"/>
            <w:left w:w="108" w:type="dxa"/>
            <w:bottom w:w="0" w:type="dxa"/>
            <w:right w:w="108" w:type="dxa"/>
          </w:tblCellMar>
        </w:tblPrEx>
        <w:trPr>
          <w:trHeight w:val="561" w:hRule="atLeast"/>
          <w:jc w:val="center"/>
        </w:trPr>
        <w:tc>
          <w:tcPr>
            <w:tcW w:w="9251"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生态特色食品产业</w:t>
            </w:r>
            <w:r>
              <w:rPr>
                <w:rFonts w:hint="eastAsia" w:ascii="宋体" w:hAnsi="宋体" w:eastAsia="宋体" w:cs="宋体"/>
                <w:b/>
                <w:bCs/>
                <w:kern w:val="0"/>
                <w:sz w:val="22"/>
                <w:szCs w:val="22"/>
                <w:lang w:val="en-US" w:eastAsia="zh-CN"/>
              </w:rPr>
              <w:t>在建/规划</w:t>
            </w:r>
            <w:r>
              <w:rPr>
                <w:rFonts w:hint="eastAsia" w:ascii="宋体" w:hAnsi="宋体" w:eastAsia="宋体" w:cs="宋体"/>
                <w:b/>
                <w:bCs/>
                <w:kern w:val="0"/>
                <w:sz w:val="22"/>
                <w:szCs w:val="22"/>
              </w:rPr>
              <w:t>重点项目</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广东明珠养生山城酒文化产业园项目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广东明珠珍珠红酒业有限公司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兴宁市肉鸡产业融合发展示范园项目</w:t>
            </w:r>
            <w:r>
              <w:rPr>
                <w:rFonts w:hint="eastAsia" w:ascii="宋体" w:hAnsi="宋体" w:eastAsia="宋体" w:cs="宋体"/>
                <w:color w:val="000000"/>
                <w:kern w:val="0"/>
                <w:sz w:val="20"/>
                <w:szCs w:val="20"/>
              </w:rPr>
              <w:t>（广东富农现代农业产业园）</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广东富农生物科技股份有限公司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广州酒家集团利口福食品产业园项目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广州酒家集团利口福（梅州）食品有限公司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食品加工项目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广东三华农林新科技发展有限公司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3</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60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生猪屠宰、肉制品加工项目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广东国大农牧科技股份有限公司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40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兴宁市丝苗米产业园项目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16"/>
                <w:szCs w:val="16"/>
              </w:rPr>
            </w:pPr>
            <w:r>
              <w:rPr>
                <w:rFonts w:hint="eastAsia" w:ascii="宋体" w:hAnsi="宋体" w:eastAsia="宋体" w:cs="宋体"/>
                <w:kern w:val="0"/>
                <w:sz w:val="16"/>
                <w:szCs w:val="16"/>
              </w:rPr>
              <w:t>梅州市绿粮农业科技发展有限公司、兴宁市益民粮油加工有限公司、广东辰丰谷物有限公司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00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好心情梅州研发生产项目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广东果乡水秀生物科技有限公司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肉鸽休闲食品生产基地建设项目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梅州市金绿食品有限公司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5</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军农食品研发生产项目</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梅州军农生物科技有限公司</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00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627"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9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42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5</w:t>
            </w:r>
          </w:p>
        </w:tc>
      </w:tr>
    </w:tbl>
    <w:p>
      <w:pPr>
        <w:ind w:firstLine="643" w:firstLineChars="200"/>
        <w:rPr>
          <w:rFonts w:hint="eastAsia"/>
        </w:rPr>
      </w:pPr>
      <w:r>
        <w:rPr>
          <w:rFonts w:hint="eastAsia"/>
          <w:b/>
        </w:rPr>
        <w:t>现代</w:t>
      </w:r>
      <w:r>
        <w:rPr>
          <w:b/>
        </w:rPr>
        <w:t>轻</w:t>
      </w:r>
      <w:r>
        <w:rPr>
          <w:rFonts w:hint="eastAsia"/>
          <w:b/>
        </w:rPr>
        <w:t>工纺织</w:t>
      </w:r>
      <w:r>
        <w:rPr>
          <w:rFonts w:hint="eastAsia"/>
          <w:b/>
          <w:lang w:val="en-US" w:eastAsia="zh-CN"/>
        </w:rPr>
        <w:t>产</w:t>
      </w:r>
      <w:r>
        <w:rPr>
          <w:rFonts w:hint="eastAsia"/>
          <w:b/>
        </w:rPr>
        <w:t>业。</w:t>
      </w:r>
      <w:r>
        <w:rPr>
          <w:rFonts w:hint="eastAsia"/>
        </w:rPr>
        <w:t>积极承接粤港澳大湾区转移产业，聚焦当前全市现代轻工纺织企业大多集中在产业链中下游的现状，引进相关重要企业，达到“补链”效果。在轻纺工业方面，加快推进纺织服装、制鞋、玩具、工艺、纸制品等轻工纺织企业的数字化赋能、供给创新和品牌质量的提升，推动产业重塑，培育赐裕鞋业</w:t>
      </w:r>
      <w:r>
        <w:rPr>
          <w:rFonts w:hint="eastAsia"/>
          <w:lang w:eastAsia="zh-CN"/>
        </w:rPr>
        <w:t>、永盛玩具</w:t>
      </w:r>
      <w:r>
        <w:rPr>
          <w:rFonts w:hint="eastAsia"/>
          <w:lang w:val="en-US" w:eastAsia="zh-CN"/>
        </w:rPr>
        <w:t>等</w:t>
      </w:r>
      <w:r>
        <w:rPr>
          <w:rFonts w:hint="eastAsia"/>
        </w:rPr>
        <w:t>一批具有区域竞争优势的现代轻工纺织企业。推动发展“互联网+轻纺工业”模式，建立基于行业的线上销售平台，丰富企业销售途径。开展新技术试点工程，推动互联网、工业机器人等高新技术在现有轻纺工业企业中的应用，切实推进纺织面料运动鞋等重点建设项目，促进企业改造升级，淘汰落后产能，</w:t>
      </w:r>
      <w:r>
        <w:rPr>
          <w:rFonts w:hint="eastAsia"/>
          <w:bCs/>
        </w:rPr>
        <w:t>提升机械代人程度，缓解用工难问题。</w:t>
      </w:r>
      <w:r>
        <w:rPr>
          <w:bCs/>
        </w:rPr>
        <w:t>实施中小企业成长工程</w:t>
      </w:r>
      <w:r>
        <w:rPr>
          <w:rFonts w:hint="eastAsia"/>
          <w:bCs/>
        </w:rPr>
        <w:t>，</w:t>
      </w:r>
      <w:r>
        <w:rPr>
          <w:bCs/>
          <w:color w:val="000000" w:themeColor="text1"/>
          <w14:textFill>
            <w14:solidFill>
              <w14:schemeClr w14:val="tx1"/>
            </w14:solidFill>
          </w14:textFill>
        </w:rPr>
        <w:t>落实</w:t>
      </w:r>
      <w:r>
        <w:rPr>
          <w:rFonts w:hint="eastAsia"/>
          <w:bCs/>
          <w:color w:val="000000" w:themeColor="text1"/>
          <w14:textFill>
            <w14:solidFill>
              <w14:schemeClr w14:val="tx1"/>
            </w14:solidFill>
          </w14:textFill>
        </w:rPr>
        <w:t>扶优淘劣，</w:t>
      </w:r>
      <w:r>
        <w:rPr>
          <w:rFonts w:hint="eastAsia"/>
          <w:bCs/>
        </w:rPr>
        <w:t>提高中小企业的危机意识，加快成长性企业将产品档次</w:t>
      </w:r>
      <w:r>
        <w:rPr>
          <w:rFonts w:hint="eastAsia"/>
        </w:rPr>
        <w:t>提高或外延产品，促进企业升级改造。在</w:t>
      </w:r>
      <w:r>
        <w:rPr>
          <w:rFonts w:hint="eastAsia"/>
          <w:bCs/>
        </w:rPr>
        <w:t>工艺美术方面，</w:t>
      </w:r>
      <w:r>
        <w:rPr>
          <w:rFonts w:hint="eastAsia"/>
        </w:rPr>
        <w:t>升级改造工艺品加工业，充分发挥新圩、水口、坭陂三大工艺专业镇的辐射带动作用，</w:t>
      </w:r>
      <w:r>
        <w:rPr>
          <w:rFonts w:hint="eastAsia"/>
          <w:color w:val="000000" w:themeColor="text1"/>
          <w14:textFill>
            <w14:solidFill>
              <w14:schemeClr w14:val="tx1"/>
            </w14:solidFill>
          </w14:textFill>
        </w:rPr>
        <w:t>补齐散、小、乱的短板，</w:t>
      </w:r>
      <w:r>
        <w:rPr>
          <w:rFonts w:hint="eastAsia"/>
        </w:rPr>
        <w:t>融入客家文化元素，提升观赏陈列收藏价值，逐步提升工艺制品经济附加值，建设南部工艺长廊，做优做精工艺美术产业集群。</w:t>
      </w:r>
    </w:p>
    <w:tbl>
      <w:tblPr>
        <w:tblStyle w:val="13"/>
        <w:tblW w:w="4998" w:type="pct"/>
        <w:tblInd w:w="0" w:type="dxa"/>
        <w:tblLayout w:type="autofit"/>
        <w:tblCellMar>
          <w:top w:w="0" w:type="dxa"/>
          <w:left w:w="108" w:type="dxa"/>
          <w:bottom w:w="0" w:type="dxa"/>
          <w:right w:w="108" w:type="dxa"/>
        </w:tblCellMar>
      </w:tblPr>
      <w:tblGrid>
        <w:gridCol w:w="1486"/>
        <w:gridCol w:w="4442"/>
        <w:gridCol w:w="2591"/>
      </w:tblGrid>
      <w:tr>
        <w:tblPrEx>
          <w:tblCellMar>
            <w:top w:w="0" w:type="dxa"/>
            <w:left w:w="108" w:type="dxa"/>
            <w:bottom w:w="0" w:type="dxa"/>
            <w:right w:w="108" w:type="dxa"/>
          </w:tblCellMar>
        </w:tblPrEx>
        <w:trPr>
          <w:trHeight w:val="600" w:hRule="atLeast"/>
        </w:trPr>
        <w:tc>
          <w:tcPr>
            <w:tcW w:w="5000" w:type="pct"/>
            <w:gridSpan w:val="3"/>
            <w:tcBorders>
              <w:top w:val="nil"/>
              <w:left w:val="nil"/>
              <w:bottom w:val="nil"/>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现代轻工纺织产业重点企业</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0"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兴宁市新昌鞋业有限公司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19458</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兴宁兴盛玩具有限公司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15066</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兴宁新球工艺制品有限公司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5760</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兴宁市联发针织有限公司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5030</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梅州市东腾纸品包装实业有限公司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4266</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现有企业157家，2020年总产值18.44亿元，占全市工业总产值18.02%。</w:t>
            </w:r>
          </w:p>
        </w:tc>
      </w:tr>
    </w:tbl>
    <w:p>
      <w:pPr>
        <w:ind w:left="0" w:leftChars="0" w:firstLine="0" w:firstLineChars="0"/>
        <w:rPr>
          <w:rFonts w:hint="eastAsia"/>
        </w:rPr>
      </w:pPr>
    </w:p>
    <w:tbl>
      <w:tblPr>
        <w:tblStyle w:val="13"/>
        <w:tblW w:w="9194" w:type="dxa"/>
        <w:jc w:val="center"/>
        <w:tblLayout w:type="autofit"/>
        <w:tblCellMar>
          <w:top w:w="0" w:type="dxa"/>
          <w:left w:w="108" w:type="dxa"/>
          <w:bottom w:w="0" w:type="dxa"/>
          <w:right w:w="108" w:type="dxa"/>
        </w:tblCellMar>
      </w:tblPr>
      <w:tblGrid>
        <w:gridCol w:w="714"/>
        <w:gridCol w:w="3819"/>
        <w:gridCol w:w="3141"/>
        <w:gridCol w:w="1520"/>
      </w:tblGrid>
      <w:tr>
        <w:tblPrEx>
          <w:tblCellMar>
            <w:top w:w="0" w:type="dxa"/>
            <w:left w:w="108" w:type="dxa"/>
            <w:bottom w:w="0" w:type="dxa"/>
            <w:right w:w="108" w:type="dxa"/>
          </w:tblCellMar>
        </w:tblPrEx>
        <w:trPr>
          <w:trHeight w:val="561" w:hRule="atLeast"/>
          <w:jc w:val="center"/>
        </w:trPr>
        <w:tc>
          <w:tcPr>
            <w:tcW w:w="9194"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现代轻工纺织产业重点项目</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兴宁市纺织面料运动鞋加工生产项目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广东省赐裕鞋业有限公司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玩具研发生产出口基地项目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永盛玩具（香港）有限公司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电子玩具汽车等益智玩具生产项目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兴华玩具（广东）有限公司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高档眼镜生产眼镜生产基发项目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兴宁市大兴光学眼镜有限公司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望江狮纺织产品项目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梅州市望江狮纺织有限公司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30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工艺制品、礼品项目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梅州万顺礼品有限公司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88</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万信达纸业项目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梅州市万信达纸业有限公司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85</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明珠包装材料迁建扩产项目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兴宁市明珠包装材料有限公司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50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鞋类运动用口研发生产和销售项目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东莞市利鸿柏斯针织有限公司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50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鞋面用料研加工项目</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兴宁市兴丰体育科技有限公司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50</w:t>
            </w:r>
          </w:p>
        </w:tc>
      </w:tr>
      <w:tr>
        <w:tblPrEx>
          <w:tblCellMar>
            <w:top w:w="0" w:type="dxa"/>
            <w:left w:w="108" w:type="dxa"/>
            <w:bottom w:w="0" w:type="dxa"/>
            <w:right w:w="108" w:type="dxa"/>
          </w:tblCellMar>
        </w:tblPrEx>
        <w:trPr>
          <w:trHeight w:val="561"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8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1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38</w:t>
            </w:r>
          </w:p>
        </w:tc>
      </w:tr>
    </w:tbl>
    <w:p>
      <w:pPr>
        <w:ind w:firstLine="643" w:firstLineChars="200"/>
        <w:outlineLvl w:val="2"/>
        <w:rPr>
          <w:b/>
          <w:bCs/>
        </w:rPr>
      </w:pPr>
      <w:bookmarkStart w:id="35" w:name="_Toc60258720"/>
      <w:bookmarkStart w:id="36" w:name="_Toc17222"/>
      <w:r>
        <w:rPr>
          <w:rFonts w:hint="eastAsia"/>
          <w:b/>
          <w:bCs/>
        </w:rPr>
        <w:t>3.培育壮大</w:t>
      </w:r>
      <w:r>
        <w:rPr>
          <w:rFonts w:hint="eastAsia"/>
          <w:b/>
          <w:bCs/>
          <w:lang w:val="en-US" w:eastAsia="zh-CN"/>
        </w:rPr>
        <w:t>三个</w:t>
      </w:r>
      <w:r>
        <w:rPr>
          <w:rFonts w:hint="eastAsia"/>
          <w:b/>
          <w:bCs/>
        </w:rPr>
        <w:t>新兴产业</w:t>
      </w:r>
      <w:bookmarkEnd w:id="35"/>
      <w:bookmarkEnd w:id="36"/>
    </w:p>
    <w:p>
      <w:pPr>
        <w:ind w:firstLine="640"/>
      </w:pPr>
      <w:r>
        <w:rPr>
          <w:rFonts w:hint="eastAsia"/>
        </w:rPr>
        <w:t>瞄准新兴产业发展方向，积极承接粤港澳大湾区战略性产业梯度转移和科技成果落地，重点培育壮大新一代电子信息产业、新材料产业、生物医药与健康产业三大新兴产业，推动产业转型升级，实现绿色化、高端化发展，主动融入全省战略性支柱产业集群和战略性新兴产业集群。力争到2025年，新兴产业总产值达</w:t>
      </w:r>
      <w:r>
        <w:rPr>
          <w:rFonts w:hint="eastAsia"/>
          <w:lang w:val="en-US" w:eastAsia="zh-CN"/>
        </w:rPr>
        <w:t>75</w:t>
      </w:r>
      <w:r>
        <w:rPr>
          <w:rFonts w:hint="eastAsia"/>
        </w:rPr>
        <w:t>亿元以上，其中电子信息产业</w:t>
      </w:r>
      <w:r>
        <w:rPr>
          <w:rFonts w:hint="eastAsia"/>
          <w:lang w:val="en-US" w:eastAsia="zh-CN"/>
        </w:rPr>
        <w:t>35</w:t>
      </w:r>
      <w:r>
        <w:rPr>
          <w:rFonts w:hint="eastAsia"/>
        </w:rPr>
        <w:t>亿元，新材料产业</w:t>
      </w:r>
      <w:r>
        <w:rPr>
          <w:rFonts w:hint="eastAsia"/>
          <w:lang w:val="en-US" w:eastAsia="zh-CN"/>
        </w:rPr>
        <w:t>25</w:t>
      </w:r>
      <w:r>
        <w:rPr>
          <w:rFonts w:hint="eastAsia"/>
        </w:rPr>
        <w:t>亿元，生物医药与健康产业</w:t>
      </w:r>
      <w:r>
        <w:rPr>
          <w:rFonts w:hint="eastAsia"/>
          <w:lang w:val="en-US" w:eastAsia="zh-CN"/>
        </w:rPr>
        <w:t>15</w:t>
      </w:r>
      <w:r>
        <w:rPr>
          <w:rFonts w:hint="eastAsia"/>
        </w:rPr>
        <w:t>亿元。</w:t>
      </w:r>
    </w:p>
    <w:p>
      <w:pPr>
        <w:ind w:firstLine="643"/>
        <w:rPr>
          <w:rFonts w:hint="eastAsia"/>
        </w:rPr>
      </w:pPr>
      <w:r>
        <w:rPr>
          <w:b/>
          <w:bCs/>
        </w:rPr>
        <w:t>新一代电子信息</w:t>
      </w:r>
      <w:r>
        <w:rPr>
          <w:rFonts w:hint="eastAsia"/>
          <w:b/>
          <w:bCs/>
        </w:rPr>
        <w:t>产业。</w:t>
      </w:r>
      <w:r>
        <w:rPr>
          <w:rFonts w:hint="eastAsia"/>
        </w:rPr>
        <w:t>把电子信息产业作为产业转移园产业布局规划重点，打造电子信息制造产业发展载体，承接珠江三角洲电子信息产业转移。大力培育5G信息化产业产品、电子元器件、印制电路版、智能消费设备等新一代电子信息产业，融合互联网产业发展，布局智能终端制造，完善从硬件制造到软件服务协同发展的互联网产业链。依托立讯技术，切实推进5G信息化产业、电子信息制造业基地等重点建设项目，加快拓展上下游产业，打造粤东北电子信息产业装备配套产业基地、信息技术应用创新基地。依托精维进电子，建设印制电路板研究开发中心作用，为印制电路板企业提供技术服务，承接企业技术攻关项目。依托丰谷音响，建设音响工程技术研究开发中心，为电声器材生产企业提供技术服务，承接企业技术攻关项目，开展由电声器材产品延伸到为数字音响设备配套的高档电声器材等新产品的研发。</w:t>
      </w:r>
    </w:p>
    <w:tbl>
      <w:tblPr>
        <w:tblStyle w:val="13"/>
        <w:tblW w:w="4998" w:type="pct"/>
        <w:tblInd w:w="0" w:type="dxa"/>
        <w:tblLayout w:type="autofit"/>
        <w:tblCellMar>
          <w:top w:w="0" w:type="dxa"/>
          <w:left w:w="108" w:type="dxa"/>
          <w:bottom w:w="0" w:type="dxa"/>
          <w:right w:w="108" w:type="dxa"/>
        </w:tblCellMar>
      </w:tblPr>
      <w:tblGrid>
        <w:gridCol w:w="1486"/>
        <w:gridCol w:w="4442"/>
        <w:gridCol w:w="2591"/>
      </w:tblGrid>
      <w:tr>
        <w:tblPrEx>
          <w:tblCellMar>
            <w:top w:w="0" w:type="dxa"/>
            <w:left w:w="108" w:type="dxa"/>
            <w:bottom w:w="0" w:type="dxa"/>
            <w:right w:w="108" w:type="dxa"/>
          </w:tblCellMar>
        </w:tblPrEx>
        <w:trPr>
          <w:trHeight w:val="600" w:hRule="atLeast"/>
        </w:trPr>
        <w:tc>
          <w:tcPr>
            <w:tcW w:w="5000" w:type="pct"/>
            <w:gridSpan w:val="3"/>
            <w:tcBorders>
              <w:top w:val="nil"/>
              <w:left w:val="nil"/>
              <w:bottom w:val="nil"/>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新一代电子信息产业重点企业</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0"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兴宁立讯技术有限公司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12527</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广东东电化广晟稀土高新材料有限公司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9249</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梅州市丰谷音响科技有限公司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8349</w:t>
            </w:r>
          </w:p>
        </w:tc>
      </w:tr>
      <w:tr>
        <w:tblPrEx>
          <w:tblCellMar>
            <w:top w:w="0" w:type="dxa"/>
            <w:left w:w="108" w:type="dxa"/>
            <w:bottom w:w="0" w:type="dxa"/>
            <w:right w:w="108" w:type="dxa"/>
          </w:tblCellMar>
        </w:tblPrEx>
        <w:trPr>
          <w:trHeight w:val="600" w:hRule="atLeast"/>
        </w:trPr>
        <w:tc>
          <w:tcPr>
            <w:tcW w:w="872" w:type="pct"/>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7" w:type="pct"/>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兴宁市精维进电子有限公司</w:t>
            </w:r>
          </w:p>
        </w:tc>
        <w:tc>
          <w:tcPr>
            <w:tcW w:w="1520" w:type="pct"/>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2346</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广东龙宇新材料有限公司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2101</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现有企业35家，2020年总产值5.97亿元，占全市工业总产值5.84%。</w:t>
            </w:r>
          </w:p>
        </w:tc>
      </w:tr>
    </w:tbl>
    <w:p>
      <w:pPr>
        <w:ind w:left="0" w:leftChars="0" w:firstLine="0" w:firstLineChars="0"/>
        <w:rPr>
          <w:rFonts w:hint="eastAsia"/>
        </w:rPr>
      </w:pPr>
    </w:p>
    <w:tbl>
      <w:tblPr>
        <w:tblStyle w:val="13"/>
        <w:tblW w:w="9214" w:type="dxa"/>
        <w:jc w:val="center"/>
        <w:tblLayout w:type="autofit"/>
        <w:tblCellMar>
          <w:top w:w="0" w:type="dxa"/>
          <w:left w:w="108" w:type="dxa"/>
          <w:bottom w:w="0" w:type="dxa"/>
          <w:right w:w="108" w:type="dxa"/>
        </w:tblCellMar>
      </w:tblPr>
      <w:tblGrid>
        <w:gridCol w:w="734"/>
        <w:gridCol w:w="3460"/>
        <w:gridCol w:w="3500"/>
        <w:gridCol w:w="1520"/>
      </w:tblGrid>
      <w:tr>
        <w:tblPrEx>
          <w:tblCellMar>
            <w:top w:w="0" w:type="dxa"/>
            <w:left w:w="108" w:type="dxa"/>
            <w:bottom w:w="0" w:type="dxa"/>
            <w:right w:w="108" w:type="dxa"/>
          </w:tblCellMar>
        </w:tblPrEx>
        <w:trPr>
          <w:trHeight w:val="561" w:hRule="atLeast"/>
          <w:jc w:val="center"/>
        </w:trPr>
        <w:tc>
          <w:tcPr>
            <w:tcW w:w="9214"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新一代电子信息产业重点项目</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5G</w:t>
            </w:r>
            <w:r>
              <w:rPr>
                <w:rFonts w:hint="eastAsia" w:ascii="宋体" w:hAnsi="宋体" w:eastAsia="宋体" w:cs="宋体"/>
                <w:color w:val="000000"/>
                <w:kern w:val="0"/>
                <w:sz w:val="22"/>
                <w:szCs w:val="22"/>
              </w:rPr>
              <w:t>信息化产业产品制造项目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兴宁立讯技术有限公司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玻纤布及射频高频材料生产项目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广东龙宇复合型新材料有限公司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99</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FFC柔性扁平线生产制造项目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广东田津电子技术有限公司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38</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宇硕电子项目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兴宁宇硕实业有限公司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软磁铁磁芯项目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深圳市金核科技股份有限公司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半导体精密热沉部件制造项目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东莞市烽泰五金塑胶有限公司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铁氧体磁芯、电子变压器制造项目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梅州市安力磁电有限公司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覆铜箔层压板生产项目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兴宁市星光材料技术有限公司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特种显示屏制造整体搬迁项目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深圳视科显示技术有限公司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车载电机用钕铁硼自动化生产线技术改造项目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广东东电化广晟稀土高新材料有限公司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0.60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5G</w:t>
            </w:r>
            <w:r>
              <w:rPr>
                <w:rFonts w:hint="eastAsia" w:ascii="宋体" w:hAnsi="宋体" w:eastAsia="宋体" w:cs="宋体"/>
                <w:color w:val="000000"/>
                <w:kern w:val="0"/>
                <w:sz w:val="22"/>
                <w:szCs w:val="22"/>
              </w:rPr>
              <w:t>数据线生产建设项目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兴宁宝鹏辉电子有限公司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2</w:t>
            </w:r>
          </w:p>
        </w:tc>
      </w:tr>
    </w:tbl>
    <w:p>
      <w:pPr>
        <w:ind w:firstLine="640" w:firstLineChars="0"/>
        <w:rPr>
          <w:rFonts w:hint="eastAsia"/>
          <w:bCs/>
          <w:color w:val="000000" w:themeColor="text1"/>
          <w14:textFill>
            <w14:solidFill>
              <w14:schemeClr w14:val="tx1"/>
            </w14:solidFill>
          </w14:textFill>
        </w:rPr>
      </w:pPr>
      <w:r>
        <w:rPr>
          <w:rFonts w:hint="eastAsia"/>
          <w:b/>
        </w:rPr>
        <w:t>新材料产业。</w:t>
      </w:r>
      <w:r>
        <w:rPr>
          <w:rFonts w:hint="eastAsia"/>
          <w:bCs/>
        </w:rPr>
        <w:t>着力精准“补链”、适度“延链”。引进与当前新材料企业相关、产业链环节相近的下游企业。支持有条件的企业通过技术改进，发展下游产品，适度延长产业链。</w:t>
      </w:r>
      <w:r>
        <w:rPr>
          <w:rFonts w:hint="eastAsia"/>
          <w:bCs/>
          <w:color w:val="000000" w:themeColor="text1"/>
          <w14:textFill>
            <w14:solidFill>
              <w14:schemeClr w14:val="tx1"/>
            </w14:solidFill>
          </w14:textFill>
        </w:rPr>
        <w:t>铜箔材料方面，加快推进覆铜箔层压板生产线项目建设。新型化工材料方面，重点培育发展塑料再生料、高性能炸药、绿色环保的松香树脂材料等行业。新型建筑材料方面，重点发展高性能水泥、商品混凝土、钢结构建筑材料、环保涂料等新型墙体材料和建筑装饰装修材料等。</w:t>
      </w:r>
    </w:p>
    <w:tbl>
      <w:tblPr>
        <w:tblStyle w:val="13"/>
        <w:tblW w:w="4998" w:type="pct"/>
        <w:tblInd w:w="0" w:type="dxa"/>
        <w:tblLayout w:type="autofit"/>
        <w:tblCellMar>
          <w:top w:w="0" w:type="dxa"/>
          <w:left w:w="108" w:type="dxa"/>
          <w:bottom w:w="0" w:type="dxa"/>
          <w:right w:w="108" w:type="dxa"/>
        </w:tblCellMar>
      </w:tblPr>
      <w:tblGrid>
        <w:gridCol w:w="1486"/>
        <w:gridCol w:w="4442"/>
        <w:gridCol w:w="2591"/>
      </w:tblGrid>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新材料产业重点企业</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兴宁市拓展盈辉资源有限公司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18147</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兴宁市创强混凝土有限公司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14747</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兴宁市友帮混凝土有限公司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11641</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广东华威化工股份有限公司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11073</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兴宁市龙江建材实业有限公司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8658</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rPr>
              <w:t>兴宁市皇马混凝土有限公司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rPr>
              <w:t>7874</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w:t>
            </w:r>
          </w:p>
        </w:tc>
        <w:tc>
          <w:tcPr>
            <w:tcW w:w="26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rPr>
              <w:t>梅州市纵横融通混凝土有限公司</w:t>
            </w:r>
          </w:p>
        </w:tc>
        <w:tc>
          <w:tcPr>
            <w:tcW w:w="15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rPr>
              <w:t>7403</w:t>
            </w:r>
          </w:p>
        </w:tc>
      </w:tr>
      <w:tr>
        <w:tblPrEx>
          <w:tblCellMar>
            <w:top w:w="0" w:type="dxa"/>
            <w:left w:w="108" w:type="dxa"/>
            <w:bottom w:w="0" w:type="dxa"/>
            <w:right w:w="108" w:type="dxa"/>
          </w:tblCellMar>
        </w:tblPrEx>
        <w:trPr>
          <w:trHeight w:val="600" w:hRule="atLeast"/>
        </w:trPr>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现有企业94家，2020年总产值15.47亿元，占全市工业总产值15.12%。</w:t>
            </w:r>
          </w:p>
        </w:tc>
      </w:tr>
    </w:tbl>
    <w:p>
      <w:pPr>
        <w:ind w:left="0" w:leftChars="0" w:firstLine="0" w:firstLineChars="0"/>
        <w:rPr>
          <w:rFonts w:hint="eastAsia"/>
          <w:bCs/>
          <w:color w:val="000000" w:themeColor="text1"/>
          <w14:textFill>
            <w14:solidFill>
              <w14:schemeClr w14:val="tx1"/>
            </w14:solidFill>
          </w14:textFill>
        </w:rPr>
      </w:pPr>
    </w:p>
    <w:tbl>
      <w:tblPr>
        <w:tblStyle w:val="13"/>
        <w:tblW w:w="9174" w:type="dxa"/>
        <w:jc w:val="center"/>
        <w:tblLayout w:type="autofit"/>
        <w:tblCellMar>
          <w:top w:w="0" w:type="dxa"/>
          <w:left w:w="108" w:type="dxa"/>
          <w:bottom w:w="0" w:type="dxa"/>
          <w:right w:w="108" w:type="dxa"/>
        </w:tblCellMar>
      </w:tblPr>
      <w:tblGrid>
        <w:gridCol w:w="694"/>
        <w:gridCol w:w="3460"/>
        <w:gridCol w:w="3500"/>
        <w:gridCol w:w="1520"/>
      </w:tblGrid>
      <w:tr>
        <w:tblPrEx>
          <w:tblCellMar>
            <w:top w:w="0" w:type="dxa"/>
            <w:left w:w="108" w:type="dxa"/>
            <w:bottom w:w="0" w:type="dxa"/>
            <w:right w:w="108" w:type="dxa"/>
          </w:tblCellMar>
        </w:tblPrEx>
        <w:trPr>
          <w:trHeight w:val="561" w:hRule="atLeast"/>
          <w:jc w:val="center"/>
        </w:trPr>
        <w:tc>
          <w:tcPr>
            <w:tcW w:w="9174"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新材料产业重点项目</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景泰蓝（掐丝珐琅）建筑装饰材料生产项目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兴宁市蓝之韵文化发展有限公司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60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加气混凝土砌块生产项目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梅州市福宁新型建材有限公司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50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再生资源回收筛选项目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兴宁市晟旺金属科技有限公司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05</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高碘值活性炭生产项目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润丰新材料（梅州市）有限公司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全顺环保建材生产项目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兴宁市全顺环保建材有限公司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80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粤昌建筑材料生产项目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兴宁市粤昌建筑工程有限公司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80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恒立密封材料生产项目</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慈溪市恒立密封材料有限公司兴宁分公司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60</w:t>
            </w:r>
          </w:p>
        </w:tc>
      </w:tr>
      <w:tr>
        <w:tblPrEx>
          <w:tblCellMar>
            <w:top w:w="0" w:type="dxa"/>
            <w:left w:w="108" w:type="dxa"/>
            <w:bottom w:w="0" w:type="dxa"/>
            <w:right w:w="108" w:type="dxa"/>
          </w:tblCellMar>
        </w:tblPrEx>
        <w:trPr>
          <w:trHeight w:val="56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w:t>
            </w:r>
          </w:p>
        </w:tc>
      </w:tr>
    </w:tbl>
    <w:p>
      <w:pPr>
        <w:ind w:firstLine="640" w:firstLineChars="0"/>
        <w:rPr>
          <w:rFonts w:hint="eastAsia"/>
        </w:rPr>
      </w:pPr>
      <w:r>
        <w:rPr>
          <w:b/>
          <w:bCs/>
        </w:rPr>
        <w:t>生物医药</w:t>
      </w:r>
      <w:r>
        <w:rPr>
          <w:rFonts w:hint="eastAsia"/>
          <w:b/>
          <w:bCs/>
        </w:rPr>
        <w:t>与健康产业</w:t>
      </w:r>
      <w:r>
        <w:rPr>
          <w:b/>
          <w:bCs/>
        </w:rPr>
        <w:t>。</w:t>
      </w:r>
      <w:r>
        <w:rPr>
          <w:rFonts w:hint="eastAsia"/>
        </w:rPr>
        <w:t>主动融入梅州创建国家中医药改革综合试验区建设，大力培育发展生物制药、南药加工、保健用品、营养食品、医疗器械、保健器具、运动健身器材制造等新兴行业，以制造业为中心，带动南药种植、中医药与医疗保健、康养旅游、饮食文化等第一、第三产业的融合发展。实施“强链”工程，鼓励和支持合百草制药、联康药业，打造中药材特色优势品牌，加快推进辰浩医疗器械、广藿香种植与加工提炼、跃速山地自行车、红旗体育健身器材等重点建设项目，培育壮大生物医药与健康产业。</w:t>
      </w:r>
    </w:p>
    <w:tbl>
      <w:tblPr>
        <w:tblStyle w:val="13"/>
        <w:tblW w:w="5000" w:type="pct"/>
        <w:tblInd w:w="0" w:type="dxa"/>
        <w:tblLayout w:type="autofit"/>
        <w:tblCellMar>
          <w:top w:w="0" w:type="dxa"/>
          <w:left w:w="108" w:type="dxa"/>
          <w:bottom w:w="0" w:type="dxa"/>
          <w:right w:w="108" w:type="dxa"/>
        </w:tblCellMar>
      </w:tblPr>
      <w:tblGrid>
        <w:gridCol w:w="1489"/>
        <w:gridCol w:w="4435"/>
        <w:gridCol w:w="2598"/>
      </w:tblGrid>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hint="eastAsia" w:ascii="宋体" w:hAnsi="宋体" w:eastAsia="宋体" w:cs="宋体"/>
                <w:b/>
                <w:bCs/>
                <w:kern w:val="0"/>
                <w:sz w:val="22"/>
              </w:rPr>
            </w:pPr>
            <w:r>
              <w:rPr>
                <w:rFonts w:hint="eastAsia" w:ascii="宋体" w:hAnsi="宋体" w:eastAsia="宋体" w:cs="宋体"/>
                <w:b/>
                <w:bCs/>
                <w:kern w:val="0"/>
                <w:sz w:val="22"/>
                <w:szCs w:val="22"/>
                <w:lang w:val="en-US" w:eastAsia="zh-CN"/>
              </w:rPr>
              <w:t>生物医药与健康产业重点企业</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15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b/>
                <w:bCs/>
                <w:kern w:val="0"/>
                <w:sz w:val="22"/>
              </w:rPr>
            </w:pPr>
            <w:r>
              <w:rPr>
                <w:rFonts w:hint="eastAsia" w:ascii="宋体" w:hAnsi="宋体" w:eastAsia="宋体" w:cs="宋体"/>
                <w:b/>
                <w:bCs/>
                <w:kern w:val="0"/>
                <w:sz w:val="22"/>
              </w:rPr>
              <w:t>2020年产值（万元）</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广东合百草制药有限公司</w:t>
            </w:r>
          </w:p>
        </w:tc>
        <w:tc>
          <w:tcPr>
            <w:tcW w:w="1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7797</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广东跃速体育股份有限公司</w:t>
            </w:r>
          </w:p>
        </w:tc>
        <w:tc>
          <w:tcPr>
            <w:tcW w:w="1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6513</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广东金海康医学营养品股份有限公司</w:t>
            </w:r>
          </w:p>
        </w:tc>
        <w:tc>
          <w:tcPr>
            <w:tcW w:w="1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3629</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广东联康药业有限公司</w:t>
            </w:r>
          </w:p>
        </w:tc>
        <w:tc>
          <w:tcPr>
            <w:tcW w:w="1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2806</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2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广东红旗体育用品有限公司</w:t>
            </w:r>
          </w:p>
        </w:tc>
        <w:tc>
          <w:tcPr>
            <w:tcW w:w="1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ascii="宋体" w:hAnsi="宋体" w:eastAsia="宋体" w:cs="宋体"/>
                <w:kern w:val="0"/>
                <w:sz w:val="22"/>
              </w:rPr>
            </w:pPr>
            <w:r>
              <w:rPr>
                <w:rFonts w:hint="eastAsia" w:ascii="宋体" w:hAnsi="宋体" w:eastAsia="宋体" w:cs="宋体"/>
                <w:kern w:val="0"/>
                <w:sz w:val="22"/>
              </w:rPr>
              <w:t>2426</w:t>
            </w:r>
          </w:p>
        </w:tc>
      </w:tr>
      <w:tr>
        <w:tblPrEx>
          <w:tblCellMar>
            <w:top w:w="0" w:type="dxa"/>
            <w:left w:w="108" w:type="dxa"/>
            <w:bottom w:w="0" w:type="dxa"/>
            <w:right w:w="108" w:type="dxa"/>
          </w:tblCellMar>
        </w:tblPrEx>
        <w:trPr>
          <w:trHeight w:val="600" w:hRule="atLeast"/>
        </w:trPr>
        <w:tc>
          <w:tcPr>
            <w:tcW w:w="8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备注</w:t>
            </w:r>
          </w:p>
        </w:tc>
        <w:tc>
          <w:tcPr>
            <w:tcW w:w="412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kern w:val="0"/>
                <w:sz w:val="22"/>
              </w:rPr>
            </w:pPr>
            <w:r>
              <w:rPr>
                <w:rFonts w:hint="eastAsia" w:ascii="宋体" w:hAnsi="宋体" w:eastAsia="宋体" w:cs="宋体"/>
                <w:kern w:val="0"/>
                <w:sz w:val="22"/>
                <w:lang w:val="en-US" w:eastAsia="zh-CN"/>
              </w:rPr>
              <w:t>现有企业55家，2020年总产值6.02亿元，占全市工业总产值5.88%。</w:t>
            </w:r>
          </w:p>
        </w:tc>
      </w:tr>
    </w:tbl>
    <w:p>
      <w:pPr>
        <w:ind w:left="0" w:leftChars="0" w:firstLine="0" w:firstLineChars="0"/>
        <w:rPr>
          <w:rFonts w:hint="eastAsia"/>
        </w:rPr>
      </w:pPr>
    </w:p>
    <w:p>
      <w:pPr>
        <w:ind w:left="0" w:leftChars="0" w:firstLine="0" w:firstLineChars="0"/>
        <w:rPr>
          <w:rFonts w:hint="eastAsia"/>
        </w:rPr>
      </w:pPr>
    </w:p>
    <w:tbl>
      <w:tblPr>
        <w:tblStyle w:val="13"/>
        <w:tblW w:w="9164" w:type="dxa"/>
        <w:jc w:val="center"/>
        <w:tblLayout w:type="autofit"/>
        <w:tblCellMar>
          <w:top w:w="0" w:type="dxa"/>
          <w:left w:w="108" w:type="dxa"/>
          <w:bottom w:w="0" w:type="dxa"/>
          <w:right w:w="108" w:type="dxa"/>
        </w:tblCellMar>
      </w:tblPr>
      <w:tblGrid>
        <w:gridCol w:w="684"/>
        <w:gridCol w:w="3624"/>
        <w:gridCol w:w="3336"/>
        <w:gridCol w:w="1520"/>
      </w:tblGrid>
      <w:tr>
        <w:tblPrEx>
          <w:tblCellMar>
            <w:top w:w="0" w:type="dxa"/>
            <w:left w:w="108" w:type="dxa"/>
            <w:bottom w:w="0" w:type="dxa"/>
            <w:right w:w="108" w:type="dxa"/>
          </w:tblCellMar>
        </w:tblPrEx>
        <w:trPr>
          <w:trHeight w:val="561" w:hRule="atLeast"/>
          <w:jc w:val="center"/>
        </w:trPr>
        <w:tc>
          <w:tcPr>
            <w:tcW w:w="9164"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生物医药与健康产业重点项目</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项目实施企业</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2"/>
                <w:szCs w:val="22"/>
              </w:rPr>
            </w:pPr>
            <w:r>
              <w:rPr>
                <w:rFonts w:hint="eastAsia" w:ascii="宋体" w:hAnsi="宋体" w:eastAsia="宋体" w:cs="宋体"/>
                <w:b/>
                <w:bCs/>
                <w:kern w:val="0"/>
                <w:sz w:val="22"/>
                <w:szCs w:val="22"/>
              </w:rPr>
              <w:t>项目投资额</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w:t>
            </w:r>
            <w:r>
              <w:rPr>
                <w:rFonts w:hint="eastAsia" w:ascii="宋体" w:hAnsi="宋体" w:eastAsia="宋体" w:cs="宋体"/>
                <w:b/>
                <w:bCs/>
                <w:kern w:val="0"/>
                <w:sz w:val="22"/>
                <w:szCs w:val="22"/>
                <w:lang w:val="en-US" w:eastAsia="zh-CN"/>
              </w:rPr>
              <w:t>亿元</w:t>
            </w:r>
            <w:r>
              <w:rPr>
                <w:rFonts w:hint="eastAsia" w:ascii="宋体" w:hAnsi="宋体" w:eastAsia="宋体" w:cs="宋体"/>
                <w:b/>
                <w:bCs/>
                <w:kern w:val="0"/>
                <w:sz w:val="22"/>
                <w:szCs w:val="22"/>
              </w:rPr>
              <w:t>）</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自行车生产基地项目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广东跃速体育股份有限公司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二类医疗器械、理疗产品生产项目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辰浩医疗科技（广东）有限公司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国际创新可视化医疗器械研发生产项目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深圳因赛德思医疗科技有限公司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3</w:t>
            </w:r>
            <w:r>
              <w:rPr>
                <w:rFonts w:hint="eastAsia" w:ascii="宋体" w:hAnsi="宋体" w:eastAsia="宋体" w:cs="宋体"/>
                <w:kern w:val="0"/>
                <w:sz w:val="22"/>
                <w:szCs w:val="22"/>
                <w:lang w:val="en-US" w:eastAsia="zh-CN"/>
              </w:rPr>
              <w:t>6</w:t>
            </w:r>
            <w:r>
              <w:rPr>
                <w:rFonts w:hint="eastAsia" w:ascii="宋体" w:hAnsi="宋体" w:eastAsia="宋体" w:cs="宋体"/>
                <w:kern w:val="0"/>
                <w:sz w:val="22"/>
                <w:szCs w:val="22"/>
              </w:rPr>
              <w:t xml:space="preserve"> </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广藿香种植与加工提炼项目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禾创农业科技（广东）有限公司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低蛋白米饭特医食品生产基地项目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厚利加食品（梅州）有限公司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保健食品生产项目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梅州市廷樽保健食品有限公司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r>
              <w:rPr>
                <w:rFonts w:hint="eastAsia" w:ascii="宋体" w:hAnsi="宋体" w:eastAsia="宋体" w:cs="宋体"/>
                <w:color w:val="000000"/>
                <w:kern w:val="0"/>
                <w:sz w:val="22"/>
                <w:szCs w:val="22"/>
              </w:rPr>
              <w:t>95</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兽药制剂生产基地建设项目</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广东新理想生物制药有限公司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r>
              <w:rPr>
                <w:rFonts w:hint="eastAsia" w:ascii="宋体" w:hAnsi="宋体" w:eastAsia="宋体" w:cs="宋体"/>
                <w:color w:val="000000"/>
                <w:kern w:val="0"/>
                <w:sz w:val="22"/>
                <w:szCs w:val="22"/>
              </w:rPr>
              <w:t>65</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62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333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7</w:t>
            </w:r>
            <w:r>
              <w:rPr>
                <w:rFonts w:hint="eastAsia" w:ascii="宋体" w:hAnsi="宋体" w:eastAsia="宋体" w:cs="宋体"/>
                <w:color w:val="000000"/>
                <w:kern w:val="0"/>
                <w:sz w:val="22"/>
                <w:szCs w:val="22"/>
                <w:lang w:val="en-US" w:eastAsia="zh-CN"/>
              </w:rPr>
              <w:t>6</w:t>
            </w:r>
          </w:p>
        </w:tc>
      </w:tr>
    </w:tbl>
    <w:p>
      <w:pPr>
        <w:ind w:firstLine="0" w:firstLineChars="0"/>
        <w:rPr>
          <w:rFonts w:hint="eastAsia"/>
        </w:rPr>
      </w:pPr>
    </w:p>
    <w:p>
      <w:pPr>
        <w:ind w:firstLine="643" w:firstLineChars="200"/>
        <w:outlineLvl w:val="2"/>
        <w:rPr>
          <w:rFonts w:hint="eastAsia" w:cs="仿宋"/>
          <w:b/>
          <w:bCs/>
        </w:rPr>
      </w:pPr>
      <w:bookmarkStart w:id="37" w:name="_Toc26805"/>
      <w:r>
        <w:rPr>
          <w:rFonts w:hint="eastAsia"/>
          <w:b/>
          <w:bCs/>
          <w:lang w:val="en-US" w:eastAsia="zh-CN"/>
        </w:rPr>
        <w:t>4.做大做实一个产业</w:t>
      </w:r>
      <w:r>
        <w:rPr>
          <w:rFonts w:hint="eastAsia" w:cs="仿宋"/>
          <w:b/>
          <w:bCs/>
        </w:rPr>
        <w:t>振兴</w:t>
      </w:r>
      <w:r>
        <w:rPr>
          <w:rFonts w:hint="eastAsia" w:cs="仿宋"/>
          <w:b/>
          <w:bCs/>
          <w:lang w:val="en-US" w:eastAsia="zh-CN"/>
        </w:rPr>
        <w:t>主</w:t>
      </w:r>
      <w:r>
        <w:rPr>
          <w:rFonts w:hint="eastAsia" w:cs="仿宋"/>
          <w:b/>
          <w:bCs/>
        </w:rPr>
        <w:t>平台</w:t>
      </w:r>
      <w:bookmarkEnd w:id="37"/>
    </w:p>
    <w:p>
      <w:pPr>
        <w:ind w:firstLine="640"/>
        <w:rPr>
          <w:rFonts w:hint="default" w:cs="仿宋"/>
          <w:b/>
          <w:bCs/>
          <w:lang w:val="en-US" w:eastAsia="zh-CN"/>
        </w:rPr>
      </w:pPr>
      <w:r>
        <w:rPr>
          <w:rFonts w:hint="eastAsia"/>
        </w:rPr>
        <w:t>提升广州天河（兴宁）产业转移工业园发展能级，把广州天河（兴宁）产业转移工业园打造为振兴全市工业经济的主战场、主平台</w:t>
      </w:r>
      <w:r>
        <w:rPr>
          <w:rFonts w:hint="eastAsia"/>
          <w:lang w:eastAsia="zh-CN"/>
        </w:rPr>
        <w:t>，</w:t>
      </w:r>
      <w:r>
        <w:rPr>
          <w:rFonts w:hint="eastAsia"/>
          <w:lang w:val="en-US" w:eastAsia="zh-CN"/>
        </w:rPr>
        <w:t>鼓励产业集聚发展，以园区为依托，放大产业集群效应</w:t>
      </w:r>
      <w:r>
        <w:rPr>
          <w:rFonts w:hint="eastAsia"/>
        </w:rPr>
        <w:t>。</w:t>
      </w:r>
      <w:r>
        <w:rPr>
          <w:rFonts w:hint="eastAsia"/>
          <w:lang w:val="en-US" w:eastAsia="zh-CN"/>
        </w:rPr>
        <w:t>力争到2025年，园区工业总产值达100亿元以上，园区主导产业、特色产业、新兴产业等产业的产值占园区工业总产值的90%以上。</w:t>
      </w:r>
    </w:p>
    <w:p>
      <w:pPr>
        <w:widowControl/>
        <w:ind w:firstLine="643"/>
        <w:jc w:val="left"/>
      </w:pPr>
      <w:r>
        <w:rPr>
          <w:rFonts w:hint="eastAsia"/>
          <w:b/>
        </w:rPr>
        <w:t>提升园区基础设施建设水平。</w:t>
      </w:r>
      <w:r>
        <w:rPr>
          <w:rFonts w:hint="eastAsia"/>
        </w:rPr>
        <w:t>加大工业园区基础设施建设力度，实施“七通一平”（即道路通、给水通、排水通、电力通、网络通、燃气通、公共交通通和场地平整等）标准化建设。优化提升商贸物流体系，加快苏区产业园仓储物流中心建设；加快广东供销天兴冷链物流中心等项目建设，为农业深加工项目提供冷链仓储配套服务，整合物流资源，降低全市农副产业项目服务“双区”的物流和冷链保存成本，提高企业运营效率，提升园区物流水平。加强园区能源保障，加快分布式能源站项目建设，分步建设热电联产机组和供热供冷管网，合理布置分布式电源点，实现冷、热、电三联供应。大力发展清洁能源，启动兴宁市苏区产业园光伏发电项目，配套建设储能站、充电站等设施，实现微电网应用及智能化用电管理。强化油电气得综合保障能力，在园区西侧济广高速出口建设充电、充气、加油站等一体化能源供应站，为园区提供不间断的能源保障。</w:t>
      </w:r>
    </w:p>
    <w:p>
      <w:pPr>
        <w:ind w:firstLine="643"/>
      </w:pPr>
      <w:r>
        <w:rPr>
          <w:rFonts w:hint="eastAsia"/>
          <w:b/>
        </w:rPr>
        <w:t>推进产城融合发展。</w:t>
      </w:r>
      <w:r>
        <w:rPr>
          <w:rFonts w:hint="eastAsia"/>
        </w:rPr>
        <w:t>推进工业园区与城市公共设施无缝对接，将工业园区及周边区域生活、医疗、教育等公共服务设施纳入国土空间规划统筹布局，在建设用地安排方面给予保障。力争在工业园区或周边区域规划建成“七个一”工程，即一所中小学、一所职业院校、一家医疗卫生机构、一个生活区、一个商业区、一片公共绿地以及开通一条到中心城区的公共交通线路，提升园区配套水平。</w:t>
      </w:r>
    </w:p>
    <w:p>
      <w:pPr>
        <w:ind w:firstLine="643"/>
      </w:pPr>
      <w:r>
        <w:rPr>
          <w:rFonts w:hint="eastAsia"/>
          <w:b/>
        </w:rPr>
        <w:t>强化园区环保能力建设。</w:t>
      </w:r>
      <w:r>
        <w:rPr>
          <w:rFonts w:hint="eastAsia"/>
        </w:rPr>
        <w:t>大力推进园区环保基础设施建设，工业园区的污水集中处理设施与园区同步设计、同步施工和同步运营；完善园区环保基础设施，强化园区工业废水和生活污水分质分类处理，确保污染物按要求达标排放。推动工业园区建设集中供热设施和固体废物收集转运中心。</w:t>
      </w:r>
    </w:p>
    <w:p>
      <w:pPr>
        <w:ind w:firstLine="643"/>
        <w:rPr>
          <w:highlight w:val="yellow"/>
        </w:rPr>
      </w:pPr>
      <w:r>
        <w:rPr>
          <w:rFonts w:hint="eastAsia"/>
          <w:b/>
        </w:rPr>
        <w:t>提升园区土地集约利用效率。</w:t>
      </w:r>
      <w:r>
        <w:rPr>
          <w:rFonts w:hint="eastAsia"/>
        </w:rPr>
        <w:t>建立健全园区土地节约集约利用约束机制，制造业项目落户园区要明确约定投资、产出、节约集约用地等事项。园区内科学规划新型产业用地容积率原则上不低于 2.0，配套行政办公及生活服务设施计容建筑面积不大于总计容面积的 30%。开展“亩均”论英雄行动。完善综合评价的指标体系和评价方法。探索推进评价对象从规上工业企业向规下企业延伸，从工业企业向工业集聚区、工业楼宇以及服务综合体延伸。制订我市工业园区促进资源要素优化配置推动制造业高质量发展实施办法，强化综合评价结果运用，建立评价结果与政策扶持、评优评先挂钩机制，用地、用水、用电、排污等资源要素差别化配置机制，通过正向激励和反向倒逼，</w:t>
      </w:r>
      <w:r>
        <w:rPr>
          <w:rFonts w:hint="eastAsia"/>
          <w:highlight w:val="none"/>
        </w:rPr>
        <w:t>促进企业加快提质增效。到2025年，规上工业亩均</w:t>
      </w:r>
      <w:r>
        <w:rPr>
          <w:rFonts w:hint="eastAsia"/>
          <w:highlight w:val="none"/>
          <w:lang w:val="en-US" w:eastAsia="zh-CN"/>
        </w:rPr>
        <w:t>产值力争</w:t>
      </w:r>
      <w:r>
        <w:rPr>
          <w:rFonts w:hint="eastAsia"/>
          <w:highlight w:val="none"/>
        </w:rPr>
        <w:t>达</w:t>
      </w:r>
      <w:r>
        <w:rPr>
          <w:rFonts w:hint="eastAsia"/>
          <w:highlight w:val="none"/>
          <w:lang w:val="en-US" w:eastAsia="zh-CN"/>
        </w:rPr>
        <w:t>到350</w:t>
      </w:r>
      <w:r>
        <w:rPr>
          <w:rFonts w:hint="eastAsia"/>
          <w:highlight w:val="none"/>
        </w:rPr>
        <w:t>万元/亩</w:t>
      </w:r>
      <w:r>
        <w:rPr>
          <w:rFonts w:hint="eastAsia"/>
          <w:highlight w:val="none"/>
          <w:lang w:eastAsia="zh-CN"/>
        </w:rPr>
        <w:t>，</w:t>
      </w:r>
      <w:r>
        <w:rPr>
          <w:rFonts w:hint="eastAsia"/>
          <w:highlight w:val="none"/>
          <w:lang w:val="en-US" w:eastAsia="zh-CN"/>
        </w:rPr>
        <w:t>规上工业</w:t>
      </w:r>
      <w:r>
        <w:rPr>
          <w:rFonts w:hint="eastAsia"/>
          <w:highlight w:val="none"/>
        </w:rPr>
        <w:t>亩均税收</w:t>
      </w:r>
      <w:r>
        <w:rPr>
          <w:rFonts w:hint="eastAsia"/>
          <w:highlight w:val="none"/>
          <w:lang w:val="en-US" w:eastAsia="zh-CN"/>
        </w:rPr>
        <w:t>达到15</w:t>
      </w:r>
      <w:r>
        <w:rPr>
          <w:rFonts w:hint="eastAsia"/>
          <w:highlight w:val="none"/>
        </w:rPr>
        <w:t>万元/亩。</w:t>
      </w:r>
    </w:p>
    <w:p>
      <w:pPr>
        <w:ind w:firstLine="643"/>
      </w:pPr>
      <w:bookmarkStart w:id="38" w:name="_Hlk71581074"/>
      <w:r>
        <w:rPr>
          <w:rFonts w:hint="eastAsia"/>
          <w:b/>
        </w:rPr>
        <w:t>加力智慧园区建设。</w:t>
      </w:r>
      <w:bookmarkEnd w:id="38"/>
      <w:r>
        <w:rPr>
          <w:rFonts w:hint="eastAsia"/>
        </w:rPr>
        <w:t>实施创新型智慧园区建设，以广州（天河）产业转移园为试点，优先推进 5G 网络建设和应用，打造若干个“5G+工业互联网”应用示范企业，推动大数据、云计算、区块链等新一代信息技术与园区基础设施、产业发展、管理服务深度融合，激发园区发展新动能，增强园区管理能力、服务能力、集聚能力，引领园区创新升级，全面提升园区竞争优势。加快园区研发电商双平台建设，增强科技支撑服务，引导支持一批工程中心、院士工作站、重点实验室、新型研发机构和众创空间落户园区，激活创新活力，培育创新主体，不断提高自主创新能力，营造良好的创新生态，打造园区科技研发产品展示平台、校企合作示范基地和创新企业孵化器。</w:t>
      </w:r>
    </w:p>
    <w:tbl>
      <w:tblPr>
        <w:tblStyle w:val="13"/>
        <w:tblW w:w="9080" w:type="dxa"/>
        <w:jc w:val="center"/>
        <w:tblLayout w:type="autofit"/>
        <w:tblCellMar>
          <w:top w:w="0" w:type="dxa"/>
          <w:left w:w="108" w:type="dxa"/>
          <w:bottom w:w="0" w:type="dxa"/>
          <w:right w:w="108" w:type="dxa"/>
        </w:tblCellMar>
      </w:tblPr>
      <w:tblGrid>
        <w:gridCol w:w="600"/>
        <w:gridCol w:w="3460"/>
        <w:gridCol w:w="3500"/>
        <w:gridCol w:w="1520"/>
      </w:tblGrid>
      <w:tr>
        <w:tblPrEx>
          <w:tblCellMar>
            <w:top w:w="0" w:type="dxa"/>
            <w:left w:w="108" w:type="dxa"/>
            <w:bottom w:w="0" w:type="dxa"/>
            <w:right w:w="108" w:type="dxa"/>
          </w:tblCellMar>
        </w:tblPrEx>
        <w:trPr>
          <w:trHeight w:val="561" w:hRule="atLeast"/>
          <w:jc w:val="center"/>
        </w:trPr>
        <w:tc>
          <w:tcPr>
            <w:tcW w:w="9080" w:type="dxa"/>
            <w:gridSpan w:val="4"/>
            <w:tcBorders>
              <w:top w:val="nil"/>
              <w:left w:val="nil"/>
              <w:bottom w:val="single" w:color="auto" w:sz="4" w:space="0"/>
              <w:right w:val="nil"/>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广州天河（兴宁）产业转移工业园重点项目</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346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项目实施主体</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项目投资额</w:t>
            </w:r>
            <w:r>
              <w:rPr>
                <w:rFonts w:hint="eastAsia" w:ascii="宋体" w:hAnsi="宋体" w:eastAsia="宋体" w:cs="宋体"/>
                <w:b/>
                <w:bCs/>
                <w:kern w:val="0"/>
                <w:sz w:val="21"/>
                <w:szCs w:val="21"/>
              </w:rPr>
              <w:br w:type="textWrapping"/>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亿元</w:t>
            </w:r>
            <w:r>
              <w:rPr>
                <w:rFonts w:hint="eastAsia" w:ascii="宋体" w:hAnsi="宋体" w:eastAsia="宋体" w:cs="宋体"/>
                <w:b/>
                <w:bCs/>
                <w:kern w:val="0"/>
                <w:sz w:val="21"/>
                <w:szCs w:val="21"/>
              </w:rPr>
              <w:t>）</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兴宁市苏区产业园电子信息制造业基地项目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兴宁市苏区产业园仓储物流中心</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广东供销天兴冷链物流中心</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r>
              <w:rPr>
                <w:rFonts w:hint="eastAsia" w:ascii="宋体" w:hAnsi="宋体" w:eastAsia="宋体" w:cs="宋体"/>
                <w:b w:val="0"/>
                <w:bCs w:val="0"/>
                <w:color w:val="000000"/>
                <w:kern w:val="0"/>
                <w:sz w:val="21"/>
                <w:szCs w:val="21"/>
              </w:rPr>
              <w:t>/广东供销天兴冷链</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兴宁市苏区产业园中心医院</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兴宁市苏区产业园文体设施综合配套项目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园区安置区三期及配套道路工程</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园区温泉酒店，文旅服务配套项目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园区商务酒店及人才公寓配套项目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兴宁市苏区产业园污水处理工程</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园区商住小区</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兴宁市苏区产业园生活服务配套工程</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80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兴宁市产业转移工业园整体城镇化项目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07</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兴宁市产业转移工业园现代创业孵化园及综合服务中心建设工程</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兴宁市工业园区智能化项目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06</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兴宁市苏区产业园综合能源站</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20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highlight w:val="none"/>
                <w:lang w:val="en-US" w:eastAsia="zh-CN"/>
              </w:rPr>
              <w:t>产业园</w:t>
            </w:r>
            <w:r>
              <w:rPr>
                <w:rFonts w:hint="eastAsia" w:ascii="宋体" w:hAnsi="宋体" w:eastAsia="宋体" w:cs="宋体"/>
                <w:kern w:val="0"/>
                <w:sz w:val="21"/>
                <w:szCs w:val="21"/>
                <w:highlight w:val="none"/>
              </w:rPr>
              <w:t>分</w:t>
            </w:r>
            <w:r>
              <w:rPr>
                <w:rFonts w:hint="eastAsia" w:ascii="宋体" w:hAnsi="宋体" w:eastAsia="宋体" w:cs="宋体"/>
                <w:kern w:val="0"/>
                <w:sz w:val="21"/>
                <w:szCs w:val="21"/>
              </w:rPr>
              <w:t>布式能源站项目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园区屋顶光伏发电项目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广州天河（兴宁）产业转移工业园</w:t>
            </w:r>
            <w:r>
              <w:rPr>
                <w:rFonts w:hint="eastAsia" w:ascii="宋体" w:hAnsi="宋体" w:eastAsia="宋体" w:cs="宋体"/>
                <w:b w:val="0"/>
                <w:bCs w:val="0"/>
                <w:color w:val="000000"/>
                <w:kern w:val="0"/>
                <w:sz w:val="21"/>
                <w:szCs w:val="21"/>
              </w:rPr>
              <w:t>/梅州市乾晨新能源科技有限公司</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350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155</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63</w:t>
            </w:r>
          </w:p>
        </w:tc>
      </w:tr>
    </w:tbl>
    <w:p>
      <w:pPr>
        <w:ind w:firstLine="0" w:firstLineChars="0"/>
        <w:rPr>
          <w:b/>
        </w:rPr>
      </w:pPr>
    </w:p>
    <w:p>
      <w:pPr>
        <w:pStyle w:val="3"/>
        <w:outlineLvl w:val="1"/>
        <w:rPr>
          <w:rFonts w:ascii="Times New Roman" w:hAnsi="Times New Roman"/>
          <w:color w:val="000000" w:themeColor="text1"/>
          <w14:textFill>
            <w14:solidFill>
              <w14:schemeClr w14:val="tx1"/>
            </w14:solidFill>
          </w14:textFill>
        </w:rPr>
      </w:pPr>
      <w:bookmarkStart w:id="39" w:name="_Toc71578672"/>
      <w:bookmarkStart w:id="40" w:name="_Toc3431"/>
      <w:bookmarkStart w:id="41" w:name="_Toc21872"/>
      <w:bookmarkStart w:id="42" w:name="_Toc71906674"/>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二</w:t>
      </w:r>
      <w:r>
        <w:rPr>
          <w:rFonts w:hint="eastAsia" w:ascii="Times New Roman" w:hAnsi="Times New Roman"/>
          <w:color w:val="000000" w:themeColor="text1"/>
          <w14:textFill>
            <w14:solidFill>
              <w14:schemeClr w14:val="tx1"/>
            </w14:solidFill>
          </w14:textFill>
        </w:rPr>
        <w:t>）</w:t>
      </w:r>
      <w:bookmarkEnd w:id="39"/>
      <w:bookmarkEnd w:id="40"/>
      <w:r>
        <w:rPr>
          <w:rFonts w:hint="eastAsia" w:ascii="Times New Roman" w:hAnsi="Times New Roman"/>
          <w:color w:val="000000" w:themeColor="text1"/>
          <w14:textFill>
            <w14:solidFill>
              <w14:schemeClr w14:val="tx1"/>
            </w14:solidFill>
          </w14:textFill>
        </w:rPr>
        <w:t>完善工业创新体系</w:t>
      </w:r>
      <w:bookmarkEnd w:id="41"/>
      <w:bookmarkEnd w:id="42"/>
    </w:p>
    <w:p>
      <w:pPr>
        <w:ind w:firstLine="643"/>
        <w:rPr>
          <w:shd w:val="clear" w:color="auto" w:fill="FFFFFF"/>
        </w:rPr>
      </w:pPr>
      <w:r>
        <w:rPr>
          <w:rFonts w:hint="eastAsia"/>
          <w:b/>
          <w:bCs/>
        </w:rPr>
        <w:t>培育企业创新主体。</w:t>
      </w:r>
      <w:r>
        <w:rPr>
          <w:rFonts w:hint="eastAsia"/>
          <w:shd w:val="clear" w:color="auto" w:fill="FFFFFF"/>
        </w:rPr>
        <w:t>开展对主导产业、特色产业、新兴产业的重点扶持和培育企业的分类指导、梯次培育，引导相关企业向科技型、高新型、创新型转型发展。推动企业与省内知名研究机构合作，探索建立利益共享、风险共担的产业技术创新战略联盟或产学研合作联盟，推动联盟建立健全联合攻关与成果共享、扩散机制，促进产业创新</w:t>
      </w:r>
      <w:r>
        <w:rPr>
          <w:rFonts w:hint="eastAsia"/>
          <w:shd w:val="clear" w:color="auto" w:fill="FFFFFF"/>
        </w:rPr>
        <w:tab/>
      </w:r>
      <w:r>
        <w:rPr>
          <w:rFonts w:hint="eastAsia"/>
          <w:shd w:val="clear" w:color="auto" w:fill="FFFFFF"/>
        </w:rPr>
        <w:t>链的形成。激发中小企业创新活力，引导资金、人才等资源向企业聚集。探索科技金融结合的有效方式，促进科技成果资本化、产业化。</w:t>
      </w:r>
    </w:p>
    <w:p>
      <w:pPr>
        <w:ind w:firstLine="643"/>
        <w:rPr>
          <w:shd w:val="clear" w:color="auto" w:fill="FFFFFF"/>
        </w:rPr>
      </w:pPr>
      <w:r>
        <w:rPr>
          <w:rFonts w:hint="eastAsia"/>
          <w:b/>
          <w:bCs/>
        </w:rPr>
        <w:t>加强创新载体建设。</w:t>
      </w:r>
      <w:r>
        <w:rPr>
          <w:rFonts w:hint="eastAsia"/>
          <w:shd w:val="clear" w:color="auto" w:fill="FFFFFF"/>
        </w:rPr>
        <w:t>围绕主导产业、特色产业、新兴产业的发展目标，以骨干企业为龙头，与高等学校、科研院所、行业协会、上下游企业组建产业联盟，探索共建工业技术研究院。探索建立企业技术中心和高等院校、科研机构交流合作对接机制，支持大中型骨干企业和高新技术企业逐步建立企业研发机构和实验中心，引导和鼓励企业加大研发投入。重点推进中小企业创业示范基地、智慧小企业创业基地、创新型示范中小企业等建设。建立创业政策集中发布平台，加强中小企业公共服务网络平台建设。</w:t>
      </w:r>
    </w:p>
    <w:p>
      <w:pPr>
        <w:ind w:firstLine="643"/>
        <w:rPr>
          <w:shd w:val="clear" w:color="auto" w:fill="FFFFFF"/>
        </w:rPr>
      </w:pPr>
      <w:r>
        <w:rPr>
          <w:rFonts w:hint="eastAsia"/>
          <w:b/>
          <w:bCs/>
        </w:rPr>
        <w:t>加强知识产权工作。</w:t>
      </w:r>
      <w:r>
        <w:rPr>
          <w:rFonts w:hint="eastAsia"/>
          <w:shd w:val="clear" w:color="auto" w:fill="FFFFFF"/>
        </w:rPr>
        <w:t>积极对接企业、高等学校和科研院所科技成果资源目录，推动高水平科技成果在兴宁产业化；推动装备制造</w:t>
      </w:r>
      <w:r>
        <w:rPr>
          <w:rFonts w:hint="eastAsia"/>
          <w:shd w:val="clear" w:color="auto" w:fill="FFFFFF"/>
          <w:lang w:eastAsia="zh-CN"/>
        </w:rPr>
        <w:t>业</w:t>
      </w:r>
      <w:r>
        <w:rPr>
          <w:rFonts w:hint="eastAsia"/>
          <w:shd w:val="clear" w:color="auto" w:fill="FFFFFF"/>
        </w:rPr>
        <w:t>、生态特色食品、新一代电子信息、新材料领域等关键产业技术转移转化推广，建设聚焦细分领域的科技成果中试、熟化基地，促进技术成果规模化应用；提升企业知识产权管理和运用水平，强化知识产权保护，鼓励企业申报省、市级平台和创新项目。</w:t>
      </w:r>
    </w:p>
    <w:p>
      <w:pPr>
        <w:outlineLvl w:val="9"/>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深化“互联网+工业”。</w:t>
      </w:r>
      <w:r>
        <w:rPr>
          <w:rFonts w:hint="eastAsia" w:ascii="Times New Roman" w:hAnsi="Times New Roman"/>
          <w:b w:val="0"/>
          <w:shd w:val="clear" w:color="auto" w:fill="FFFFFF"/>
        </w:rPr>
        <w:t>推动互联网工业融合创新发展，加快“互联网+工业”平台和体系建设，引导实现兴宁工业信息化，全面开拓潜在市场。创新发展服务平台，推广“线上下单、线下购物”的购物模式和手机服务模式。建设智慧服务地理信息服务系统和含兴宁市各企业、物流区、酒店、原材料在内的工业资源数据库，形成联网互通、实时监测、资源共享的服务网络体系。鼓励物流、工业企业和互联网企业通过战略投资等市场化方式融合发展，构建线上与线下相结合、品牌和投资相结合的发展模式。利用互联网加强工业产品宣传推广，组织开展线上推介活动，探索建设工业产品线上博览平台，加快工业电子商务发展。</w:t>
      </w:r>
    </w:p>
    <w:p>
      <w:pPr>
        <w:pStyle w:val="3"/>
        <w:rPr>
          <w:rFonts w:ascii="Times New Roman" w:hAnsi="Times New Roman"/>
          <w:color w:val="FF0000"/>
        </w:rPr>
      </w:pPr>
      <w:bookmarkStart w:id="43" w:name="_Toc71578678"/>
      <w:bookmarkStart w:id="44" w:name="_Toc16858"/>
      <w:bookmarkStart w:id="45" w:name="_Toc71906675"/>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三</w:t>
      </w:r>
      <w:r>
        <w:rPr>
          <w:rFonts w:hint="eastAsia" w:ascii="Times New Roman" w:hAnsi="Times New Roman"/>
          <w:color w:val="000000" w:themeColor="text1"/>
          <w14:textFill>
            <w14:solidFill>
              <w14:schemeClr w14:val="tx1"/>
            </w14:solidFill>
          </w14:textFill>
        </w:rPr>
        <w:t>）提升招商引资</w:t>
      </w:r>
      <w:bookmarkEnd w:id="43"/>
      <w:r>
        <w:rPr>
          <w:rFonts w:hint="eastAsia" w:ascii="Times New Roman" w:hAnsi="Times New Roman"/>
          <w:color w:val="000000" w:themeColor="text1"/>
          <w14:textFill>
            <w14:solidFill>
              <w14:schemeClr w14:val="tx1"/>
            </w14:solidFill>
          </w14:textFill>
        </w:rPr>
        <w:t>水平</w:t>
      </w:r>
      <w:bookmarkEnd w:id="44"/>
      <w:bookmarkEnd w:id="45"/>
    </w:p>
    <w:p>
      <w:pPr>
        <w:ind w:firstLine="643"/>
      </w:pPr>
      <w:bookmarkStart w:id="46" w:name="_Toc71578674"/>
      <w:r>
        <w:rPr>
          <w:rFonts w:hint="eastAsia"/>
          <w:b/>
        </w:rPr>
        <w:t>全面落实精准招商。</w:t>
      </w:r>
      <w:r>
        <w:rPr>
          <w:rFonts w:hint="eastAsia"/>
        </w:rPr>
        <w:t>不断完善建立旗舰型、基地型、龙头型以及上下游关联配套项目的企业信息库，做好项目谋划和储备工作。围绕重点产业链缺失和短板环节，加大补链延链强链力度。着力提升产业链本地化配套能力，支持重点企业向产业链上下游延伸发展。主动对接珠三角等地优质项目优质企业，瞄准国企央企、跨国公司、领军企业，大力开展精准精细招商。</w:t>
      </w:r>
    </w:p>
    <w:p>
      <w:pPr>
        <w:ind w:firstLine="643"/>
      </w:pPr>
      <w:r>
        <w:rPr>
          <w:rFonts w:hint="eastAsia"/>
          <w:b/>
        </w:rPr>
        <w:t>创新招商模式。</w:t>
      </w:r>
      <w:r>
        <w:rPr>
          <w:rFonts w:hint="eastAsia"/>
        </w:rPr>
        <w:t>多渠道进行招商引资，综合使用小团组招商、驻点招商、关系招商、以商招商等方式，加强与“双区”和国内外先进地区制造业龙头企业精准对接，掌握投资意向，吸引优质项目入驻兴宁。深入实施“乡贤回乡投资兴业工程”，推动“客商回归”工作常态化、高效化发展。</w:t>
      </w:r>
    </w:p>
    <w:p>
      <w:pPr>
        <w:ind w:firstLine="643"/>
      </w:pPr>
      <w:r>
        <w:rPr>
          <w:rFonts w:hint="eastAsia"/>
          <w:b/>
        </w:rPr>
        <w:t>完善招商要素支撑。</w:t>
      </w:r>
      <w:r>
        <w:rPr>
          <w:rFonts w:hint="eastAsia"/>
        </w:rPr>
        <w:t>修订招商引资政策文件，灵活利用考核机制，调动各级各部门招商引资的积极性。探索成立产业发展基金，为成长性较好、市场前景广阔的“红苗”企业注入强劲“血液”。全力提升全市营商环境，强化招商优势，增强企业来兴投资的信心，吸引产业链长、聚集效应强的龙头工业企业落户。完善各产业集聚重大项目库并实施动态管理机制，开展重点跟踪服务，力争形成制造业重大项早开工、早建设、早投产、早见效的良性循环、滚动发展格局。加强招商队伍建设。选优配强驻外专业招商队伍，加强业务培训，培养一批反应灵敏、沟通灵活、劲头执着的招商队伍，不断提高招商实效性。</w:t>
      </w:r>
      <w:bookmarkEnd w:id="46"/>
    </w:p>
    <w:p>
      <w:pPr>
        <w:pStyle w:val="2"/>
        <w:spacing w:line="360" w:lineRule="auto"/>
        <w:rPr>
          <w:rFonts w:ascii="Times New Roman" w:hAnsi="Times New Roman" w:eastAsia="黑体" w:cs="Times New Roman"/>
          <w:color w:val="000000" w:themeColor="text1"/>
          <w:sz w:val="32"/>
          <w14:textFill>
            <w14:solidFill>
              <w14:schemeClr w14:val="tx1"/>
            </w14:solidFill>
          </w14:textFill>
        </w:rPr>
      </w:pPr>
      <w:bookmarkStart w:id="47" w:name="_Toc18362"/>
      <w:bookmarkStart w:id="48" w:name="_Toc71906677"/>
      <w:r>
        <w:rPr>
          <w:rFonts w:hint="eastAsia" w:ascii="Times New Roman" w:hAnsi="Times New Roman" w:eastAsia="黑体" w:cs="Times New Roman"/>
          <w:color w:val="000000" w:themeColor="text1"/>
          <w:sz w:val="32"/>
          <w14:textFill>
            <w14:solidFill>
              <w14:schemeClr w14:val="tx1"/>
            </w14:solidFill>
          </w14:textFill>
        </w:rPr>
        <w:t>四、保障措施</w:t>
      </w:r>
      <w:bookmarkEnd w:id="47"/>
      <w:bookmarkEnd w:id="48"/>
    </w:p>
    <w:p>
      <w:pPr>
        <w:pStyle w:val="3"/>
        <w:rPr>
          <w:rFonts w:ascii="Times New Roman" w:hAnsi="Times New Roman"/>
          <w:color w:val="000000" w:themeColor="text1"/>
          <w:highlight w:val="none"/>
          <w14:textFill>
            <w14:solidFill>
              <w14:schemeClr w14:val="tx1"/>
            </w14:solidFill>
          </w14:textFill>
        </w:rPr>
      </w:pPr>
      <w:bookmarkStart w:id="49" w:name="_Toc27636"/>
      <w:bookmarkStart w:id="50" w:name="_Toc71906678"/>
      <w:bookmarkStart w:id="51" w:name="_Toc14771"/>
      <w:r>
        <w:rPr>
          <w:rFonts w:ascii="Times New Roman" w:hAnsi="Times New Roman"/>
          <w:color w:val="000000" w:themeColor="text1"/>
          <w:highlight w:val="none"/>
          <w14:textFill>
            <w14:solidFill>
              <w14:schemeClr w14:val="tx1"/>
            </w14:solidFill>
          </w14:textFill>
        </w:rPr>
        <w:t>（一）</w:t>
      </w:r>
      <w:r>
        <w:rPr>
          <w:rFonts w:hint="eastAsia" w:ascii="Times New Roman" w:hAnsi="Times New Roman"/>
          <w:color w:val="000000" w:themeColor="text1"/>
          <w:highlight w:val="none"/>
          <w14:textFill>
            <w14:solidFill>
              <w14:schemeClr w14:val="tx1"/>
            </w14:solidFill>
          </w14:textFill>
        </w:rPr>
        <w:t>切实加强组织领导</w:t>
      </w:r>
      <w:bookmarkEnd w:id="49"/>
      <w:bookmarkEnd w:id="50"/>
      <w:bookmarkEnd w:id="51"/>
    </w:p>
    <w:p>
      <w:pPr>
        <w:ind w:firstLine="640"/>
      </w:pPr>
      <w:r>
        <w:rPr>
          <w:rFonts w:hint="eastAsia"/>
          <w:lang w:val="en-US" w:eastAsia="zh-CN"/>
        </w:rPr>
        <w:t>围绕省、市“链长制”要求，建立和完善以市领导为链长、龙头企业为链主的“双链式”工作体系，强化产业链发展的要素保障，推动产业链跨区域协作。</w:t>
      </w:r>
      <w:r>
        <w:t>成立</w:t>
      </w:r>
      <w:r>
        <w:rPr>
          <w:rFonts w:hint="eastAsia"/>
        </w:rPr>
        <w:t>由市委、市政府主要领导任总队长，市政府有关领导任副总队长，相关部门主要负责同志为成员的</w:t>
      </w:r>
      <w:r>
        <w:t>工业主导产业轻骑服务队</w:t>
      </w:r>
      <w:r>
        <w:rPr>
          <w:rFonts w:hint="eastAsia"/>
        </w:rPr>
        <w:t>，通过建立沟通机制、服务机制、督办机制等方式，为工业主导产业中的重点企业、高成长性企业、重点增资扩产企业和重点招商引资项目企业提供快速、便捷、精准、高效服务，解决产业发展、企业生产经营和项目落地建设中的问题和困难。</w:t>
      </w:r>
    </w:p>
    <w:p>
      <w:pPr>
        <w:pStyle w:val="3"/>
        <w:rPr>
          <w:rFonts w:ascii="Times New Roman" w:hAnsi="Times New Roman"/>
          <w:color w:val="000000" w:themeColor="text1"/>
          <w14:textFill>
            <w14:solidFill>
              <w14:schemeClr w14:val="tx1"/>
            </w14:solidFill>
          </w14:textFill>
        </w:rPr>
      </w:pPr>
      <w:bookmarkStart w:id="52" w:name="_Toc71906679"/>
      <w:bookmarkStart w:id="53" w:name="_Toc22563"/>
      <w:r>
        <w:rPr>
          <w:rFonts w:hint="eastAsia" w:ascii="Times New Roman" w:hAnsi="Times New Roman"/>
          <w:color w:val="000000" w:themeColor="text1"/>
          <w14:textFill>
            <w14:solidFill>
              <w14:schemeClr w14:val="tx1"/>
            </w14:solidFill>
          </w14:textFill>
        </w:rPr>
        <w:t>（二）</w:t>
      </w:r>
      <w:bookmarkEnd w:id="52"/>
      <w:r>
        <w:rPr>
          <w:rFonts w:hint="eastAsia" w:ascii="Times New Roman" w:hAnsi="Times New Roman"/>
          <w:color w:val="000000" w:themeColor="text1"/>
          <w14:textFill>
            <w14:solidFill>
              <w14:schemeClr w14:val="tx1"/>
            </w14:solidFill>
          </w14:textFill>
        </w:rPr>
        <w:t>完善资源要素保障</w:t>
      </w:r>
      <w:bookmarkEnd w:id="53"/>
    </w:p>
    <w:p>
      <w:pPr>
        <w:ind w:firstLine="643"/>
        <w:rPr>
          <w:color w:val="000000" w:themeColor="text1"/>
          <w14:textFill>
            <w14:solidFill>
              <w14:schemeClr w14:val="tx1"/>
            </w14:solidFill>
          </w14:textFill>
        </w:rPr>
      </w:pPr>
      <w:bookmarkStart w:id="54" w:name="_Toc30029_WPSOffice_Level3"/>
      <w:bookmarkStart w:id="55" w:name="_Toc617_WPSOffice_Level3"/>
      <w:bookmarkStart w:id="56" w:name="_Toc3506_WPSOffice_Level3"/>
      <w:bookmarkStart w:id="57" w:name="_Toc24895_WPSOffice_Level3"/>
      <w:bookmarkStart w:id="58" w:name="_Toc32459_WPSOffice_Level3"/>
      <w:bookmarkStart w:id="59" w:name="_Toc27786_WPSOffice_Level3"/>
      <w:bookmarkStart w:id="60" w:name="_Toc28479_WPSOffice_Level3"/>
      <w:r>
        <w:rPr>
          <w:rFonts w:hint="eastAsia"/>
          <w:b/>
          <w:bCs/>
        </w:rPr>
        <w:t>强化财政资金扶持</w:t>
      </w:r>
      <w:bookmarkEnd w:id="54"/>
      <w:bookmarkEnd w:id="55"/>
      <w:bookmarkEnd w:id="56"/>
      <w:bookmarkEnd w:id="57"/>
      <w:bookmarkEnd w:id="58"/>
      <w:bookmarkEnd w:id="59"/>
      <w:bookmarkEnd w:id="60"/>
      <w:r>
        <w:rPr>
          <w:rFonts w:hint="eastAsia"/>
          <w:b/>
          <w:bCs/>
        </w:rPr>
        <w:t>。</w:t>
      </w:r>
      <w:r>
        <w:rPr>
          <w:rFonts w:hint="eastAsia"/>
        </w:rPr>
        <w:t>进一步落实各项扶持政策，用活用好财政专项资金，围绕产业转型发展方向，重点扶持</w:t>
      </w:r>
      <w:r>
        <w:rPr>
          <w:rFonts w:hint="eastAsia"/>
          <w:lang w:eastAsia="zh-CN"/>
        </w:rPr>
        <w:t>主导产业、特色产业、</w:t>
      </w:r>
      <w:r>
        <w:rPr>
          <w:rFonts w:hint="eastAsia"/>
        </w:rPr>
        <w:t>战略性新兴产业等。</w:t>
      </w:r>
      <w:r>
        <w:t>设立</w:t>
      </w:r>
      <w:r>
        <w:rPr>
          <w:rFonts w:hint="eastAsia"/>
        </w:rPr>
        <w:t>财政</w:t>
      </w:r>
      <w:r>
        <w:t>专项资金，鼓励企业引进新项目、研发新技术，支持重大项目引进、核心关键技术研发与产业化、重点产品创新、知识产权保护及技术研发服务平台建设等。</w:t>
      </w:r>
      <w:r>
        <w:rPr>
          <w:rFonts w:hint="eastAsia"/>
        </w:rPr>
        <w:t>出台系列扶持政策，完善政府守信践诺机制，积极为企业搭建发展壮大平台。积极转变财政资金扶持方式，逐步加大产业基金支持力度，吸引企业、金融机构以及社会资金共同参与设立产业发展基金。加强对工业企业的扶持力度，积极争取国家以及区市相关政策支持。</w:t>
      </w:r>
      <w:r>
        <w:rPr>
          <w:color w:val="000000" w:themeColor="text1"/>
          <w14:textFill>
            <w14:solidFill>
              <w14:schemeClr w14:val="tx1"/>
            </w14:solidFill>
          </w14:textFill>
        </w:rPr>
        <w:t>鼓励园镇开展产业共建，促进产业联动发展，在</w:t>
      </w:r>
      <w:r>
        <w:rPr>
          <w:rFonts w:hint="eastAsia"/>
          <w:color w:val="000000" w:themeColor="text1"/>
          <w14:textFill>
            <w14:solidFill>
              <w14:schemeClr w14:val="tx1"/>
            </w14:solidFill>
          </w14:textFill>
        </w:rPr>
        <w:t>工业园</w:t>
      </w:r>
      <w:r>
        <w:rPr>
          <w:color w:val="000000" w:themeColor="text1"/>
          <w14:textFill>
            <w14:solidFill>
              <w14:schemeClr w14:val="tx1"/>
            </w14:solidFill>
          </w14:textFill>
        </w:rPr>
        <w:t>区统筹发展方面进行各类政策创新。加强政策储备，研究出台科技、产业、人才、土地、金融等配套政策，推动形成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1+N</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政策体系，促进要素自主有序流动，提高要素配置效率，为实现规划目标提供有力支撑。</w:t>
      </w:r>
    </w:p>
    <w:p>
      <w:pPr>
        <w:ind w:firstLine="643"/>
      </w:pPr>
      <w:r>
        <w:rPr>
          <w:b/>
          <w:bCs/>
        </w:rPr>
        <w:t>深化土地要素配置改革</w:t>
      </w:r>
      <w:r>
        <w:rPr>
          <w:rFonts w:hint="eastAsia"/>
          <w:b/>
          <w:bCs/>
        </w:rPr>
        <w:t>。</w:t>
      </w:r>
      <w:r>
        <w:t>切实保障和合理利用新增工业用地资源，积极申报区市重大、重点项目，多渠道争取用地指标。全</w:t>
      </w:r>
      <w:r>
        <w:rPr>
          <w:rFonts w:hint="eastAsia"/>
        </w:rPr>
        <w:t>市</w:t>
      </w:r>
      <w:r>
        <w:t>工业用地指标集中用于园区建设，引导园区外的工业企业向平台集中，新建工业项目原则上不得在园区外布局。探索建立存量土地盘活、土地产出效益与新增建设用地计划指标分配挂钩制度，建立低效利用土地市场退出机制。大力推广园区标准化厂房建设，采取政府主导、政企共建、企业自建等多种模式，满足中小微企业和创新创业需求。</w:t>
      </w:r>
    </w:p>
    <w:p>
      <w:pPr>
        <w:ind w:firstLine="643"/>
      </w:pPr>
      <w:r>
        <w:rPr>
          <w:rFonts w:hint="eastAsia" w:cs="Times New Roman"/>
          <w:b/>
        </w:rPr>
        <w:t>健全人才“引培”体系。</w:t>
      </w:r>
      <w:r>
        <w:rPr>
          <w:rFonts w:hint="eastAsia"/>
        </w:rPr>
        <w:t>探索“科创</w:t>
      </w:r>
      <w:r>
        <w:t>飞</w:t>
      </w:r>
      <w:r>
        <w:rPr>
          <w:rFonts w:hint="eastAsia"/>
        </w:rPr>
        <w:t>地”</w:t>
      </w:r>
      <w:r>
        <w:t>引才</w:t>
      </w:r>
      <w:r>
        <w:rPr>
          <w:rFonts w:hint="eastAsia"/>
        </w:rPr>
        <w:t>。建立“政府</w:t>
      </w:r>
      <w:r>
        <w:t>+</w:t>
      </w:r>
      <w:r>
        <w:rPr>
          <w:rFonts w:hint="eastAsia"/>
        </w:rPr>
        <w:t>专业运行机构</w:t>
      </w:r>
      <w:r>
        <w:t>+</w:t>
      </w:r>
      <w:r>
        <w:rPr>
          <w:rFonts w:hint="eastAsia"/>
        </w:rPr>
        <w:t>股权投资基金</w:t>
      </w:r>
      <w:r>
        <w:t>”</w:t>
      </w:r>
      <w:r>
        <w:rPr>
          <w:rFonts w:hint="eastAsia"/>
        </w:rPr>
        <w:t>方式运行的离岸式科创港，引进高校科研机构、集聚高科技初创型项目。</w:t>
      </w:r>
      <w:r>
        <w:t>鼓励企业到大城市</w:t>
      </w:r>
      <w:r>
        <w:rPr>
          <w:rFonts w:hint="eastAsia"/>
        </w:rPr>
        <w:t>自主</w:t>
      </w:r>
      <w:r>
        <w:t>设立飞地研发机构，</w:t>
      </w:r>
      <w:r>
        <w:rPr>
          <w:rFonts w:hint="eastAsia"/>
        </w:rPr>
        <w:t>异地借智，依托粤港澳</w:t>
      </w:r>
      <w:r>
        <w:t>大湾区</w:t>
      </w:r>
      <w:r>
        <w:rPr>
          <w:rFonts w:hint="eastAsia"/>
        </w:rPr>
        <w:t>核心</w:t>
      </w:r>
      <w:r>
        <w:t>城市</w:t>
      </w:r>
      <w:r>
        <w:rPr>
          <w:rFonts w:hint="eastAsia"/>
        </w:rPr>
        <w:t>丰富的创新人才资源，引导本土企业开展研发前移，就地招引高端人才。鼓励企业以顾问指导、兼职服务、“候鸟式”聘任、项目招标、联合攻关、专题服务等方式从珠三角</w:t>
      </w:r>
      <w:r>
        <w:t>、泛珠三角</w:t>
      </w:r>
      <w:r>
        <w:rPr>
          <w:rFonts w:hint="eastAsia"/>
        </w:rPr>
        <w:t>柔性</w:t>
      </w:r>
      <w:r>
        <w:t>引才</w:t>
      </w:r>
      <w:r>
        <w:rPr>
          <w:rFonts w:hint="eastAsia"/>
        </w:rPr>
        <w:t>用才。大力实施外出人才“家燕归巢工程”，围绕全市重点产业规划，充分利用人才交流会、人才招聘会、招商引资会和优秀大学生“家乡行”等活动，大力推介人才优惠政策，激励梅州籍在外优秀人才回乡创新创业。推广订单式培养和联合培训体系的职业教育模式，推行本地职校学生在本地企业顶岗实习制度，加大对本地年青技术人才培育力度。推进兴宁人才信息库建设，健全人才联络常态化机制。</w:t>
      </w:r>
      <w:r>
        <w:rPr>
          <w:rFonts w:hint="eastAsia"/>
          <w:shd w:val="clear" w:color="auto" w:fill="FFFFFF"/>
        </w:rPr>
        <w:t>健全人才服务保障体系，妥善解决紧缺人才在居留、落户、医疗、保险、住房等方面的困难和问题，完善人才荣誉体系，营造“引得进、用得好、留得住”人才环境。</w:t>
      </w:r>
    </w:p>
    <w:p>
      <w:pPr>
        <w:pStyle w:val="3"/>
        <w:rPr>
          <w:rFonts w:ascii="Times New Roman" w:hAnsi="Times New Roman"/>
          <w:color w:val="000000" w:themeColor="text1"/>
          <w14:textFill>
            <w14:solidFill>
              <w14:schemeClr w14:val="tx1"/>
            </w14:solidFill>
          </w14:textFill>
        </w:rPr>
      </w:pPr>
      <w:bookmarkStart w:id="61" w:name="_Toc71906680"/>
      <w:bookmarkStart w:id="62" w:name="_Toc71578677"/>
      <w:bookmarkStart w:id="63" w:name="_Toc22961"/>
      <w:r>
        <w:rPr>
          <w:rFonts w:hint="eastAsia" w:ascii="Times New Roman" w:hAnsi="Times New Roman"/>
          <w:color w:val="000000" w:themeColor="text1"/>
          <w14:textFill>
            <w14:solidFill>
              <w14:schemeClr w14:val="tx1"/>
            </w14:solidFill>
          </w14:textFill>
        </w:rPr>
        <w:t>（三）优化改善</w:t>
      </w:r>
      <w:bookmarkEnd w:id="61"/>
      <w:bookmarkEnd w:id="62"/>
      <w:r>
        <w:rPr>
          <w:rFonts w:hint="eastAsia" w:ascii="Times New Roman" w:hAnsi="Times New Roman"/>
          <w:color w:val="000000" w:themeColor="text1"/>
          <w14:textFill>
            <w14:solidFill>
              <w14:schemeClr w14:val="tx1"/>
            </w14:solidFill>
          </w14:textFill>
        </w:rPr>
        <w:t>营商环境</w:t>
      </w:r>
      <w:bookmarkEnd w:id="63"/>
    </w:p>
    <w:p>
      <w:pPr>
        <w:ind w:firstLine="643"/>
        <w:rPr>
          <w:b/>
          <w:bCs/>
        </w:rPr>
      </w:pPr>
      <w:r>
        <w:rPr>
          <w:b/>
          <w:bCs/>
        </w:rPr>
        <w:t>强化工业投资清单管理</w:t>
      </w:r>
      <w:r>
        <w:rPr>
          <w:rFonts w:hint="eastAsia"/>
          <w:b/>
          <w:bCs/>
        </w:rPr>
        <w:t>。</w:t>
      </w:r>
      <w:r>
        <w:t>根据全</w:t>
      </w:r>
      <w:r>
        <w:rPr>
          <w:rFonts w:hint="eastAsia"/>
        </w:rPr>
        <w:t>市</w:t>
      </w:r>
      <w:r>
        <w:t>产业发展定位和空间布局导向，加快推进实施工业投资负面清单管理，明确各工业平台产业准入条件。对于列入负面清单的项目，各级部门不得审批、核准、备案及提供各种要素保障。积极落实</w:t>
      </w:r>
      <w:r>
        <w:rPr>
          <w:rFonts w:hint="eastAsia"/>
        </w:rPr>
        <w:t>“非禁即入”</w:t>
      </w:r>
      <w:r>
        <w:t>原则，对于未列入负面清单的项目实行备案管理，由投资者自主决策，消除各种隐性壁垒，优化市场发展环境。全面开展工业企业单位资源占用产出绩效评价，针对不同类型企业实行差别化的用电、用水、用地、信贷等政策，积极推进资源要素市场化配置改革。</w:t>
      </w:r>
    </w:p>
    <w:p>
      <w:pPr>
        <w:ind w:firstLine="643"/>
      </w:pPr>
      <w:r>
        <w:rPr>
          <w:rFonts w:hint="eastAsia"/>
          <w:b/>
        </w:rPr>
        <w:t>提高政务服务质量和水平。</w:t>
      </w:r>
      <w:r>
        <w:rPr>
          <w:shd w:val="clear" w:color="auto" w:fill="FFFFFF"/>
        </w:rPr>
        <w:t>继续</w:t>
      </w:r>
      <w:r>
        <w:rPr>
          <w:rFonts w:hint="eastAsia"/>
          <w:shd w:val="clear" w:color="auto" w:fill="FFFFFF"/>
        </w:rPr>
        <w:t>优化行政审批流程，积极落实“两随机一公开”机制，拓展完善政务服务平台，继续推进“互联网+政务服务”，</w:t>
      </w:r>
      <w:r>
        <w:rPr>
          <w:rFonts w:hint="eastAsia"/>
        </w:rPr>
        <w:t>继续规范行政审批事项，优化项目审批流程，规范项目审批条件，简化审批程序，加快项目落地。大力推行投资项目联合审批机制，为重点建设项目审批提供“绿色通道”和全程代办服务，</w:t>
      </w:r>
      <w:r>
        <w:rPr>
          <w:rFonts w:hint="eastAsia"/>
          <w:shd w:val="clear" w:color="auto" w:fill="FFFFFF"/>
        </w:rPr>
        <w:t>加快行政审批提速。</w:t>
      </w:r>
      <w:r>
        <w:rPr>
          <w:rFonts w:hint="eastAsia"/>
          <w:bCs/>
        </w:rPr>
        <w:t>搭建“政企沟通服务平台”，加快畅通政企沟通渠道，助力企业健康发展。创新服务机制和服务方式，积极主动为企业排忧解难，构建新型政商合作关系，促进部门协调能力与工作协同能力，努力打造兴宁法治化、科学化、便利化营商环境，增强服务工业经济高质量发展的发展效能。</w:t>
      </w:r>
    </w:p>
    <w:p>
      <w:pPr>
        <w:pStyle w:val="3"/>
        <w:rPr>
          <w:rFonts w:hint="default" w:ascii="Times New Roman" w:hAnsi="Times New Roman"/>
          <w:color w:val="000000" w:themeColor="text1"/>
          <w:lang w:val="en-US"/>
          <w14:textFill>
            <w14:solidFill>
              <w14:schemeClr w14:val="tx1"/>
            </w14:solidFill>
          </w14:textFill>
        </w:rPr>
      </w:pPr>
      <w:bookmarkStart w:id="64" w:name="_Toc71578679"/>
      <w:bookmarkStart w:id="65" w:name="_Toc71906681"/>
      <w:bookmarkStart w:id="66" w:name="_Toc20647"/>
      <w:r>
        <w:rPr>
          <w:rFonts w:hint="eastAsia" w:ascii="Times New Roman" w:hAnsi="Times New Roman"/>
          <w:color w:val="000000" w:themeColor="text1"/>
          <w14:textFill>
            <w14:solidFill>
              <w14:schemeClr w14:val="tx1"/>
            </w14:solidFill>
          </w14:textFill>
        </w:rPr>
        <w:t>（四）</w:t>
      </w:r>
      <w:bookmarkEnd w:id="64"/>
      <w:bookmarkEnd w:id="65"/>
      <w:bookmarkStart w:id="67" w:name="_Toc5562_WPSOffice_Level2"/>
      <w:bookmarkStart w:id="68" w:name="_Toc71906682"/>
      <w:bookmarkStart w:id="69" w:name="_Toc71578680"/>
      <w:bookmarkStart w:id="70" w:name="_Toc25984_WPSOffice_Level2"/>
      <w:bookmarkStart w:id="71" w:name="_Toc12593_WPSOffice_Level2"/>
      <w:bookmarkStart w:id="72" w:name="_Toc23940_WPSOffice_Level2"/>
      <w:r>
        <w:rPr>
          <w:rFonts w:hint="eastAsia" w:ascii="Times New Roman" w:hAnsi="Times New Roman"/>
          <w:color w:val="000000" w:themeColor="text1"/>
          <w:lang w:val="en-US" w:eastAsia="zh-CN"/>
          <w14:textFill>
            <w14:solidFill>
              <w14:schemeClr w14:val="tx1"/>
            </w14:solidFill>
          </w14:textFill>
        </w:rPr>
        <w:t>加强督导</w:t>
      </w:r>
      <w:bookmarkEnd w:id="67"/>
      <w:bookmarkEnd w:id="68"/>
      <w:bookmarkEnd w:id="69"/>
      <w:bookmarkEnd w:id="70"/>
      <w:bookmarkEnd w:id="71"/>
      <w:bookmarkEnd w:id="72"/>
      <w:r>
        <w:rPr>
          <w:rFonts w:hint="eastAsia" w:ascii="Times New Roman" w:hAnsi="Times New Roman"/>
          <w:color w:val="000000" w:themeColor="text1"/>
          <w:lang w:val="en-US" w:eastAsia="zh-CN"/>
          <w14:textFill>
            <w14:solidFill>
              <w14:schemeClr w14:val="tx1"/>
            </w14:solidFill>
          </w14:textFill>
        </w:rPr>
        <w:t>考评力度</w:t>
      </w:r>
      <w:bookmarkEnd w:id="66"/>
    </w:p>
    <w:p>
      <w:pPr>
        <w:ind w:firstLine="640"/>
      </w:pPr>
      <w:r>
        <w:rPr>
          <w:rFonts w:hint="eastAsia"/>
        </w:rPr>
        <w:t>制定规划实施分年度工作推进计划，明确责任主体，将年度计划列入有关职能部门的岗位目标责任制考核内容。建立年度督查制度，定期对产业发展、项目建设开展评估，加强对实施情况的跟踪分析，及时掌握发展绩效和问题，落实改进措施，切实保障规划实施。强化工业经济发展目标责任管理，及时跟踪督导落实，按要求对工业经济发展实行综合考核评价。市委督查室、市政府</w:t>
      </w:r>
      <w:r>
        <w:rPr>
          <w:rFonts w:hint="eastAsia"/>
          <w:lang w:eastAsia="zh-CN"/>
        </w:rPr>
        <w:t>督办</w:t>
      </w:r>
      <w:r>
        <w:rPr>
          <w:rFonts w:hint="eastAsia"/>
        </w:rPr>
        <w:t>室要将市域经济发展纳入年度督查重点，每年至少开展</w:t>
      </w:r>
      <w:r>
        <w:rPr>
          <w:rFonts w:hint="eastAsia"/>
          <w:lang w:val="en-US" w:eastAsia="zh-CN"/>
        </w:rPr>
        <w:t>2</w:t>
      </w:r>
      <w:r>
        <w:rPr>
          <w:rFonts w:hint="eastAsia"/>
        </w:rPr>
        <w:t>次全面督查。注重考核、督查成果的运用，对工作成绩优异的部门单位给予奖励。</w:t>
      </w:r>
    </w:p>
    <w:sectPr>
      <w:headerReference r:id="rId10" w:type="first"/>
      <w:footerReference r:id="rId13" w:type="first"/>
      <w:footerReference r:id="rId11" w:type="default"/>
      <w:headerReference r:id="rId9" w:type="even"/>
      <w:footerReference r:id="rId12"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1709396"/>
      <w:docPartObj>
        <w:docPartGallery w:val="autotext"/>
      </w:docPartObj>
    </w:sdtPr>
    <w:sdtEndPr>
      <w:rPr>
        <w:sz w:val="24"/>
      </w:rPr>
    </w:sdtEndPr>
    <w:sdtContent>
      <w:p>
        <w:pPr>
          <w:pStyle w:val="8"/>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24 -</w:t>
        </w:r>
        <w:r>
          <w:rPr>
            <w:sz w:val="24"/>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8"/>
    <w:rsid w:val="00003B4A"/>
    <w:rsid w:val="0001005A"/>
    <w:rsid w:val="00016EE4"/>
    <w:rsid w:val="00030F84"/>
    <w:rsid w:val="00030FEA"/>
    <w:rsid w:val="000320F6"/>
    <w:rsid w:val="0003353E"/>
    <w:rsid w:val="00035AD5"/>
    <w:rsid w:val="00035EB9"/>
    <w:rsid w:val="00041A2B"/>
    <w:rsid w:val="00044DD0"/>
    <w:rsid w:val="00045707"/>
    <w:rsid w:val="000525FA"/>
    <w:rsid w:val="00052BF1"/>
    <w:rsid w:val="0005489F"/>
    <w:rsid w:val="00055C3D"/>
    <w:rsid w:val="000612EC"/>
    <w:rsid w:val="00062F76"/>
    <w:rsid w:val="00072110"/>
    <w:rsid w:val="0008584E"/>
    <w:rsid w:val="00087904"/>
    <w:rsid w:val="000927E2"/>
    <w:rsid w:val="00092A5E"/>
    <w:rsid w:val="000960F7"/>
    <w:rsid w:val="000A2F26"/>
    <w:rsid w:val="000A32A6"/>
    <w:rsid w:val="000C7F26"/>
    <w:rsid w:val="000D156B"/>
    <w:rsid w:val="000E1A15"/>
    <w:rsid w:val="000E706D"/>
    <w:rsid w:val="000F5501"/>
    <w:rsid w:val="00101B0D"/>
    <w:rsid w:val="00104AA6"/>
    <w:rsid w:val="00123FE5"/>
    <w:rsid w:val="0012697D"/>
    <w:rsid w:val="001353CF"/>
    <w:rsid w:val="00141D55"/>
    <w:rsid w:val="00142C07"/>
    <w:rsid w:val="00143473"/>
    <w:rsid w:val="00146D17"/>
    <w:rsid w:val="00164A4F"/>
    <w:rsid w:val="00171AB9"/>
    <w:rsid w:val="00181789"/>
    <w:rsid w:val="0019353F"/>
    <w:rsid w:val="00193EBF"/>
    <w:rsid w:val="001940F0"/>
    <w:rsid w:val="001957E8"/>
    <w:rsid w:val="00197C5F"/>
    <w:rsid w:val="001A48CD"/>
    <w:rsid w:val="001A5C46"/>
    <w:rsid w:val="001B076A"/>
    <w:rsid w:val="001C1B4D"/>
    <w:rsid w:val="001D29A2"/>
    <w:rsid w:val="001D708C"/>
    <w:rsid w:val="001F4CE9"/>
    <w:rsid w:val="001F518E"/>
    <w:rsid w:val="00204FCB"/>
    <w:rsid w:val="00205415"/>
    <w:rsid w:val="00210D51"/>
    <w:rsid w:val="0022754A"/>
    <w:rsid w:val="002354B9"/>
    <w:rsid w:val="0024105A"/>
    <w:rsid w:val="00242230"/>
    <w:rsid w:val="002465A4"/>
    <w:rsid w:val="00250A35"/>
    <w:rsid w:val="00250D6C"/>
    <w:rsid w:val="00257C05"/>
    <w:rsid w:val="00260B2D"/>
    <w:rsid w:val="0026298B"/>
    <w:rsid w:val="002870BD"/>
    <w:rsid w:val="002968A9"/>
    <w:rsid w:val="002A1166"/>
    <w:rsid w:val="002A4A11"/>
    <w:rsid w:val="002B1ABF"/>
    <w:rsid w:val="002B3FEC"/>
    <w:rsid w:val="002E110A"/>
    <w:rsid w:val="002E37B4"/>
    <w:rsid w:val="002E4DD5"/>
    <w:rsid w:val="002F1317"/>
    <w:rsid w:val="0030004C"/>
    <w:rsid w:val="00303EFB"/>
    <w:rsid w:val="003109C7"/>
    <w:rsid w:val="0031326A"/>
    <w:rsid w:val="00313538"/>
    <w:rsid w:val="00313EFB"/>
    <w:rsid w:val="00320537"/>
    <w:rsid w:val="0032120F"/>
    <w:rsid w:val="00323659"/>
    <w:rsid w:val="003270C8"/>
    <w:rsid w:val="00337945"/>
    <w:rsid w:val="00347A6B"/>
    <w:rsid w:val="00350894"/>
    <w:rsid w:val="00353AFC"/>
    <w:rsid w:val="00356161"/>
    <w:rsid w:val="00363257"/>
    <w:rsid w:val="00373329"/>
    <w:rsid w:val="00374983"/>
    <w:rsid w:val="0038530B"/>
    <w:rsid w:val="003866A3"/>
    <w:rsid w:val="003A0CDA"/>
    <w:rsid w:val="003A2585"/>
    <w:rsid w:val="003A7BF1"/>
    <w:rsid w:val="003B0646"/>
    <w:rsid w:val="003B0F93"/>
    <w:rsid w:val="003B153E"/>
    <w:rsid w:val="003B41EE"/>
    <w:rsid w:val="003C436B"/>
    <w:rsid w:val="003D3786"/>
    <w:rsid w:val="003D5904"/>
    <w:rsid w:val="003E0908"/>
    <w:rsid w:val="003E671F"/>
    <w:rsid w:val="003F6F4E"/>
    <w:rsid w:val="00424D2A"/>
    <w:rsid w:val="00430F31"/>
    <w:rsid w:val="00432FEE"/>
    <w:rsid w:val="00435065"/>
    <w:rsid w:val="0043641E"/>
    <w:rsid w:val="00440DFF"/>
    <w:rsid w:val="00441A3E"/>
    <w:rsid w:val="00441E48"/>
    <w:rsid w:val="00441EB9"/>
    <w:rsid w:val="0044298B"/>
    <w:rsid w:val="00443D65"/>
    <w:rsid w:val="0044774A"/>
    <w:rsid w:val="004655BF"/>
    <w:rsid w:val="004735A5"/>
    <w:rsid w:val="00495678"/>
    <w:rsid w:val="004A667E"/>
    <w:rsid w:val="004B25DA"/>
    <w:rsid w:val="004B28BD"/>
    <w:rsid w:val="004B6BBD"/>
    <w:rsid w:val="004D3AA9"/>
    <w:rsid w:val="004D56EA"/>
    <w:rsid w:val="004D63A6"/>
    <w:rsid w:val="004D6B07"/>
    <w:rsid w:val="004E1A12"/>
    <w:rsid w:val="004E5910"/>
    <w:rsid w:val="004E7B05"/>
    <w:rsid w:val="00502374"/>
    <w:rsid w:val="00510286"/>
    <w:rsid w:val="0052630B"/>
    <w:rsid w:val="00527C90"/>
    <w:rsid w:val="00532CA9"/>
    <w:rsid w:val="00543819"/>
    <w:rsid w:val="0054616A"/>
    <w:rsid w:val="00551CAE"/>
    <w:rsid w:val="00566C01"/>
    <w:rsid w:val="0057594B"/>
    <w:rsid w:val="00586555"/>
    <w:rsid w:val="005A29EE"/>
    <w:rsid w:val="005A44F2"/>
    <w:rsid w:val="005A567C"/>
    <w:rsid w:val="005D0CF3"/>
    <w:rsid w:val="005D3680"/>
    <w:rsid w:val="005E1462"/>
    <w:rsid w:val="005E1770"/>
    <w:rsid w:val="005E616D"/>
    <w:rsid w:val="005F08B9"/>
    <w:rsid w:val="005F5D4D"/>
    <w:rsid w:val="005F6875"/>
    <w:rsid w:val="005F6CC4"/>
    <w:rsid w:val="005F7050"/>
    <w:rsid w:val="006016B4"/>
    <w:rsid w:val="00602C07"/>
    <w:rsid w:val="006050D2"/>
    <w:rsid w:val="00615FBE"/>
    <w:rsid w:val="0062509D"/>
    <w:rsid w:val="006265E7"/>
    <w:rsid w:val="00633BE8"/>
    <w:rsid w:val="00636AA5"/>
    <w:rsid w:val="00640AB5"/>
    <w:rsid w:val="00652B42"/>
    <w:rsid w:val="00654B3F"/>
    <w:rsid w:val="0065705E"/>
    <w:rsid w:val="006745CA"/>
    <w:rsid w:val="00680384"/>
    <w:rsid w:val="00686496"/>
    <w:rsid w:val="00690D39"/>
    <w:rsid w:val="00691729"/>
    <w:rsid w:val="0069358C"/>
    <w:rsid w:val="006B2ACC"/>
    <w:rsid w:val="006B4C6B"/>
    <w:rsid w:val="006C08B6"/>
    <w:rsid w:val="006C2A69"/>
    <w:rsid w:val="006C463A"/>
    <w:rsid w:val="006C7F8C"/>
    <w:rsid w:val="006D477D"/>
    <w:rsid w:val="006D66EB"/>
    <w:rsid w:val="006E428A"/>
    <w:rsid w:val="006F1359"/>
    <w:rsid w:val="006F2F69"/>
    <w:rsid w:val="007007AA"/>
    <w:rsid w:val="00704A77"/>
    <w:rsid w:val="00724514"/>
    <w:rsid w:val="00730159"/>
    <w:rsid w:val="00745773"/>
    <w:rsid w:val="007532DC"/>
    <w:rsid w:val="007619A5"/>
    <w:rsid w:val="00763248"/>
    <w:rsid w:val="007755B3"/>
    <w:rsid w:val="00775E78"/>
    <w:rsid w:val="007811EA"/>
    <w:rsid w:val="007820DF"/>
    <w:rsid w:val="0079415C"/>
    <w:rsid w:val="00795FC3"/>
    <w:rsid w:val="007A32F8"/>
    <w:rsid w:val="007A35D5"/>
    <w:rsid w:val="007B0022"/>
    <w:rsid w:val="007B293A"/>
    <w:rsid w:val="007C13AB"/>
    <w:rsid w:val="007C4402"/>
    <w:rsid w:val="007C465D"/>
    <w:rsid w:val="007E2754"/>
    <w:rsid w:val="007E37DD"/>
    <w:rsid w:val="008045B8"/>
    <w:rsid w:val="00805C60"/>
    <w:rsid w:val="00807E23"/>
    <w:rsid w:val="00823584"/>
    <w:rsid w:val="00835785"/>
    <w:rsid w:val="00842EA4"/>
    <w:rsid w:val="00850543"/>
    <w:rsid w:val="0085375A"/>
    <w:rsid w:val="0087466E"/>
    <w:rsid w:val="008829B7"/>
    <w:rsid w:val="008842CA"/>
    <w:rsid w:val="00884C0D"/>
    <w:rsid w:val="008A136D"/>
    <w:rsid w:val="008A46E9"/>
    <w:rsid w:val="008A68A0"/>
    <w:rsid w:val="008B05EF"/>
    <w:rsid w:val="008B0D98"/>
    <w:rsid w:val="008C32F0"/>
    <w:rsid w:val="008C4ECE"/>
    <w:rsid w:val="008E09D5"/>
    <w:rsid w:val="008E4A4B"/>
    <w:rsid w:val="008F0CAB"/>
    <w:rsid w:val="008F5F24"/>
    <w:rsid w:val="00902693"/>
    <w:rsid w:val="00902CFF"/>
    <w:rsid w:val="00905AFC"/>
    <w:rsid w:val="0091125B"/>
    <w:rsid w:val="00912DC8"/>
    <w:rsid w:val="0091649C"/>
    <w:rsid w:val="009166A8"/>
    <w:rsid w:val="00924F94"/>
    <w:rsid w:val="009407C0"/>
    <w:rsid w:val="00940DD8"/>
    <w:rsid w:val="00942AC7"/>
    <w:rsid w:val="00947189"/>
    <w:rsid w:val="00964143"/>
    <w:rsid w:val="00964227"/>
    <w:rsid w:val="009715D7"/>
    <w:rsid w:val="00976134"/>
    <w:rsid w:val="009775E8"/>
    <w:rsid w:val="00980A6B"/>
    <w:rsid w:val="00987B65"/>
    <w:rsid w:val="00990765"/>
    <w:rsid w:val="00993FE1"/>
    <w:rsid w:val="00995E94"/>
    <w:rsid w:val="009A13CB"/>
    <w:rsid w:val="009A7A95"/>
    <w:rsid w:val="009C6E79"/>
    <w:rsid w:val="009D1DA4"/>
    <w:rsid w:val="009D543A"/>
    <w:rsid w:val="009D6BAB"/>
    <w:rsid w:val="009E7875"/>
    <w:rsid w:val="00A06704"/>
    <w:rsid w:val="00A14FD2"/>
    <w:rsid w:val="00A44B19"/>
    <w:rsid w:val="00A46C29"/>
    <w:rsid w:val="00A53AA4"/>
    <w:rsid w:val="00A6204C"/>
    <w:rsid w:val="00A62445"/>
    <w:rsid w:val="00A6783A"/>
    <w:rsid w:val="00A849DE"/>
    <w:rsid w:val="00A85A36"/>
    <w:rsid w:val="00A91E51"/>
    <w:rsid w:val="00A927AE"/>
    <w:rsid w:val="00A96A26"/>
    <w:rsid w:val="00AA02B2"/>
    <w:rsid w:val="00AA0C0B"/>
    <w:rsid w:val="00AA19E7"/>
    <w:rsid w:val="00AA392B"/>
    <w:rsid w:val="00AA64A2"/>
    <w:rsid w:val="00AC0FBD"/>
    <w:rsid w:val="00AC468F"/>
    <w:rsid w:val="00AD3C3D"/>
    <w:rsid w:val="00AD6C4E"/>
    <w:rsid w:val="00AD7D2C"/>
    <w:rsid w:val="00AF2DF8"/>
    <w:rsid w:val="00AF4E63"/>
    <w:rsid w:val="00AF6C24"/>
    <w:rsid w:val="00AF7D9C"/>
    <w:rsid w:val="00B014EB"/>
    <w:rsid w:val="00B01A47"/>
    <w:rsid w:val="00B05B48"/>
    <w:rsid w:val="00B1031B"/>
    <w:rsid w:val="00B256D6"/>
    <w:rsid w:val="00B25EE1"/>
    <w:rsid w:val="00B54804"/>
    <w:rsid w:val="00B60D20"/>
    <w:rsid w:val="00B63650"/>
    <w:rsid w:val="00B70442"/>
    <w:rsid w:val="00B81F41"/>
    <w:rsid w:val="00B9376B"/>
    <w:rsid w:val="00B95F30"/>
    <w:rsid w:val="00B96586"/>
    <w:rsid w:val="00BA6F04"/>
    <w:rsid w:val="00BC14A5"/>
    <w:rsid w:val="00BD055C"/>
    <w:rsid w:val="00BD3DCD"/>
    <w:rsid w:val="00BD5AF9"/>
    <w:rsid w:val="00BE000B"/>
    <w:rsid w:val="00BE2B01"/>
    <w:rsid w:val="00BE5CB2"/>
    <w:rsid w:val="00BE5F13"/>
    <w:rsid w:val="00BE70F4"/>
    <w:rsid w:val="00BF4066"/>
    <w:rsid w:val="00C0451D"/>
    <w:rsid w:val="00C066FA"/>
    <w:rsid w:val="00C07020"/>
    <w:rsid w:val="00C113EF"/>
    <w:rsid w:val="00C1202B"/>
    <w:rsid w:val="00C15A18"/>
    <w:rsid w:val="00C23EA1"/>
    <w:rsid w:val="00C305C2"/>
    <w:rsid w:val="00C30A64"/>
    <w:rsid w:val="00C361F8"/>
    <w:rsid w:val="00C4105A"/>
    <w:rsid w:val="00C43A09"/>
    <w:rsid w:val="00C54970"/>
    <w:rsid w:val="00C74D7F"/>
    <w:rsid w:val="00C80AA6"/>
    <w:rsid w:val="00C80FF0"/>
    <w:rsid w:val="00C93E28"/>
    <w:rsid w:val="00C94832"/>
    <w:rsid w:val="00C96B3F"/>
    <w:rsid w:val="00CB147C"/>
    <w:rsid w:val="00CD35C4"/>
    <w:rsid w:val="00CE4977"/>
    <w:rsid w:val="00CF1D46"/>
    <w:rsid w:val="00D00E8F"/>
    <w:rsid w:val="00D053CC"/>
    <w:rsid w:val="00D07CF2"/>
    <w:rsid w:val="00D14642"/>
    <w:rsid w:val="00D16B60"/>
    <w:rsid w:val="00D341B4"/>
    <w:rsid w:val="00D45513"/>
    <w:rsid w:val="00D509F1"/>
    <w:rsid w:val="00D53331"/>
    <w:rsid w:val="00D813E8"/>
    <w:rsid w:val="00D8730A"/>
    <w:rsid w:val="00DB4222"/>
    <w:rsid w:val="00DC2D9D"/>
    <w:rsid w:val="00DD11C7"/>
    <w:rsid w:val="00DE1B56"/>
    <w:rsid w:val="00DE2196"/>
    <w:rsid w:val="00E0005B"/>
    <w:rsid w:val="00E0128D"/>
    <w:rsid w:val="00E01A4E"/>
    <w:rsid w:val="00E03F1E"/>
    <w:rsid w:val="00E12378"/>
    <w:rsid w:val="00E13EE2"/>
    <w:rsid w:val="00E34C3A"/>
    <w:rsid w:val="00E37587"/>
    <w:rsid w:val="00E376C6"/>
    <w:rsid w:val="00E40DC7"/>
    <w:rsid w:val="00E44ABE"/>
    <w:rsid w:val="00E50EEF"/>
    <w:rsid w:val="00E51EC1"/>
    <w:rsid w:val="00E73698"/>
    <w:rsid w:val="00E87636"/>
    <w:rsid w:val="00E90679"/>
    <w:rsid w:val="00E937B7"/>
    <w:rsid w:val="00E96E94"/>
    <w:rsid w:val="00EB2EC3"/>
    <w:rsid w:val="00EB3955"/>
    <w:rsid w:val="00EB5991"/>
    <w:rsid w:val="00ED2641"/>
    <w:rsid w:val="00ED57DE"/>
    <w:rsid w:val="00EE22C7"/>
    <w:rsid w:val="00F042B8"/>
    <w:rsid w:val="00F211E7"/>
    <w:rsid w:val="00F21C43"/>
    <w:rsid w:val="00F233FC"/>
    <w:rsid w:val="00F244D0"/>
    <w:rsid w:val="00F3439F"/>
    <w:rsid w:val="00F43F32"/>
    <w:rsid w:val="00F44258"/>
    <w:rsid w:val="00F46972"/>
    <w:rsid w:val="00F56434"/>
    <w:rsid w:val="00F564B2"/>
    <w:rsid w:val="00F6287F"/>
    <w:rsid w:val="00F62FEB"/>
    <w:rsid w:val="00F733F8"/>
    <w:rsid w:val="00F74E5D"/>
    <w:rsid w:val="00F75A22"/>
    <w:rsid w:val="00F84EBB"/>
    <w:rsid w:val="00F86845"/>
    <w:rsid w:val="00F92129"/>
    <w:rsid w:val="00F95114"/>
    <w:rsid w:val="00FA3179"/>
    <w:rsid w:val="00FB4D3F"/>
    <w:rsid w:val="00FC62C9"/>
    <w:rsid w:val="00FC7591"/>
    <w:rsid w:val="00FD3AF5"/>
    <w:rsid w:val="00FD4C40"/>
    <w:rsid w:val="00FD5497"/>
    <w:rsid w:val="00FD590E"/>
    <w:rsid w:val="00FF12E1"/>
    <w:rsid w:val="02482509"/>
    <w:rsid w:val="0DE677C5"/>
    <w:rsid w:val="1AD774F9"/>
    <w:rsid w:val="1D5219D4"/>
    <w:rsid w:val="215353BA"/>
    <w:rsid w:val="219E69ED"/>
    <w:rsid w:val="21B75738"/>
    <w:rsid w:val="23887D2E"/>
    <w:rsid w:val="24DF0093"/>
    <w:rsid w:val="25DA3EB0"/>
    <w:rsid w:val="27B7619B"/>
    <w:rsid w:val="29DF03EB"/>
    <w:rsid w:val="2B6C4C62"/>
    <w:rsid w:val="2F054841"/>
    <w:rsid w:val="2FAF63B0"/>
    <w:rsid w:val="313F4F36"/>
    <w:rsid w:val="39A221FF"/>
    <w:rsid w:val="3A4C307A"/>
    <w:rsid w:val="3C133E0E"/>
    <w:rsid w:val="41142129"/>
    <w:rsid w:val="437269EC"/>
    <w:rsid w:val="45EB0BD5"/>
    <w:rsid w:val="48E161B5"/>
    <w:rsid w:val="49B50A95"/>
    <w:rsid w:val="4AD1254A"/>
    <w:rsid w:val="4B8F258E"/>
    <w:rsid w:val="4C331B96"/>
    <w:rsid w:val="4C9F0DCF"/>
    <w:rsid w:val="4D7D54FF"/>
    <w:rsid w:val="53446C57"/>
    <w:rsid w:val="53D31128"/>
    <w:rsid w:val="55662D71"/>
    <w:rsid w:val="5B475EB1"/>
    <w:rsid w:val="60CD01A6"/>
    <w:rsid w:val="63C62591"/>
    <w:rsid w:val="68DC7F7E"/>
    <w:rsid w:val="6BE6347A"/>
    <w:rsid w:val="6C2143B0"/>
    <w:rsid w:val="6E322B32"/>
    <w:rsid w:val="6FC11AEA"/>
    <w:rsid w:val="713D41CA"/>
    <w:rsid w:val="77B36B49"/>
    <w:rsid w:val="78A80B82"/>
    <w:rsid w:val="79EA7D90"/>
    <w:rsid w:val="7A6D7A67"/>
    <w:rsid w:val="7BE3551C"/>
    <w:rsid w:val="7D23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200" w:firstLineChars="200"/>
      <w:jc w:val="both"/>
    </w:pPr>
    <w:rPr>
      <w:rFonts w:ascii="Times New Roman" w:hAnsi="Times New Roman" w:eastAsia="仿宋_GB2312" w:cs="仿宋"/>
      <w:kern w:val="2"/>
      <w:sz w:val="32"/>
      <w:szCs w:val="32"/>
      <w:lang w:val="en-US" w:eastAsia="zh-CN" w:bidi="ar-SA"/>
    </w:rPr>
  </w:style>
  <w:style w:type="paragraph" w:styleId="2">
    <w:name w:val="heading 1"/>
    <w:basedOn w:val="3"/>
    <w:next w:val="1"/>
    <w:link w:val="20"/>
    <w:qFormat/>
    <w:uiPriority w:val="9"/>
    <w:pPr>
      <w:outlineLvl w:val="0"/>
    </w:pPr>
    <w:rPr>
      <w:sz w:val="36"/>
    </w:rPr>
  </w:style>
  <w:style w:type="paragraph" w:styleId="3">
    <w:name w:val="heading 2"/>
    <w:basedOn w:val="4"/>
    <w:next w:val="1"/>
    <w:link w:val="21"/>
    <w:unhideWhenUsed/>
    <w:qFormat/>
    <w:uiPriority w:val="9"/>
    <w:pPr>
      <w:keepNext w:val="0"/>
      <w:keepLines w:val="0"/>
      <w:adjustRightInd/>
      <w:snapToGrid/>
      <w:spacing w:before="0" w:after="0" w:line="560" w:lineRule="exact"/>
      <w:ind w:firstLine="643"/>
      <w:outlineLvl w:val="1"/>
    </w:pPr>
    <w:rPr>
      <w:rFonts w:ascii="仿宋_GB2312" w:hAnsi="仿宋"/>
      <w:bCs w:val="0"/>
    </w:rPr>
  </w:style>
  <w:style w:type="paragraph" w:styleId="4">
    <w:name w:val="heading 3"/>
    <w:basedOn w:val="1"/>
    <w:next w:val="1"/>
    <w:link w:val="22"/>
    <w:semiHidden/>
    <w:unhideWhenUsed/>
    <w:qFormat/>
    <w:uiPriority w:val="9"/>
    <w:pPr>
      <w:keepNext/>
      <w:keepLines/>
      <w:spacing w:before="260" w:after="260" w:line="416" w:lineRule="atLeast"/>
      <w:outlineLvl w:val="2"/>
    </w:pPr>
    <w:rPr>
      <w:b/>
      <w:bCs/>
    </w:rPr>
  </w:style>
  <w:style w:type="paragraph" w:styleId="5">
    <w:name w:val="heading 5"/>
    <w:basedOn w:val="1"/>
    <w:next w:val="1"/>
    <w:link w:val="26"/>
    <w:unhideWhenUsed/>
    <w:qFormat/>
    <w:uiPriority w:val="9"/>
    <w:pPr>
      <w:keepNext/>
      <w:keepLines/>
      <w:spacing w:before="280" w:after="290" w:line="376" w:lineRule="atLeast"/>
      <w:outlineLvl w:val="4"/>
    </w:pPr>
    <w:rPr>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ind w:left="840" w:leftChars="400"/>
    </w:pPr>
  </w:style>
  <w:style w:type="paragraph" w:styleId="7">
    <w:name w:val="Balloon Text"/>
    <w:basedOn w:val="1"/>
    <w:link w:val="3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adjustRightInd/>
      <w:spacing w:line="240" w:lineRule="auto"/>
      <w:ind w:firstLine="0" w:firstLineChars="0"/>
      <w:jc w:val="left"/>
    </w:pPr>
    <w:rPr>
      <w:rFonts w:asciiTheme="minorHAnsi" w:hAnsiTheme="minorHAnsi" w:eastAsiaTheme="minorEastAsia" w:cstheme="minorBidi"/>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style>
  <w:style w:type="paragraph" w:styleId="11">
    <w:name w:val="footnote text"/>
    <w:basedOn w:val="1"/>
    <w:link w:val="28"/>
    <w:semiHidden/>
    <w:unhideWhenUsed/>
    <w:qFormat/>
    <w:uiPriority w:val="99"/>
    <w:pPr>
      <w:jc w:val="left"/>
    </w:pPr>
    <w:rPr>
      <w:sz w:val="18"/>
      <w:szCs w:val="18"/>
    </w:rPr>
  </w:style>
  <w:style w:type="paragraph" w:styleId="12">
    <w:name w:val="toc 2"/>
    <w:basedOn w:val="1"/>
    <w:next w:val="1"/>
    <w:unhideWhenUsed/>
    <w:qFormat/>
    <w:uiPriority w:val="39"/>
    <w:pPr>
      <w:ind w:left="420" w:leftChars="200"/>
    </w:p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footnote reference"/>
    <w:basedOn w:val="15"/>
    <w:semiHidden/>
    <w:unhideWhenUsed/>
    <w:qFormat/>
    <w:uiPriority w:val="99"/>
    <w:rPr>
      <w:vertAlign w:val="superscript"/>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2"/>
    <w:qFormat/>
    <w:uiPriority w:val="9"/>
    <w:rPr>
      <w:rFonts w:ascii="仿宋_GB2312" w:hAnsi="仿宋" w:eastAsia="仿宋_GB2312" w:cs="仿宋"/>
      <w:b/>
      <w:sz w:val="36"/>
      <w:szCs w:val="32"/>
    </w:rPr>
  </w:style>
  <w:style w:type="character" w:customStyle="1" w:styleId="21">
    <w:name w:val="标题 2 Char"/>
    <w:basedOn w:val="15"/>
    <w:link w:val="3"/>
    <w:qFormat/>
    <w:uiPriority w:val="9"/>
    <w:rPr>
      <w:rFonts w:ascii="仿宋_GB2312" w:hAnsi="仿宋" w:eastAsia="仿宋_GB2312" w:cs="仿宋"/>
      <w:b/>
      <w:sz w:val="32"/>
      <w:szCs w:val="32"/>
    </w:rPr>
  </w:style>
  <w:style w:type="character" w:customStyle="1" w:styleId="22">
    <w:name w:val="标题 3 Char"/>
    <w:basedOn w:val="15"/>
    <w:link w:val="4"/>
    <w:semiHidden/>
    <w:qFormat/>
    <w:uiPriority w:val="9"/>
    <w:rPr>
      <w:rFonts w:ascii="Times New Roman" w:hAnsi="Times New Roman" w:eastAsia="仿宋_GB2312" w:cs="仿宋"/>
      <w:b/>
      <w:bCs/>
      <w:sz w:val="32"/>
      <w:szCs w:val="32"/>
    </w:rPr>
  </w:style>
  <w:style w:type="paragraph" w:styleId="23">
    <w:name w:val="List Paragraph"/>
    <w:basedOn w:val="1"/>
    <w:qFormat/>
    <w:uiPriority w:val="34"/>
    <w:pPr>
      <w:ind w:firstLine="420"/>
    </w:pPr>
  </w:style>
  <w:style w:type="paragraph" w:customStyle="1" w:styleId="24">
    <w:name w:val="报告正文"/>
    <w:basedOn w:val="1"/>
    <w:link w:val="25"/>
    <w:qFormat/>
    <w:uiPriority w:val="0"/>
    <w:rPr>
      <w:kern w:val="0"/>
      <w:sz w:val="24"/>
      <w:szCs w:val="20"/>
    </w:rPr>
  </w:style>
  <w:style w:type="character" w:customStyle="1" w:styleId="25">
    <w:name w:val="报告正文 Char"/>
    <w:link w:val="24"/>
    <w:qFormat/>
    <w:locked/>
    <w:uiPriority w:val="0"/>
    <w:rPr>
      <w:rFonts w:ascii="Times New Roman" w:hAnsi="Times New Roman" w:eastAsia="仿宋_GB2312" w:cs="仿宋"/>
      <w:kern w:val="0"/>
      <w:sz w:val="24"/>
      <w:szCs w:val="20"/>
    </w:rPr>
  </w:style>
  <w:style w:type="character" w:customStyle="1" w:styleId="26">
    <w:name w:val="标题 5 Char"/>
    <w:basedOn w:val="15"/>
    <w:link w:val="5"/>
    <w:qFormat/>
    <w:uiPriority w:val="9"/>
    <w:rPr>
      <w:rFonts w:ascii="Times New Roman" w:hAnsi="Times New Roman" w:eastAsia="仿宋_GB2312" w:cs="仿宋"/>
      <w:b/>
      <w:bCs/>
      <w:sz w:val="28"/>
      <w:szCs w:val="28"/>
    </w:rPr>
  </w:style>
  <w:style w:type="paragraph" w:customStyle="1" w:styleId="27">
    <w:name w:val="表格内容"/>
    <w:basedOn w:val="1"/>
    <w:qFormat/>
    <w:uiPriority w:val="0"/>
    <w:pPr>
      <w:adjustRightInd/>
      <w:snapToGrid/>
      <w:spacing w:line="240" w:lineRule="auto"/>
      <w:ind w:firstLine="0" w:firstLineChars="0"/>
      <w:jc w:val="center"/>
    </w:pPr>
    <w:rPr>
      <w:rFonts w:ascii="仿宋_GB2312" w:hAnsi="仿宋_GB2312" w:cstheme="minorBidi"/>
      <w:sz w:val="24"/>
      <w:szCs w:val="24"/>
    </w:rPr>
  </w:style>
  <w:style w:type="character" w:customStyle="1" w:styleId="28">
    <w:name w:val="脚注文本 Char"/>
    <w:basedOn w:val="15"/>
    <w:link w:val="11"/>
    <w:semiHidden/>
    <w:qFormat/>
    <w:uiPriority w:val="99"/>
    <w:rPr>
      <w:rFonts w:ascii="Times New Roman" w:hAnsi="Times New Roman" w:eastAsia="仿宋_GB2312" w:cs="仿宋"/>
      <w:sz w:val="18"/>
      <w:szCs w:val="18"/>
    </w:rPr>
  </w:style>
  <w:style w:type="paragraph" w:customStyle="1" w:styleId="29">
    <w:name w:val="TOC 标题1"/>
    <w:basedOn w:val="2"/>
    <w:next w:val="1"/>
    <w:qFormat/>
    <w:uiPriority w:val="39"/>
    <w:pPr>
      <w:keepNext/>
      <w:keepLines/>
      <w:widowControl/>
      <w:spacing w:before="240" w:line="256" w:lineRule="auto"/>
      <w:ind w:firstLine="0" w:firstLineChars="0"/>
      <w:jc w:val="left"/>
      <w:outlineLvl w:val="9"/>
    </w:pPr>
    <w:rPr>
      <w:rFonts w:ascii="Cambria" w:hAnsi="Cambria" w:eastAsia="宋体" w:cs="宋体"/>
      <w:b w:val="0"/>
      <w:color w:val="365F91"/>
      <w:kern w:val="0"/>
      <w:sz w:val="32"/>
    </w:rPr>
  </w:style>
  <w:style w:type="character" w:customStyle="1" w:styleId="30">
    <w:name w:val="批注框文本 Char"/>
    <w:basedOn w:val="15"/>
    <w:link w:val="7"/>
    <w:semiHidden/>
    <w:qFormat/>
    <w:uiPriority w:val="99"/>
    <w:rPr>
      <w:rFonts w:ascii="Times New Roman" w:hAnsi="Times New Roman" w:eastAsia="仿宋_GB2312" w:cs="仿宋"/>
      <w:sz w:val="18"/>
      <w:szCs w:val="1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08-&#39033;&#30446;\06-&#20852;&#23425;&#24066;&#8220;&#21313;&#22235;&#20116;&#8221;&#24037;&#19994;&#21457;&#23637;&#35268;&#21010;\2021.07.04&#34920;&#266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[2021.07.04表格数据.xlsx]Sheet1!$B$5</c:f>
              <c:strCache>
                <c:ptCount val="1"/>
                <c:pt idx="0">
                  <c:v>工业总产值（亿元）</c:v>
                </c:pt>
              </c:strCache>
            </c:strRef>
          </c:tx>
          <c:spPr>
            <a:solidFill>
              <a:srgbClr val="70AD47"/>
            </a:solidFill>
            <a:ln>
              <a:noFill/>
            </a:ln>
            <a:effectLst/>
          </c:spPr>
          <c:invertIfNegative val="0"/>
          <c:dLbls>
            <c:spPr>
              <a:solidFill>
                <a:srgbClr val="E2F0D9"/>
              </a:solid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[2021.07.04表格数据.xlsx]Sheet1!$A$6:$A$10</c:f>
              <c:numCache>
                <c:formatCode>General</c:formatCode>
                <c:ptCount val="5"/>
                <c:pt idx="0">
                  <c:v>2016</c:v>
                </c:pt>
                <c:pt idx="1">
                  <c:v>2017</c:v>
                </c:pt>
                <c:pt idx="2">
                  <c:v>2018</c:v>
                </c:pt>
                <c:pt idx="3">
                  <c:v>2019</c:v>
                </c:pt>
                <c:pt idx="4">
                  <c:v>2020</c:v>
                </c:pt>
              </c:numCache>
            </c:numRef>
          </c:cat>
          <c:val>
            <c:numRef>
              <c:f>[2021.07.04表格数据.xlsx]Sheet1!$B$6:$B$10</c:f>
              <c:numCache>
                <c:formatCode>General</c:formatCode>
                <c:ptCount val="5"/>
                <c:pt idx="0">
                  <c:v>115.32</c:v>
                </c:pt>
                <c:pt idx="1">
                  <c:v>96.89</c:v>
                </c:pt>
                <c:pt idx="2">
                  <c:v>92.91</c:v>
                </c:pt>
                <c:pt idx="3">
                  <c:v>100.39</c:v>
                </c:pt>
                <c:pt idx="4">
                  <c:v>102.31</c:v>
                </c:pt>
              </c:numCache>
            </c:numRef>
          </c:val>
        </c:ser>
        <c:ser>
          <c:idx val="1"/>
          <c:order val="1"/>
          <c:tx>
            <c:strRef>
              <c:f>[2021.07.04表格数据.xlsx]Sheet1!$C$5</c:f>
              <c:strCache>
                <c:ptCount val="1"/>
                <c:pt idx="0">
                  <c:v>规上工业总产值（亿元）</c:v>
                </c:pt>
              </c:strCache>
            </c:strRef>
          </c:tx>
          <c:spPr>
            <a:solidFill>
              <a:srgbClr val="5B9BD5"/>
            </a:solidFill>
            <a:ln>
              <a:noFill/>
            </a:ln>
            <a:effectLst/>
          </c:spPr>
          <c:invertIfNegative val="0"/>
          <c:dLbls>
            <c:spPr>
              <a:solidFill>
                <a:srgbClr val="DAE3F3"/>
              </a:solid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[2021.07.04表格数据.xlsx]Sheet1!$A$6:$A$10</c:f>
              <c:numCache>
                <c:formatCode>General</c:formatCode>
                <c:ptCount val="5"/>
                <c:pt idx="0">
                  <c:v>2016</c:v>
                </c:pt>
                <c:pt idx="1">
                  <c:v>2017</c:v>
                </c:pt>
                <c:pt idx="2">
                  <c:v>2018</c:v>
                </c:pt>
                <c:pt idx="3">
                  <c:v>2019</c:v>
                </c:pt>
                <c:pt idx="4">
                  <c:v>2020</c:v>
                </c:pt>
              </c:numCache>
            </c:numRef>
          </c:cat>
          <c:val>
            <c:numRef>
              <c:f>[2021.07.04表格数据.xlsx]Sheet1!$C$6:$C$10</c:f>
              <c:numCache>
                <c:formatCode>General</c:formatCode>
                <c:ptCount val="5"/>
                <c:pt idx="0">
                  <c:v>49.03</c:v>
                </c:pt>
                <c:pt idx="1">
                  <c:v>45.05</c:v>
                </c:pt>
                <c:pt idx="2">
                  <c:v>42.31</c:v>
                </c:pt>
                <c:pt idx="3">
                  <c:v>47.07</c:v>
                </c:pt>
                <c:pt idx="4">
                  <c:v>51.15</c:v>
                </c:pt>
              </c:numCache>
            </c:numRef>
          </c:val>
        </c:ser>
        <c:dLbls>
          <c:showLegendKey val="0"/>
          <c:showVal val="1"/>
          <c:showCatName val="0"/>
          <c:showSerName val="0"/>
          <c:showPercent val="0"/>
          <c:showBubbleSize val="0"/>
        </c:dLbls>
        <c:gapWidth val="219"/>
        <c:overlap val="-27"/>
        <c:axId val="103286623"/>
        <c:axId val="537826007"/>
      </c:barChart>
      <c:catAx>
        <c:axId val="1032866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826007"/>
        <c:crosses val="autoZero"/>
        <c:auto val="1"/>
        <c:lblAlgn val="ctr"/>
        <c:lblOffset val="100"/>
        <c:noMultiLvlLbl val="0"/>
      </c:catAx>
      <c:valAx>
        <c:axId val="537826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28662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CD13D-4954-4D8C-B208-7F501E6663C6}">
  <ds:schemaRefs/>
</ds:datastoreItem>
</file>

<file path=docProps/app.xml><?xml version="1.0" encoding="utf-8"?>
<Properties xmlns="http://schemas.openxmlformats.org/officeDocument/2006/extended-properties" xmlns:vt="http://schemas.openxmlformats.org/officeDocument/2006/docPropsVTypes">
  <Template>Normal</Template>
  <Pages>31</Pages>
  <Words>2785</Words>
  <Characters>15877</Characters>
  <Lines>132</Lines>
  <Paragraphs>37</Paragraphs>
  <TotalTime>14</TotalTime>
  <ScaleCrop>false</ScaleCrop>
  <LinksUpToDate>false</LinksUpToDate>
  <CharactersWithSpaces>18625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2021-06-29T02:53:00Z</dcterms:created>
  <dc:creator>正午 汤</dc:creator>
  <cp:lastModifiedBy>Administrator</cp:lastModifiedBy>
  <cp:lastPrinted>2021-06-09T02:57:00Z</cp:lastPrinted>
  <dcterms:modified xsi:type="dcterms:W3CDTF">2021-07-15T07:49:59Z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