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Lines="100" w:afterLines="100" w:line="600" w:lineRule="exact"/>
        <w:jc w:val="center"/>
        <w:rPr>
          <w:rFonts w:cs="Times New Roman" w:asciiTheme="majorEastAsia" w:hAnsiTheme="majorEastAsia" w:eastAsiaTheme="majorEastAsia"/>
          <w:b/>
          <w:color w:val="auto"/>
          <w:sz w:val="44"/>
          <w:szCs w:val="44"/>
        </w:rPr>
      </w:pPr>
      <w:r>
        <w:rPr>
          <w:rFonts w:hint="eastAsia" w:cs="Times New Roman" w:asciiTheme="majorEastAsia" w:hAnsiTheme="majorEastAsia" w:eastAsiaTheme="majorEastAsia"/>
          <w:b/>
          <w:color w:val="auto"/>
          <w:sz w:val="44"/>
          <w:szCs w:val="44"/>
        </w:rPr>
        <w:t>兴宁市支持实体经济高质量发展若干措施</w:t>
      </w:r>
    </w:p>
    <w:p>
      <w:pPr>
        <w:pStyle w:val="15"/>
        <w:spacing w:afterLines="100" w:line="600" w:lineRule="exact"/>
        <w:jc w:val="center"/>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w:t>
      </w:r>
      <w:r>
        <w:rPr>
          <w:rFonts w:hint="eastAsia" w:asciiTheme="minorEastAsia" w:hAnsiTheme="minorEastAsia" w:eastAsiaTheme="minorEastAsia"/>
          <w:color w:val="auto"/>
          <w:sz w:val="30"/>
          <w:szCs w:val="30"/>
          <w:lang w:eastAsia="zh-CN"/>
        </w:rPr>
        <w:t>征求意见稿</w:t>
      </w:r>
      <w:r>
        <w:rPr>
          <w:rFonts w:hint="eastAsia" w:asciiTheme="minorEastAsia" w:hAnsiTheme="minorEastAsia" w:eastAsiaTheme="minorEastAsia"/>
          <w:color w:val="auto"/>
          <w:sz w:val="30"/>
          <w:szCs w:val="30"/>
        </w:rPr>
        <w:t>）</w:t>
      </w:r>
    </w:p>
    <w:p>
      <w:pPr>
        <w:pStyle w:val="15"/>
        <w:spacing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为深入贯彻习近平新时代中国特色社会主义思想和党的十九大精神，认真落实习近平总书记</w:t>
      </w:r>
      <w:r>
        <w:rPr>
          <w:rFonts w:hint="eastAsia" w:asciiTheme="minorEastAsia" w:hAnsiTheme="minorEastAsia" w:eastAsiaTheme="minorEastAsia"/>
          <w:sz w:val="30"/>
          <w:szCs w:val="30"/>
          <w:shd w:val="clear" w:color="auto" w:fill="FFFFFF"/>
        </w:rPr>
        <w:t>关于</w:t>
      </w:r>
      <w:r>
        <w:rPr>
          <w:rFonts w:hint="eastAsia" w:cs="方正仿宋简体" w:asciiTheme="minorEastAsia" w:hAnsiTheme="minorEastAsia" w:eastAsiaTheme="minorEastAsia"/>
          <w:sz w:val="30"/>
          <w:szCs w:val="30"/>
        </w:rPr>
        <w:t>统筹推进疫情防控和经济社会发展工作的重要讲话精神</w:t>
      </w:r>
      <w:r>
        <w:rPr>
          <w:rFonts w:hint="eastAsia" w:asciiTheme="minorEastAsia" w:hAnsiTheme="minorEastAsia" w:eastAsiaTheme="minorEastAsia"/>
          <w:sz w:val="30"/>
          <w:szCs w:val="30"/>
          <w:shd w:val="clear" w:color="auto" w:fill="FFFFFF"/>
        </w:rPr>
        <w:t>，抢抓国家粤港澳大湾区建设和广东省进一步推动老区苏区振兴发展的重大机遇，坚持以新发展理念为统领，大力实施创新驱动发展战略，</w:t>
      </w:r>
      <w:r>
        <w:rPr>
          <w:rFonts w:hint="eastAsia" w:asciiTheme="minorEastAsia" w:hAnsiTheme="minorEastAsia" w:eastAsiaTheme="minorEastAsia"/>
          <w:sz w:val="30"/>
          <w:szCs w:val="30"/>
        </w:rPr>
        <w:t>围绕加快构建“一城一廊一带”发展格局，建设“工贸新城·智慧兴宁”，打造梅州副中心城市的发展目标，进一步支持促进兴宁实体经济高质量发展，制定如下措施：</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第一章 总则</w:t>
      </w:r>
    </w:p>
    <w:p>
      <w:pPr>
        <w:pStyle w:val="15"/>
        <w:spacing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兴宁市本级财政每年安排6000万元资金支持实体经济高质量发展，从科技创新、智能制造、绿色发展、增资扩产、品牌培育、市场拓展、降税减负、融资</w:t>
      </w:r>
      <w:r>
        <w:rPr>
          <w:rFonts w:hint="eastAsia" w:asciiTheme="minorEastAsia" w:hAnsiTheme="minorEastAsia" w:eastAsiaTheme="minorEastAsia"/>
          <w:color w:val="auto"/>
          <w:sz w:val="30"/>
          <w:szCs w:val="30"/>
          <w:lang w:eastAsia="zh-CN"/>
        </w:rPr>
        <w:t>支持</w:t>
      </w:r>
      <w:r>
        <w:rPr>
          <w:rFonts w:hint="eastAsia" w:asciiTheme="minorEastAsia" w:hAnsiTheme="minorEastAsia" w:eastAsiaTheme="minorEastAsia"/>
          <w:sz w:val="30"/>
          <w:szCs w:val="30"/>
        </w:rPr>
        <w:t>、用地厂房、育才引智、用工</w:t>
      </w:r>
      <w:r>
        <w:rPr>
          <w:rFonts w:hint="eastAsia" w:asciiTheme="minorEastAsia" w:hAnsiTheme="minorEastAsia" w:eastAsiaTheme="minorEastAsia"/>
          <w:color w:val="auto"/>
          <w:sz w:val="30"/>
          <w:szCs w:val="30"/>
        </w:rPr>
        <w:t>支持</w:t>
      </w:r>
      <w:r>
        <w:rPr>
          <w:rFonts w:hint="eastAsia" w:asciiTheme="minorEastAsia" w:hAnsiTheme="minorEastAsia" w:eastAsiaTheme="minorEastAsia"/>
          <w:sz w:val="30"/>
          <w:szCs w:val="30"/>
        </w:rPr>
        <w:t>、营商环境等方面着力，进一步提升企业竞争力，切实减轻企业负担，提振企业发展信心。</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第二章 科技创新</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第一条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鼓励企业加强自主创新，加大研发投入。（市科工商务局牵头负责，市财政局配合落实）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1.对企业承担实施的国家级、省级、梅州市级科技计划项目，分别给予立项经费的20%、15%、10%奖励,奖励金额最高不超过200万元。</w:t>
      </w:r>
    </w:p>
    <w:p>
      <w:pPr>
        <w:pStyle w:val="15"/>
        <w:numPr>
          <w:ilvl w:val="0"/>
          <w:numId w:val="1"/>
        </w:numPr>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获得国家级科学技术奖</w:t>
      </w:r>
      <w:r>
        <w:rPr>
          <w:rFonts w:hint="eastAsia" w:cs="Calibri" w:asciiTheme="minorEastAsia" w:hAnsiTheme="minorEastAsia" w:eastAsiaTheme="minorEastAsia"/>
          <w:sz w:val="30"/>
          <w:szCs w:val="30"/>
          <w:lang w:eastAsia="zh-CN"/>
        </w:rPr>
        <w:t>的企业，一次性奖励</w:t>
      </w:r>
      <w:r>
        <w:rPr>
          <w:rFonts w:hint="eastAsia" w:cs="Calibri" w:asciiTheme="minorEastAsia" w:hAnsiTheme="minorEastAsia" w:eastAsiaTheme="minorEastAsia"/>
          <w:sz w:val="30"/>
          <w:szCs w:val="30"/>
        </w:rPr>
        <w:t>20万元</w:t>
      </w:r>
      <w:r>
        <w:rPr>
          <w:rFonts w:hint="eastAsia" w:cs="Calibri" w:asciiTheme="minorEastAsia" w:hAnsiTheme="minorEastAsia" w:eastAsiaTheme="minorEastAsia"/>
          <w:sz w:val="30"/>
          <w:szCs w:val="30"/>
          <w:lang w:eastAsia="zh-CN"/>
        </w:rPr>
        <w:t>；获得</w:t>
      </w:r>
      <w:r>
        <w:rPr>
          <w:rFonts w:hint="eastAsia" w:cs="Calibri" w:asciiTheme="minorEastAsia" w:hAnsiTheme="minorEastAsia" w:eastAsiaTheme="minorEastAsia"/>
          <w:sz w:val="30"/>
          <w:szCs w:val="30"/>
        </w:rPr>
        <w:t>省级科学技术奖一等奖、二等奖</w:t>
      </w:r>
      <w:r>
        <w:rPr>
          <w:rFonts w:hint="eastAsia" w:cs="Calibri" w:asciiTheme="minorEastAsia" w:hAnsiTheme="minorEastAsia" w:eastAsiaTheme="minorEastAsia"/>
          <w:sz w:val="30"/>
          <w:szCs w:val="30"/>
          <w:lang w:eastAsia="zh-CN"/>
        </w:rPr>
        <w:t>、三</w:t>
      </w:r>
      <w:r>
        <w:rPr>
          <w:rFonts w:hint="eastAsia" w:cs="Calibri" w:asciiTheme="minorEastAsia" w:hAnsiTheme="minorEastAsia" w:eastAsiaTheme="minorEastAsia"/>
          <w:sz w:val="30"/>
          <w:szCs w:val="30"/>
        </w:rPr>
        <w:t>等奖的企业，分别给予一次性10万元、5万元</w:t>
      </w:r>
      <w:r>
        <w:rPr>
          <w:rFonts w:hint="eastAsia" w:cs="Calibri" w:asciiTheme="minorEastAsia" w:hAnsiTheme="minorEastAsia" w:eastAsiaTheme="minorEastAsia"/>
          <w:sz w:val="30"/>
          <w:szCs w:val="30"/>
          <w:lang w:eastAsia="zh-CN"/>
        </w:rPr>
        <w:t>、</w:t>
      </w:r>
      <w:r>
        <w:rPr>
          <w:rFonts w:hint="eastAsia" w:cs="Calibri" w:asciiTheme="minorEastAsia" w:hAnsiTheme="minorEastAsia" w:eastAsiaTheme="minorEastAsia"/>
          <w:sz w:val="30"/>
          <w:szCs w:val="30"/>
          <w:lang w:val="en-US" w:eastAsia="zh-CN"/>
        </w:rPr>
        <w:t>3万元</w:t>
      </w:r>
      <w:r>
        <w:rPr>
          <w:rFonts w:hint="eastAsia" w:cs="Calibri" w:asciiTheme="minorEastAsia" w:hAnsiTheme="minorEastAsia" w:eastAsiaTheme="minorEastAsia"/>
          <w:sz w:val="30"/>
          <w:szCs w:val="30"/>
        </w:rPr>
        <w:t>奖励。</w:t>
      </w:r>
    </w:p>
    <w:p>
      <w:pPr>
        <w:pStyle w:val="15"/>
        <w:spacing w:beforeLines="50"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第二条  支持企业提高研发水平，建立健全企业技术创新体系。（市科工商务局牵头负责，市财政局、市发改局等配合落实。）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1.对首次认定为国家高新技术企业的，给予一次性20万元奖励；对重新认定为国家高新技术企业的，给予一次性5万元奖励。对认定为科技型中小企业的，给予一次性0.5万元奖励。</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2.对首次认定为广东省高新技术产品的，给予一次性</w:t>
      </w:r>
      <w:r>
        <w:rPr>
          <w:rFonts w:hint="eastAsia" w:cs="Calibri" w:asciiTheme="minorEastAsia" w:hAnsiTheme="minorEastAsia" w:eastAsiaTheme="minorEastAsia"/>
          <w:bCs/>
          <w:sz w:val="30"/>
          <w:szCs w:val="30"/>
        </w:rPr>
        <w:t>1</w:t>
      </w:r>
      <w:r>
        <w:rPr>
          <w:rFonts w:hint="eastAsia" w:cs="Calibri" w:asciiTheme="minorEastAsia" w:hAnsiTheme="minorEastAsia" w:eastAsiaTheme="minorEastAsia"/>
          <w:sz w:val="30"/>
          <w:szCs w:val="30"/>
        </w:rPr>
        <w:t>万元/个奖励。</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3.对批准建立国家级、省级、梅州市级工程技术研究中心的企业，分别给予一次性10万元、5万元、2万元奖励。</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4.对新认定国家级、省级、梅州市级企业技术中心的企业，分别给予一次性10万元、5万元、2万元奖励。</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5.对新认定国家级、省级、梅州市级工业设计中心的企业，分别给予一次性10万元、5万元、2万元奖励。</w:t>
      </w:r>
    </w:p>
    <w:p>
      <w:pPr>
        <w:pStyle w:val="15"/>
        <w:spacing w:beforeLines="50"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6.对新认定国家级、省级、梅州市级科普示范基地的企业，分别给予一次性5万元、3万元、1万元奖励。对批准建立广东省青少年科技教育基地的企业，给予一次性0.5万元奖励。（市科协牵头负责，市科工商务局、市财政局、市教育局等配合落实。）</w:t>
      </w:r>
    </w:p>
    <w:p>
      <w:pPr>
        <w:pStyle w:val="15"/>
        <w:spacing w:beforeLines="50"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 xml:space="preserve">第三条 </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强化知识产权的创造、保护和运用。对经国家知识产权局授权的发明专利，给予一次性5000元/件奖励；对获得PCT（国际专利条约）专利的企业，给予一次性1万元/项奖励；对获得省级知识产权管理体系贯标认证的企业，给予一次性奖励3万元；对获得广东省知识产权示范企业的单位，给予一次性奖励5万元；对将专利产品转化为技术标准并实现批量生产的，给予一次性奖励3万元/标准。（市市场监管局牵头负责，市科工商务局、市财政局等配合落实。）</w:t>
      </w:r>
    </w:p>
    <w:p>
      <w:pPr>
        <w:pStyle w:val="15"/>
        <w:spacing w:beforeLines="50"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 xml:space="preserve">第四条 </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鼓励大众创业万众创新，支持创业创新载体建设。对新认定为国家级、省级、梅州市级小微企业创业创新示范基地、众创空间、科技孵化器的创业创新载体的企事业单位，分别给予一次性10万元、5万元、2万元奖励。对新认定为国家级、省级星创天地的，分别给予一次性5万元、3万元奖励。（市科工商务局牵头负责，市财政局、市市场监管局、市人力资源社会保障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第五条  加强中小微企业服务体系建设。对被认定为国家级、省级、梅州市级中小企业公共服务示范平台或中小企业公共技术服务示范平台的中小企业服务机构（单位），分别给予一次性 10万元、5万元、2万元奖励。（市科工商务局牵头负责，市财政局、市统计局、市金融工作局等配合落实）</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第三章 智能制造</w:t>
      </w:r>
    </w:p>
    <w:p>
      <w:pPr>
        <w:pStyle w:val="15"/>
        <w:spacing w:line="600" w:lineRule="exact"/>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第六条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 xml:space="preserve"> 支持工业企业实施提质增效、推进智能化改造、推动设备更新和引导绿色化发展，对符合国家和广东省产业政策的技术改造项目给予奖励。对年主营业务收入1000万元以上的工业企业，基于开展数字化、网络化、智能化、绿色化的技术改造而新购生产型或研发型设备在100万元以上的，取得技术改造投资项目备案证，补助标准如下：按新购生产型或研发型设备投资额的15%给予补助。同一单位每年只补助一个项目，单个项目补助金额不超过50万元。已获得国家、省、梅州市资金的项目不在本条扶持范围。</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鼓励企业通过购买机器人进行技术改造，提高产品质量和劳动生产效率，对于首次购置机器人的工业企业，按首台套设备购置费用金额50％给予事后奖补，单个企业单个申报年度最高补助额不超过30万元。</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（市科工商务局牵头负责，市统计局、市发展改革局、市税务局、市财政局、市园区管委会等配合落实）</w:t>
      </w:r>
    </w:p>
    <w:p>
      <w:pPr>
        <w:pStyle w:val="15"/>
        <w:spacing w:line="360" w:lineRule="auto"/>
        <w:ind w:firstLine="600" w:firstLineChars="200"/>
        <w:jc w:val="both"/>
        <w:rPr>
          <w:rFonts w:cs="Trebuchet MS" w:asciiTheme="minorEastAsia" w:hAnsiTheme="minorEastAsia" w:eastAsiaTheme="minorEastAsia"/>
          <w:b/>
          <w:bCs/>
          <w:sz w:val="30"/>
          <w:szCs w:val="30"/>
        </w:rPr>
      </w:pPr>
      <w:r>
        <w:rPr>
          <w:rFonts w:hint="eastAsia" w:cs="Calibri" w:asciiTheme="minorEastAsia" w:hAnsiTheme="minorEastAsia" w:eastAsiaTheme="minorEastAsia"/>
          <w:sz w:val="30"/>
          <w:szCs w:val="30"/>
        </w:rPr>
        <w:t>第七条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加快建设和发展工业互联网。降低企业数字化网络化智能化升级成本，对成功兑现省工业企业“上云上平台”服务券的企业，给予服务券实际兑现额度的10%奖励，最高不超过5万元。大力支持工业互联网应用标杆示范项目建设，对获得国家、省工业互联网标杆示范项目的，分别给予一次性10万元、5万元奖励。鼓励企业开展国家两化融合管理体系认定工作，对获得国家两化融合管理体系达标认定的企业，给予一次性5万元奖励。对通过国家或省级两化融合贯标试点的企业，给予一次性2万元奖励。</w:t>
      </w:r>
      <w:r>
        <w:rPr>
          <w:rFonts w:hint="eastAsia" w:cs="Trebuchet MS" w:asciiTheme="minorEastAsia" w:hAnsiTheme="minorEastAsia" w:eastAsiaTheme="minorEastAsia"/>
          <w:b/>
          <w:bCs/>
          <w:sz w:val="30"/>
          <w:szCs w:val="30"/>
        </w:rPr>
        <w:t>（</w:t>
      </w:r>
      <w:r>
        <w:rPr>
          <w:rFonts w:hint="eastAsia" w:cs="Calibri" w:asciiTheme="minorEastAsia" w:hAnsiTheme="minorEastAsia" w:eastAsiaTheme="minorEastAsia"/>
          <w:sz w:val="30"/>
          <w:szCs w:val="30"/>
        </w:rPr>
        <w:t>市科工商务局牵头负责，市发展改革局、市统计局、市财政局、市税务局等配合落实</w:t>
      </w:r>
      <w:r>
        <w:rPr>
          <w:rFonts w:hint="eastAsia" w:cs="Trebuchet MS" w:asciiTheme="minorEastAsia" w:hAnsiTheme="minorEastAsia" w:eastAsiaTheme="minorEastAsia"/>
          <w:b/>
          <w:bCs/>
          <w:sz w:val="30"/>
          <w:szCs w:val="30"/>
        </w:rPr>
        <w:t>）</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第四章 绿色发展</w:t>
      </w:r>
    </w:p>
    <w:p>
      <w:pPr>
        <w:shd w:val="clear" w:color="auto" w:fill="FFFFFF"/>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 xml:space="preserve">第八条 </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支持企业绿色发展。指导工业企业以生态环境保护促转型升级，主动对标高质量发展。鼓励企业实施清洁生产，对获得省级、梅州市级清洁生产认定的企业，分别给予一次性3万元、1万元奖励。鼓励绿色制造，对获得国家级绿色工厂认定的工业企业，给予一次性10万元奖励。（市科工商务局牵头负责，</w:t>
      </w:r>
      <w:r>
        <w:rPr>
          <w:rFonts w:hint="eastAsia" w:cs="Calibri" w:asciiTheme="minorEastAsia" w:hAnsiTheme="minorEastAsia" w:eastAsiaTheme="minorEastAsia"/>
          <w:sz w:val="30"/>
          <w:szCs w:val="30"/>
          <w:lang w:eastAsia="zh-CN"/>
        </w:rPr>
        <w:t>梅州市生态环境局兴宁分局</w:t>
      </w:r>
      <w:r>
        <w:rPr>
          <w:rFonts w:hint="eastAsia" w:cs="Calibri" w:asciiTheme="minorEastAsia" w:hAnsiTheme="minorEastAsia" w:eastAsiaTheme="minorEastAsia"/>
          <w:sz w:val="30"/>
          <w:szCs w:val="30"/>
        </w:rPr>
        <w:t>、市财政局等配合落实）</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第五章 增资扩产</w:t>
      </w:r>
    </w:p>
    <w:p>
      <w:pPr>
        <w:pStyle w:val="15"/>
        <w:spacing w:line="600" w:lineRule="exact"/>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 xml:space="preserve">第九条 </w:t>
      </w:r>
      <w:r>
        <w:rPr>
          <w:rFonts w:hint="eastAsia" w:cs="Calibri" w:asciiTheme="minorEastAsia" w:hAnsiTheme="minorEastAsia" w:eastAsiaTheme="minorEastAsia"/>
          <w:color w:val="000000" w:themeColor="text1"/>
          <w:sz w:val="30"/>
          <w:szCs w:val="30"/>
        </w:rPr>
        <w:t xml:space="preserve"> 对新签约落户且计划固定资产投资1亿元以上的招商引资工业企业，</w:t>
      </w:r>
      <w:r>
        <w:rPr>
          <w:rFonts w:hint="eastAsia" w:cs="Calibri" w:asciiTheme="minorEastAsia" w:hAnsiTheme="minorEastAsia" w:eastAsiaTheme="minorEastAsia"/>
          <w:sz w:val="30"/>
          <w:szCs w:val="30"/>
        </w:rPr>
        <w:t>适用《兴宁市促进</w:t>
      </w:r>
      <w:r>
        <w:rPr>
          <w:rFonts w:hint="eastAsia" w:cs="仿宋" w:asciiTheme="minorEastAsia" w:hAnsiTheme="minorEastAsia" w:eastAsiaTheme="minorEastAsia"/>
          <w:sz w:val="30"/>
          <w:szCs w:val="30"/>
        </w:rPr>
        <w:t>招商引资工作的若干措施》的相关奖励规定，按就高不重复原则进行奖补。</w:t>
      </w:r>
      <w:r>
        <w:rPr>
          <w:rFonts w:hint="eastAsia" w:cs="Calibri" w:asciiTheme="minorEastAsia" w:hAnsiTheme="minorEastAsia" w:eastAsiaTheme="minorEastAsia"/>
          <w:sz w:val="30"/>
          <w:szCs w:val="30"/>
        </w:rPr>
        <w:t>（市招商和企业服务中心牵头负责，科工商务局、财政局、园区管委会、发展改革局、统计局、税务局等配合落实）</w:t>
      </w:r>
    </w:p>
    <w:p>
      <w:pPr>
        <w:pStyle w:val="15"/>
        <w:spacing w:line="600" w:lineRule="exact"/>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第十条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支持工业企业技术改造增资扩产，增加固定资产投资。对取得技术改造投资项目备案证，符合国家和广东省产业政策的技术改造项目给予奖励。按项目年度固定资产的实际投入给予10%的补助，单个项目补助额度不超过该企业上年度对地方贡献部分的40%，且每个项目获得的扶持资金不超过50万元。已获得国家、省、梅州市资金的项目不在本条扶持范围。（科工商务局牵头负责，统计局、财政局、税务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 xml:space="preserve">第十一条 </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支持工业企业壮大做强。对上一年度主营业务收入1000万元以上且纳入我市小升规企业培育库的工业企业，在培育期内企业年度主营业务收入同比增长50%以上但未达到上规条件的，给予一次性1万元奖励。对年主营业务收入超过2000万元，经审批通过的首次上规模工业企业，给予一次性10万元奖励；对当年投产当年度上规的企业，年度主营业务收入达到或超过0.5亿元不足1亿元的增加一次性奖励金5万元，年度主营业务收入达到或超过1亿元的增加一次性奖励金10万元。（市科工商务局牵头负责，市统计局、市财政局、市税务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 xml:space="preserve">第十二条 </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对年主营业务收入首次达到或超过3亿元不足5亿元的工业企业，给予一次性5万元奖励；对首次达到或超过5亿元不足10亿元的工业企业，给予一次性10万元奖励；对首次达到或超过10亿元的企业，给予一次性20万元奖励。（市科工商务局牵头负责，市统计局、市财政局、市税务局等配合落实）</w:t>
      </w:r>
    </w:p>
    <w:p>
      <w:pPr>
        <w:pStyle w:val="15"/>
        <w:spacing w:line="360" w:lineRule="auto"/>
        <w:ind w:firstLine="600" w:firstLineChars="200"/>
        <w:jc w:val="both"/>
        <w:rPr>
          <w:rFonts w:cs="Calibri" w:asciiTheme="minorEastAsia" w:hAnsiTheme="minorEastAsia" w:eastAsiaTheme="minorEastAsia"/>
          <w:sz w:val="30"/>
          <w:szCs w:val="30"/>
          <w:u w:val="single"/>
        </w:rPr>
      </w:pPr>
      <w:r>
        <w:rPr>
          <w:rFonts w:hint="eastAsia" w:cs="Calibri" w:asciiTheme="minorEastAsia" w:hAnsiTheme="minorEastAsia" w:eastAsiaTheme="minorEastAsia"/>
          <w:sz w:val="30"/>
          <w:szCs w:val="30"/>
        </w:rPr>
        <w:t>第十三条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工业总产值年同比增幅，超过兴宁市全市规上工业的年度增速（按现价比），且正增长的规模以上工业企业，相对应给予一次性奖励：</w:t>
      </w:r>
      <w:r>
        <w:rPr>
          <w:rFonts w:hint="eastAsia" w:ascii="宋体" w:hAnsi="宋体" w:eastAsia="宋体" w:cs="Calibri"/>
          <w:sz w:val="30"/>
          <w:szCs w:val="30"/>
        </w:rPr>
        <w:t>工业总产值在0.5亿元以下的，年度增速15%以下的奖励3万元，年度增速15-30%区间的奖励5万元，年度增速达到或超过30%的奖励7万元；工业总产值在0.5亿元以上不足1亿元的，年度增速15%以下的奖励5万元，年度增速15-30%区间的奖励8万元，年度增速达到或超过30%的奖励10万元；工业总产值在1亿元以上不足3亿元的，年度增速15%以下的奖励7万元，年度增速15-30%区间的奖励11万元，年度增速达到或超过30%的奖励15万元；工业总产值在3亿元以上不足5亿元的，年度增速15%以下的奖励9万元，年度增速15-30%区间的奖励14万元，年度增速达到或超过30%的奖励19万元；工业总产值在5亿元以上的，年度增速15%以下的奖励12万元，年度增速15-30%区间的奖励18万元，年度增速达到或超过30%的奖励25万元。</w:t>
      </w:r>
      <w:r>
        <w:rPr>
          <w:rFonts w:hint="eastAsia" w:cs="Calibri" w:asciiTheme="minorEastAsia" w:hAnsiTheme="minorEastAsia" w:eastAsiaTheme="minorEastAsia"/>
          <w:sz w:val="30"/>
          <w:szCs w:val="30"/>
        </w:rPr>
        <w:t>（市科工商务局牵头负责，市统计局、市财政局、市税务局等配合落实）</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第六章 品牌培育</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第十四条  支持企业提升产品质量，提高产品技术含量和品牌附加值。</w:t>
      </w:r>
    </w:p>
    <w:p>
      <w:pPr>
        <w:spacing w:line="360" w:lineRule="auto"/>
        <w:ind w:firstLine="600" w:firstLineChars="200"/>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1.对成功注册地理标志证明商标的单位、社团组织，每件一次性奖励15万元；对成功取得地理标志产品保护的企业、社团组织，每件一次性奖励15万元。（市市场监管局牵头负责，市税务局、市财政局等配合落实）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2.对评为省级、梅州市级政府质量奖的企业，分别给予一次性20万元、10万元奖励；对评为广东省名牌产品(工业类)的，每个产品给予一次性10万元奖励。（市市场监管局牵头负责，市税务局、市财政局、市科工商务局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3.对评为“粤字号”农业品牌的，每个产品给予一次性奖励5万元；对评为广东省“菜篮子”基地的企业，给予一次性5万元奖励；对评为粤港澳大湾区“菜篮子”生产基地（加工企业）的，给予一次性5万元奖励；对评为“全国名特优新农产品”，每个产品给予一次性奖励10万元；对评为“广东省名特优新农产品”，每个产品给予一次性奖励3万元；对取得无公害、绿色、有机认证农产品的企业，每个产品分别给予一次性1万元、2万元、3万元奖励；对评为国家级、省级、梅州市级、兴宁市级农业龙头企业的，分别给予一次性10万元、5万元、2万元、1万元奖励。（市农业农村局牵头负责，市税务局、市财政局、市科工商务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4.推进食品工业企业诚信体系建设，对首次通过“食品工业企业诚信管理体系（CM）”评价并获得证书的企业，给予一次性2万元奖励。（市科工商务局牵头负责，市财政局配合落实）</w:t>
      </w:r>
    </w:p>
    <w:p>
      <w:pPr>
        <w:pStyle w:val="15"/>
        <w:spacing w:line="360" w:lineRule="auto"/>
        <w:ind w:firstLine="594" w:firstLineChars="198"/>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第十五条  对主导制订和修订国际、国家、行业、地方标准、团体标准的企业，分别给予一次性20万元、10万元、5万元、3万元、1万元奖励；对参与制订和修订国际标准、国家标准、行业标准、地方标准、团体标准的企业，分别给予一次性5万元、3万元、2万元、1万元、0.5万元奖励；</w:t>
      </w:r>
      <w:r>
        <w:rPr>
          <w:rFonts w:hint="eastAsia" w:cs="Calibri" w:asciiTheme="minorEastAsia" w:hAnsiTheme="minorEastAsia" w:eastAsiaTheme="minorEastAsia"/>
          <w:color w:val="auto"/>
          <w:sz w:val="30"/>
          <w:szCs w:val="30"/>
          <w:lang w:eastAsia="zh-CN"/>
        </w:rPr>
        <w:t>对参与国际标准化活动，将主导或参与制定的标准译制成外文版标准，主导制定的一次性奖励</w:t>
      </w:r>
      <w:r>
        <w:rPr>
          <w:rFonts w:hint="eastAsia" w:cs="Calibri" w:asciiTheme="minorEastAsia" w:hAnsiTheme="minorEastAsia" w:eastAsiaTheme="minorEastAsia"/>
          <w:color w:val="auto"/>
          <w:sz w:val="30"/>
          <w:szCs w:val="30"/>
          <w:lang w:val="en-US" w:eastAsia="zh-CN"/>
        </w:rPr>
        <w:t>5万元，参与制定的一次性奖励3万元；</w:t>
      </w:r>
      <w:r>
        <w:rPr>
          <w:rFonts w:hint="eastAsia" w:cs="Calibri" w:asciiTheme="minorEastAsia" w:hAnsiTheme="minorEastAsia" w:eastAsiaTheme="minorEastAsia"/>
          <w:color w:val="auto"/>
          <w:sz w:val="30"/>
          <w:szCs w:val="30"/>
        </w:rPr>
        <w:t>采用国际</w:t>
      </w:r>
      <w:r>
        <w:rPr>
          <w:rFonts w:hint="eastAsia" w:cs="Calibri" w:asciiTheme="minorEastAsia" w:hAnsiTheme="minorEastAsia" w:eastAsiaTheme="minorEastAsia"/>
          <w:sz w:val="30"/>
          <w:szCs w:val="30"/>
        </w:rPr>
        <w:t>标准和国外先进标准并获得采标标志的企业，给予一次性0.5万元奖励；对积极开展创建“标准化良好行为企业”活动并通过确认的企业，给予一次性5万元奖励；对积极推进标准化试点建设工作，开展服务业等相关标准化试点工作的企业，奖励2万元；对积极推广实施联盟标准，参与制订严于国际、国家、行业或地方标准的企业（行业协会），给予一次性5万元奖励。（市市场监管局牵头负责，市科工商务局、市农业农村局、市税务局、市财政局等配合落实）</w:t>
      </w:r>
    </w:p>
    <w:p>
      <w:pPr>
        <w:spacing w:line="360" w:lineRule="auto"/>
        <w:ind w:firstLine="600" w:firstLineChars="200"/>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 xml:space="preserve">第十六条 </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扶持本地企业品牌，促进引导消费本地产品。</w:t>
      </w:r>
    </w:p>
    <w:p>
      <w:pPr>
        <w:spacing w:after="0" w:line="360" w:lineRule="auto"/>
        <w:ind w:firstLine="600" w:firstLineChars="200"/>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1.推动政府采购倾向本地产品化，在品牌使用、重点工程政府采购等方面，优先支持本地企业；在同等条件下优先考虑本土企业和产品，确保每年政府采购中一定比例的产品来自本地。(市财政局牵头负责，各镇（街道办事处）以及政府其他部门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2.支持本地产品扩大本地市场，鼓励企业通过电视、报刊、网络等媒介宣传本地产品，按照企业上年度对地方贡献部分，在企业宣传费用方面给予一定的优惠。规模以上工业企业、限额以上</w:t>
      </w:r>
      <w:r>
        <w:rPr>
          <w:rFonts w:hint="eastAsia" w:cs="Calibri" w:asciiTheme="minorEastAsia" w:hAnsiTheme="minorEastAsia" w:eastAsiaTheme="minorEastAsia"/>
          <w:sz w:val="30"/>
          <w:szCs w:val="30"/>
          <w:lang w:eastAsia="zh-CN"/>
        </w:rPr>
        <w:t>贸易</w:t>
      </w:r>
      <w:r>
        <w:rPr>
          <w:rFonts w:hint="eastAsia" w:cs="Calibri" w:asciiTheme="minorEastAsia" w:hAnsiTheme="minorEastAsia" w:eastAsiaTheme="minorEastAsia"/>
          <w:sz w:val="30"/>
          <w:szCs w:val="30"/>
        </w:rPr>
        <w:t>企业和上年度纳税额在500万元以上的其他实体经济企业，在兴宁市广播电视台投放产品广告的，按现行广告价格标准，广告费用优惠20%，年度投放广告金额达30万元以上的，再优惠10%；规模以上工业企业、限额以上</w:t>
      </w:r>
      <w:r>
        <w:rPr>
          <w:rFonts w:hint="eastAsia" w:cs="Calibri" w:asciiTheme="minorEastAsia" w:hAnsiTheme="minorEastAsia" w:eastAsiaTheme="minorEastAsia"/>
          <w:sz w:val="30"/>
          <w:szCs w:val="30"/>
          <w:lang w:eastAsia="zh-CN"/>
        </w:rPr>
        <w:t>贸易</w:t>
      </w:r>
      <w:r>
        <w:rPr>
          <w:rFonts w:hint="eastAsia" w:cs="Calibri" w:asciiTheme="minorEastAsia" w:hAnsiTheme="minorEastAsia" w:eastAsiaTheme="minorEastAsia"/>
          <w:sz w:val="30"/>
          <w:szCs w:val="30"/>
        </w:rPr>
        <w:t>企业或年度纳税大户（以市政府文件公布的名单为准）在《今日兴宁》刊登商业广告的，在原来对普通客户收费打折的基础上再给予如下优惠：上年度纳税100万元</w:t>
      </w:r>
      <w:r>
        <w:rPr>
          <w:rFonts w:hint="eastAsia" w:cs="Calibri" w:asciiTheme="minorEastAsia" w:hAnsiTheme="minorEastAsia" w:eastAsiaTheme="minorEastAsia"/>
          <w:sz w:val="30"/>
          <w:szCs w:val="30"/>
          <w:lang w:eastAsia="zh-CN"/>
        </w:rPr>
        <w:t>以上不到</w:t>
      </w:r>
      <w:r>
        <w:rPr>
          <w:rFonts w:hint="eastAsia" w:cs="Calibri" w:asciiTheme="minorEastAsia" w:hAnsiTheme="minorEastAsia" w:eastAsiaTheme="minorEastAsia"/>
          <w:sz w:val="30"/>
          <w:szCs w:val="30"/>
        </w:rPr>
        <w:t>500万元的，给予9折优惠；上年度纳税500万元</w:t>
      </w:r>
      <w:r>
        <w:rPr>
          <w:rFonts w:hint="eastAsia" w:cs="Calibri" w:asciiTheme="minorEastAsia" w:hAnsiTheme="minorEastAsia" w:eastAsiaTheme="minorEastAsia"/>
          <w:sz w:val="30"/>
          <w:szCs w:val="30"/>
          <w:lang w:eastAsia="zh-CN"/>
        </w:rPr>
        <w:t>以上不到</w:t>
      </w:r>
      <w:r>
        <w:rPr>
          <w:rFonts w:hint="eastAsia" w:cs="Calibri" w:asciiTheme="minorEastAsia" w:hAnsiTheme="minorEastAsia" w:eastAsiaTheme="minorEastAsia"/>
          <w:sz w:val="30"/>
          <w:szCs w:val="30"/>
        </w:rPr>
        <w:t>1000万元的，给予8折优惠；上年度纳税1000万元</w:t>
      </w:r>
      <w:r>
        <w:rPr>
          <w:rFonts w:hint="eastAsia" w:cs="Calibri" w:asciiTheme="minorEastAsia" w:hAnsiTheme="minorEastAsia" w:eastAsiaTheme="minorEastAsia"/>
          <w:sz w:val="30"/>
          <w:szCs w:val="30"/>
          <w:lang w:eastAsia="zh-CN"/>
        </w:rPr>
        <w:t>以上不到</w:t>
      </w:r>
      <w:r>
        <w:rPr>
          <w:rFonts w:hint="eastAsia" w:cs="Calibri" w:asciiTheme="minorEastAsia" w:hAnsiTheme="minorEastAsia" w:eastAsiaTheme="minorEastAsia"/>
          <w:sz w:val="30"/>
          <w:szCs w:val="30"/>
        </w:rPr>
        <w:t>2000万元的，给予7折优惠；上年度纳税2000万元以上的，给予6折优惠。（市宣传部、市文化广电旅游体育局牵头负责，市科工商务局、市财政局、市税务局、市市场监管局、市政务服务数据管理局、市广播电视台、今日兴宁等配合落实）</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第七章 市场拓展</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 xml:space="preserve">第十七条 </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加大对商品批发零售企业</w:t>
      </w:r>
      <w:r>
        <w:rPr>
          <w:rFonts w:hint="eastAsia" w:cs="Calibri" w:asciiTheme="minorEastAsia" w:hAnsiTheme="minorEastAsia" w:eastAsiaTheme="minorEastAsia"/>
          <w:sz w:val="30"/>
          <w:szCs w:val="30"/>
          <w:lang w:eastAsia="zh-CN"/>
        </w:rPr>
        <w:t>，餐</w:t>
      </w:r>
      <w:r>
        <w:rPr>
          <w:rFonts w:hint="eastAsia" w:cs="Calibri" w:asciiTheme="minorEastAsia" w:hAnsiTheme="minorEastAsia" w:eastAsiaTheme="minorEastAsia"/>
          <w:sz w:val="30"/>
          <w:szCs w:val="30"/>
        </w:rPr>
        <w:t>饮住宿</w:t>
      </w:r>
      <w:r>
        <w:rPr>
          <w:rFonts w:hint="eastAsia" w:cs="Calibri" w:asciiTheme="minorEastAsia" w:hAnsiTheme="minorEastAsia" w:eastAsiaTheme="minorEastAsia"/>
          <w:sz w:val="30"/>
          <w:szCs w:val="30"/>
          <w:lang w:eastAsia="zh-CN"/>
        </w:rPr>
        <w:t>企业</w:t>
      </w:r>
      <w:r>
        <w:rPr>
          <w:rFonts w:hint="eastAsia" w:cs="Calibri" w:asciiTheme="minorEastAsia" w:hAnsiTheme="minorEastAsia" w:eastAsiaTheme="minorEastAsia"/>
          <w:sz w:val="30"/>
          <w:szCs w:val="30"/>
        </w:rPr>
        <w:t>的奖励扶持，促进商贸企业发展壮大。对年主营业务收入2000万元以上的批发企业、年主营业务收入500万元以上的零售企业，经审批通过首次成为限额以上批发零售企业的，给予一次性5万元奖励；对年主营业务收入200万元以上的餐饮、住宿企业，经审批通过首次成为限额以上餐饮住宿业的，给予一次性5万元奖励。对地方财政贡献达到50万元以上的商品流通批发、零售企业，给予一次性3万元奖励；对地方财政贡献达到300万元以上的，给予一次性20万元奖励；对年主营业务收入达到1000万元的物流配送企业，按其当年度本级财政贡献量的</w:t>
      </w:r>
      <w:r>
        <w:rPr>
          <w:rFonts w:hint="eastAsia" w:cs="Calibri" w:asciiTheme="minorEastAsia" w:hAnsiTheme="minorEastAsia" w:eastAsiaTheme="minorEastAsia"/>
          <w:sz w:val="30"/>
          <w:szCs w:val="30"/>
          <w:lang w:val="en-US" w:eastAsia="zh-CN"/>
        </w:rPr>
        <w:t>5</w:t>
      </w:r>
      <w:r>
        <w:rPr>
          <w:rFonts w:hint="eastAsia" w:cs="Calibri" w:asciiTheme="minorEastAsia" w:hAnsiTheme="minorEastAsia" w:eastAsiaTheme="minorEastAsia"/>
          <w:sz w:val="30"/>
          <w:szCs w:val="30"/>
        </w:rPr>
        <w:t>%给予一次性奖励，最高不超过</w:t>
      </w:r>
      <w:r>
        <w:rPr>
          <w:rFonts w:hint="eastAsia" w:cs="Calibri" w:asciiTheme="minorEastAsia" w:hAnsiTheme="minorEastAsia" w:eastAsiaTheme="minorEastAsia"/>
          <w:sz w:val="30"/>
          <w:szCs w:val="30"/>
          <w:lang w:val="en-US" w:eastAsia="zh-CN"/>
        </w:rPr>
        <w:t>10</w:t>
      </w:r>
      <w:r>
        <w:rPr>
          <w:rFonts w:hint="eastAsia" w:cs="Calibri" w:asciiTheme="minorEastAsia" w:hAnsiTheme="minorEastAsia" w:eastAsiaTheme="minorEastAsia"/>
          <w:sz w:val="30"/>
          <w:szCs w:val="30"/>
        </w:rPr>
        <w:t>万元。（市科工商务局牵头负责，市统计局、市财政局、市税务局等配合落实）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第十八条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促进电子商务发展奖励扶持。对新获评国家级、省级电子商务示范企业称号的企业，分别给予一次性10万元、5万元奖励。对农副产品年销售收入超过300万元的农副产品网络销售企业，按其当年度本级财政贡献量的</w:t>
      </w:r>
      <w:r>
        <w:rPr>
          <w:rFonts w:hint="eastAsia" w:cs="Calibri" w:asciiTheme="minorEastAsia" w:hAnsiTheme="minorEastAsia" w:eastAsiaTheme="minorEastAsia"/>
          <w:sz w:val="30"/>
          <w:szCs w:val="30"/>
          <w:lang w:val="en-US" w:eastAsia="zh-CN"/>
        </w:rPr>
        <w:t>1</w:t>
      </w:r>
      <w:r>
        <w:rPr>
          <w:rFonts w:hint="eastAsia" w:cs="Calibri" w:asciiTheme="minorEastAsia" w:hAnsiTheme="minorEastAsia" w:eastAsiaTheme="minorEastAsia"/>
          <w:sz w:val="30"/>
          <w:szCs w:val="30"/>
        </w:rPr>
        <w:t>0%给予一次性奖励，最高不超过</w:t>
      </w:r>
      <w:r>
        <w:rPr>
          <w:rFonts w:hint="eastAsia" w:cs="Calibri" w:asciiTheme="minorEastAsia" w:hAnsiTheme="minorEastAsia" w:eastAsiaTheme="minorEastAsia"/>
          <w:sz w:val="30"/>
          <w:szCs w:val="30"/>
          <w:lang w:val="en-US" w:eastAsia="zh-CN"/>
        </w:rPr>
        <w:t>8</w:t>
      </w:r>
      <w:r>
        <w:rPr>
          <w:rFonts w:hint="eastAsia" w:cs="Calibri" w:asciiTheme="minorEastAsia" w:hAnsiTheme="minorEastAsia" w:eastAsiaTheme="minorEastAsia"/>
          <w:sz w:val="30"/>
          <w:szCs w:val="30"/>
        </w:rPr>
        <w:t>万元；对设立了独立的电子商务法人并运行一年以上的生产企业，年销售收入1000万元以上的，按其当年度本级财政贡献量的</w:t>
      </w:r>
      <w:r>
        <w:rPr>
          <w:rFonts w:hint="eastAsia" w:cs="Calibri" w:asciiTheme="minorEastAsia" w:hAnsiTheme="minorEastAsia" w:eastAsiaTheme="minorEastAsia"/>
          <w:sz w:val="30"/>
          <w:szCs w:val="30"/>
          <w:lang w:val="en-US" w:eastAsia="zh-CN"/>
        </w:rPr>
        <w:t>15</w:t>
      </w:r>
      <w:r>
        <w:rPr>
          <w:rFonts w:hint="eastAsia" w:cs="Calibri" w:asciiTheme="minorEastAsia" w:hAnsiTheme="minorEastAsia" w:eastAsiaTheme="minorEastAsia"/>
          <w:sz w:val="30"/>
          <w:szCs w:val="30"/>
        </w:rPr>
        <w:t>%给予一次性奖励，最高不超过</w:t>
      </w:r>
      <w:r>
        <w:rPr>
          <w:rFonts w:hint="eastAsia" w:cs="Calibri" w:asciiTheme="minorEastAsia" w:hAnsiTheme="minorEastAsia" w:eastAsiaTheme="minorEastAsia"/>
          <w:sz w:val="30"/>
          <w:szCs w:val="30"/>
          <w:lang w:val="en-US" w:eastAsia="zh-CN"/>
        </w:rPr>
        <w:t>10</w:t>
      </w:r>
      <w:r>
        <w:rPr>
          <w:rFonts w:hint="eastAsia" w:cs="Calibri" w:asciiTheme="minorEastAsia" w:hAnsiTheme="minorEastAsia" w:eastAsiaTheme="minorEastAsia"/>
          <w:sz w:val="30"/>
          <w:szCs w:val="30"/>
        </w:rPr>
        <w:t>万元。对开设网店的中小微企业，年销售收入500万元以上的，按其当年度本级财政贡献量的</w:t>
      </w:r>
      <w:r>
        <w:rPr>
          <w:rFonts w:hint="eastAsia" w:cs="Calibri" w:asciiTheme="minorEastAsia" w:hAnsiTheme="minorEastAsia" w:eastAsiaTheme="minorEastAsia"/>
          <w:sz w:val="30"/>
          <w:szCs w:val="30"/>
          <w:lang w:val="en-US" w:eastAsia="zh-CN"/>
        </w:rPr>
        <w:t>5</w:t>
      </w:r>
      <w:r>
        <w:rPr>
          <w:rFonts w:hint="eastAsia" w:cs="Calibri" w:asciiTheme="minorEastAsia" w:hAnsiTheme="minorEastAsia" w:eastAsiaTheme="minorEastAsia"/>
          <w:sz w:val="30"/>
          <w:szCs w:val="30"/>
        </w:rPr>
        <w:t>%给予一次性奖励，最高不超过</w:t>
      </w:r>
      <w:r>
        <w:rPr>
          <w:rFonts w:hint="eastAsia" w:cs="Calibri" w:asciiTheme="minorEastAsia" w:hAnsiTheme="minorEastAsia" w:eastAsiaTheme="minorEastAsia"/>
          <w:sz w:val="30"/>
          <w:szCs w:val="30"/>
          <w:lang w:val="en-US" w:eastAsia="zh-CN"/>
        </w:rPr>
        <w:t>5</w:t>
      </w:r>
      <w:r>
        <w:rPr>
          <w:rFonts w:hint="eastAsia" w:cs="Calibri" w:asciiTheme="minorEastAsia" w:hAnsiTheme="minorEastAsia" w:eastAsiaTheme="minorEastAsia"/>
          <w:sz w:val="30"/>
          <w:szCs w:val="30"/>
        </w:rPr>
        <w:t>万元。（市科工商务局牵头负责，市统计局、市财政局、市税务局等配合落实）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第十九条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鼓励我市外贸企业积极开拓国际市场，扩大外贸进出口，积极吸收利用外资，提高利用外资的质量和水平。</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1.鼓励企业扩大进出口。对上年度进出口额（以海关统计数据为准）50万美元以上且同比增长4%以上的外贸企业，给予进出口每1美元奖励0.02元人民币，每家企业最高不超过30万元人民币。</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2.鼓励外贸企业参加境外展览会。对上年度参加境外展览会的企业，展位费按每个展位30%且不超过2万元人民币给予奖励，每家企业最高不超过10万元人民币。</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3.鼓励企业利用外资。对上年度有实际利用外资的企业，给予实际利用外资每1元人民币奖励0.05元人民币，每家企业最高不超过30万元。（科工商务局牵头负责，财政局等配合落实）</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第八章 降税减负</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第二十条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在国家规定的税额幅度内，降低城镇土地使用税适用税额标准，落实将车辆车船税适用税额降低到法定税率最低水平的规定，落实国家有关高新技术企业所得税优惠及研发费用加计扣除政策。允许符合条件的制造业企业实行汇总缴纳增值税，核定征收企业所得税应税所得率按上级部门规定执行，各行业按国家规定的最低应税所得率核定，办理增值税留抵退税。对符合条件的国家级、省级科技企业孵化器和国家备案众创空间自用以及通过出租等方式提供给在孵对象使用的房产、土地，免征房产税和城镇土地使用税；其向在孵对象提供孵化服务的收入，免征增值税。探索推行纳税人办税“容缺”制、纳税申报“提醒纠错”制。每年召开纳税大户总结表彰大会，对当年纳税额在100万元以上的民营企业（按照财税部门的核实统计为准），给予表彰。（市财政局、市税务局牵头负责，市自然资源局、市科工商务局等配合落实）</w:t>
      </w:r>
    </w:p>
    <w:p>
      <w:pPr>
        <w:pStyle w:val="15"/>
        <w:spacing w:beforeLines="100" w:afterLines="100" w:line="360" w:lineRule="auto"/>
        <w:jc w:val="center"/>
        <w:rPr>
          <w:rFonts w:hint="eastAsia" w:asciiTheme="minorEastAsia" w:hAnsiTheme="minorEastAsia" w:eastAsiaTheme="minorEastAsia"/>
          <w:b/>
          <w:sz w:val="30"/>
          <w:szCs w:val="30"/>
          <w:lang w:eastAsia="zh-CN"/>
        </w:rPr>
      </w:pPr>
      <w:r>
        <w:rPr>
          <w:rFonts w:hint="eastAsia" w:asciiTheme="minorEastAsia" w:hAnsiTheme="minorEastAsia" w:eastAsiaTheme="minorEastAsia"/>
          <w:b/>
          <w:sz w:val="30"/>
          <w:szCs w:val="30"/>
        </w:rPr>
        <w:t>第九章 融资</w:t>
      </w:r>
      <w:r>
        <w:rPr>
          <w:rFonts w:hint="eastAsia" w:asciiTheme="minorEastAsia" w:hAnsiTheme="minorEastAsia" w:eastAsiaTheme="minorEastAsia"/>
          <w:b/>
          <w:sz w:val="30"/>
          <w:szCs w:val="30"/>
          <w:lang w:eastAsia="zh-CN"/>
        </w:rPr>
        <w:t>支持</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第二十一条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切实缓解中小微企业融资难、融资贵问题。不断壮大中小微企业信贷风险补偿基金规模，鼓励引导金融机构加大对我市中小微企业的信贷支持力度。完善续贷转贷政策。对企业融资到期需要续贷且符合无还本续贷条件的，按无还本续贷政策办理，无还本续贷情形不单独作为下调贷款风险分类的因素。规范发展中小微企业转贷基金，推动商业银行配合转贷基金开展相关业务，简化操作流程，缩短“过桥”时间，降低“过桥”成本。（人民银行兴宁支行、市金融工作局、市科工商务局、市财政局等负责实施）</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第二十二条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 xml:space="preserve"> 加大民营企业融资支持，新发放公司类贷款中，进一步提高民营企业贷款比重，贷款审批中不得对民营企业设置歧视性要求，同等条件下民营企业与国有企业贷款利率和贷款条件保持一致。（人民银行兴宁支行、市金融工作局、市科工商务局、市财政局等负责实施）</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第二十三条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推进“银税互动”贷款。银税部门建立征信互认、信息共享机制，对已有纳税记录、无不良信用记录、纳税信用级别不低于B级的中小微企业可发放“银税互动”贷款。（市税务局、市金融工作局、人民银行兴宁支行负责实施）</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第二十四条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加强中小微企业信用体系建设，建立守信激励和失信惩戒机制，健全中小企业信用信息数据库。支持实体经济企业开展多种形式的资本运营，发展以信用为基础的实体经济企业联保贷款，拓展农村宅基地、土地承包经营权等作抵押的融资渠道；积极为实体经济企业办理股权出质登记、动产抵押登记、知识产权质押登记，完善融资担保体系。（市市场监管局牵头负责，人民银行兴宁支行、市金融工作局、市财政局、市自然资源局、市科工商务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第二十五条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鼓励企业上市融资。鼓励、扶持企业走多层次资本市场融资发展，对注册地在兴宁的上市企业：在国内主板、中小板、创业板上市并取得证券监管部门审理回执的企业，一次性奖励300万元；在科创板上市并取得上海证券交易所审理回执的企业，一次性奖励200万元；在香港和境外证券交易所上市并取得有权审理部门审理回执的企业，一次</w:t>
      </w:r>
      <w:r>
        <w:rPr>
          <w:rFonts w:hint="eastAsia" w:cs="Calibri" w:asciiTheme="minorEastAsia" w:hAnsiTheme="minorEastAsia" w:eastAsiaTheme="minorEastAsia"/>
          <w:color w:val="auto"/>
          <w:sz w:val="30"/>
          <w:szCs w:val="30"/>
        </w:rPr>
        <w:t>性奖励200万元；在新三板挂牌</w:t>
      </w:r>
      <w:r>
        <w:rPr>
          <w:rFonts w:hint="eastAsia" w:cs="Calibri" w:asciiTheme="minorEastAsia" w:hAnsiTheme="minorEastAsia" w:eastAsiaTheme="minorEastAsia"/>
          <w:color w:val="auto"/>
          <w:sz w:val="30"/>
          <w:szCs w:val="30"/>
          <w:lang w:eastAsia="zh-CN"/>
        </w:rPr>
        <w:t>并取得全国中小企业股份转让系统审理回执</w:t>
      </w:r>
      <w:r>
        <w:rPr>
          <w:rFonts w:hint="eastAsia" w:cs="Calibri" w:asciiTheme="minorEastAsia" w:hAnsiTheme="minorEastAsia" w:eastAsiaTheme="minorEastAsia"/>
          <w:color w:val="auto"/>
          <w:sz w:val="30"/>
          <w:szCs w:val="30"/>
        </w:rPr>
        <w:t>的企</w:t>
      </w:r>
      <w:r>
        <w:rPr>
          <w:rFonts w:hint="eastAsia" w:cs="Calibri" w:asciiTheme="minorEastAsia" w:hAnsiTheme="minorEastAsia" w:eastAsiaTheme="minorEastAsia"/>
          <w:sz w:val="30"/>
          <w:szCs w:val="30"/>
        </w:rPr>
        <w:t>业，一次性奖励100万元；企业收购上市（借壳、买壳上市）并将上市公司由外地迁回本市的，享受上述政策。市政府每年安排100万元贷款贴息资金，扶持上市后备重点企业。（市金融工作局牵头负责，市财政局、市科工商务局等配合落实）</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第十章 用地厂房</w:t>
      </w:r>
    </w:p>
    <w:p>
      <w:pPr>
        <w:pStyle w:val="15"/>
        <w:spacing w:line="360" w:lineRule="auto"/>
        <w:ind w:firstLine="600" w:firstLineChars="200"/>
        <w:jc w:val="both"/>
        <w:rPr>
          <w:rFonts w:asciiTheme="minorEastAsia" w:hAnsiTheme="minorEastAsia" w:eastAsiaTheme="minorEastAsia"/>
          <w:sz w:val="30"/>
          <w:szCs w:val="30"/>
        </w:rPr>
      </w:pPr>
      <w:r>
        <w:rPr>
          <w:rFonts w:hint="eastAsia" w:cs="Calibri" w:asciiTheme="minorEastAsia" w:hAnsiTheme="minorEastAsia" w:eastAsiaTheme="minorEastAsia"/>
          <w:sz w:val="30"/>
          <w:szCs w:val="30"/>
        </w:rPr>
        <w:t>第二十六条</w:t>
      </w:r>
      <w:r>
        <w:rPr>
          <w:rFonts w:hint="eastAsia" w:cs="Calibri" w:asciiTheme="minorEastAsia" w:hAnsiTheme="minorEastAsia" w:eastAsiaTheme="minorEastAsia"/>
          <w:sz w:val="30"/>
          <w:szCs w:val="30"/>
          <w:lang w:val="en-US" w:eastAsia="zh-CN"/>
        </w:rPr>
        <w:t xml:space="preserve">  </w:t>
      </w:r>
      <w:r>
        <w:rPr>
          <w:rFonts w:hint="eastAsia" w:asciiTheme="minorEastAsia" w:hAnsiTheme="minorEastAsia" w:eastAsiaTheme="minorEastAsia"/>
          <w:sz w:val="30"/>
          <w:szCs w:val="30"/>
        </w:rPr>
        <w:t>保障和优化工业用地供应。年度建设用地供应计划应充分保障工业用地供给，并优先保障地方重点发展的新产业和本市规模以上工业企业的用地需求。推行“标准地”供应模式，实行“带标准”预申请制度</w:t>
      </w:r>
      <w:r>
        <w:rPr>
          <w:rFonts w:hint="eastAsia" w:asciiTheme="minorEastAsia" w:hAnsiTheme="minorEastAsia" w:eastAsiaTheme="minorEastAsia"/>
          <w:color w:val="auto"/>
          <w:sz w:val="30"/>
          <w:szCs w:val="30"/>
        </w:rPr>
        <w:t>，</w:t>
      </w:r>
      <w:r>
        <w:rPr>
          <w:rFonts w:hint="eastAsia" w:asciiTheme="minorEastAsia" w:hAnsiTheme="minorEastAsia" w:eastAsiaTheme="minorEastAsia"/>
          <w:color w:val="auto"/>
          <w:sz w:val="30"/>
          <w:szCs w:val="30"/>
          <w:lang w:eastAsia="zh-CN"/>
        </w:rPr>
        <w:t>鼓励</w:t>
      </w:r>
      <w:r>
        <w:rPr>
          <w:rFonts w:hint="eastAsia" w:asciiTheme="minorEastAsia" w:hAnsiTheme="minorEastAsia" w:eastAsiaTheme="minorEastAsia"/>
          <w:color w:val="auto"/>
          <w:sz w:val="30"/>
          <w:szCs w:val="30"/>
        </w:rPr>
        <w:t>工业</w:t>
      </w:r>
      <w:r>
        <w:rPr>
          <w:rFonts w:hint="eastAsia" w:asciiTheme="minorEastAsia" w:hAnsiTheme="minorEastAsia" w:eastAsiaTheme="minorEastAsia"/>
          <w:sz w:val="30"/>
          <w:szCs w:val="30"/>
        </w:rPr>
        <w:t>用地“先招后拍”、带产业项目供应。对列入兴宁市级以上的重点工业投资项目，优先给予项目用地支持。（</w:t>
      </w:r>
      <w:r>
        <w:rPr>
          <w:rFonts w:hint="eastAsia" w:cs="Calibri" w:asciiTheme="minorEastAsia" w:hAnsiTheme="minorEastAsia" w:eastAsiaTheme="minorEastAsia"/>
          <w:sz w:val="30"/>
          <w:szCs w:val="30"/>
        </w:rPr>
        <w:t>市</w:t>
      </w:r>
      <w:r>
        <w:rPr>
          <w:rFonts w:hint="eastAsia" w:asciiTheme="minorEastAsia" w:hAnsiTheme="minorEastAsia" w:eastAsiaTheme="minorEastAsia"/>
          <w:sz w:val="30"/>
          <w:szCs w:val="30"/>
        </w:rPr>
        <w:t>自然资源局牵头负责，</w:t>
      </w:r>
      <w:r>
        <w:rPr>
          <w:rFonts w:hint="eastAsia" w:cs="Calibri" w:asciiTheme="minorEastAsia" w:hAnsiTheme="minorEastAsia" w:eastAsiaTheme="minorEastAsia"/>
          <w:sz w:val="30"/>
          <w:szCs w:val="30"/>
        </w:rPr>
        <w:t>市</w:t>
      </w:r>
      <w:r>
        <w:rPr>
          <w:rFonts w:hint="eastAsia" w:asciiTheme="minorEastAsia" w:hAnsiTheme="minorEastAsia" w:eastAsiaTheme="minorEastAsia"/>
          <w:sz w:val="30"/>
          <w:szCs w:val="30"/>
        </w:rPr>
        <w:t>发展改革局、</w:t>
      </w:r>
      <w:r>
        <w:rPr>
          <w:rFonts w:hint="eastAsia" w:cs="Calibri" w:asciiTheme="minorEastAsia" w:hAnsiTheme="minorEastAsia" w:eastAsiaTheme="minorEastAsia"/>
          <w:sz w:val="30"/>
          <w:szCs w:val="30"/>
        </w:rPr>
        <w:t>市</w:t>
      </w:r>
      <w:r>
        <w:rPr>
          <w:rFonts w:hint="eastAsia" w:asciiTheme="minorEastAsia" w:hAnsiTheme="minorEastAsia" w:eastAsiaTheme="minorEastAsia"/>
          <w:sz w:val="30"/>
          <w:szCs w:val="30"/>
        </w:rPr>
        <w:t>统计局、</w:t>
      </w:r>
      <w:r>
        <w:rPr>
          <w:rFonts w:hint="eastAsia" w:cs="Calibri" w:asciiTheme="minorEastAsia" w:hAnsiTheme="minorEastAsia" w:eastAsiaTheme="minorEastAsia"/>
          <w:sz w:val="30"/>
          <w:szCs w:val="30"/>
        </w:rPr>
        <w:t>市</w:t>
      </w:r>
      <w:r>
        <w:rPr>
          <w:rFonts w:hint="eastAsia" w:asciiTheme="minorEastAsia" w:hAnsiTheme="minorEastAsia" w:eastAsiaTheme="minorEastAsia"/>
          <w:sz w:val="30"/>
          <w:szCs w:val="30"/>
        </w:rPr>
        <w:t>科工商务局、</w:t>
      </w:r>
      <w:r>
        <w:rPr>
          <w:rFonts w:hint="eastAsia" w:cs="Calibri" w:asciiTheme="minorEastAsia" w:hAnsiTheme="minorEastAsia" w:eastAsiaTheme="minorEastAsia"/>
          <w:sz w:val="30"/>
          <w:szCs w:val="30"/>
        </w:rPr>
        <w:t>市</w:t>
      </w:r>
      <w:r>
        <w:rPr>
          <w:rFonts w:hint="eastAsia" w:asciiTheme="minorEastAsia" w:hAnsiTheme="minorEastAsia" w:eastAsiaTheme="minorEastAsia"/>
          <w:sz w:val="30"/>
          <w:szCs w:val="30"/>
        </w:rPr>
        <w:t>园区管委会等配合落实）</w:t>
      </w:r>
    </w:p>
    <w:p>
      <w:pPr>
        <w:pStyle w:val="15"/>
        <w:spacing w:line="360" w:lineRule="auto"/>
        <w:ind w:firstLine="600" w:firstLineChars="200"/>
        <w:jc w:val="both"/>
        <w:rPr>
          <w:rFonts w:hint="eastAsia" w:asciiTheme="minorEastAsia" w:hAnsiTheme="minorEastAsia" w:eastAsiaTheme="minorEastAsia"/>
          <w:color w:val="FF0000"/>
          <w:sz w:val="30"/>
          <w:szCs w:val="30"/>
          <w:lang w:eastAsia="zh-CN"/>
        </w:rPr>
      </w:pPr>
      <w:r>
        <w:rPr>
          <w:rFonts w:hint="eastAsia" w:cs="Calibri" w:asciiTheme="minorEastAsia" w:hAnsiTheme="minorEastAsia" w:eastAsiaTheme="minorEastAsia"/>
          <w:sz w:val="30"/>
          <w:szCs w:val="30"/>
        </w:rPr>
        <w:t>第二十七条</w:t>
      </w:r>
      <w:r>
        <w:rPr>
          <w:rFonts w:hint="eastAsia" w:cs="Calibri" w:asciiTheme="minorEastAsia" w:hAnsiTheme="minorEastAsia" w:eastAsiaTheme="minorEastAsia"/>
          <w:sz w:val="30"/>
          <w:szCs w:val="30"/>
          <w:lang w:val="en-US" w:eastAsia="zh-CN"/>
        </w:rPr>
        <w:t xml:space="preserve">  </w:t>
      </w:r>
      <w:r>
        <w:rPr>
          <w:rFonts w:hint="eastAsia" w:asciiTheme="minorEastAsia" w:hAnsiTheme="minorEastAsia" w:eastAsiaTheme="minorEastAsia"/>
          <w:sz w:val="30"/>
          <w:szCs w:val="30"/>
        </w:rPr>
        <w:t>支持本市园区外的工业企业增资扩产入园，对投资规模、强度未能达到规定要求的拟入园项目，原则上不单独供地，优先引导其进入标准化厂房。对租赁工业园区标准厂房的工业企业，适用《兴宁市产业转移工业园标准厂房管理办法》</w:t>
      </w:r>
      <w:r>
        <w:rPr>
          <w:rFonts w:hint="eastAsia" w:cs="仿宋" w:asciiTheme="minorEastAsia" w:hAnsiTheme="minorEastAsia" w:eastAsiaTheme="minorEastAsia"/>
          <w:sz w:val="30"/>
          <w:szCs w:val="30"/>
        </w:rPr>
        <w:t>的相关奖励规定，按就高不重复原</w:t>
      </w:r>
      <w:r>
        <w:rPr>
          <w:rFonts w:hint="eastAsia" w:cs="仿宋" w:asciiTheme="minorEastAsia" w:hAnsiTheme="minorEastAsia" w:eastAsiaTheme="minorEastAsia"/>
          <w:color w:val="auto"/>
          <w:sz w:val="30"/>
          <w:szCs w:val="30"/>
        </w:rPr>
        <w:t>则进行奖补</w:t>
      </w:r>
      <w:r>
        <w:rPr>
          <w:rFonts w:hint="eastAsia" w:asciiTheme="minorEastAsia" w:hAnsiTheme="minorEastAsia" w:eastAsiaTheme="minorEastAsia"/>
          <w:color w:val="auto"/>
          <w:sz w:val="30"/>
          <w:szCs w:val="30"/>
        </w:rPr>
        <w:t>。（</w:t>
      </w:r>
      <w:r>
        <w:rPr>
          <w:rFonts w:hint="eastAsia" w:asciiTheme="minorEastAsia" w:hAnsiTheme="minorEastAsia" w:eastAsiaTheme="minorEastAsia"/>
          <w:color w:val="auto"/>
          <w:sz w:val="30"/>
          <w:szCs w:val="30"/>
          <w:lang w:eastAsia="zh-CN"/>
        </w:rPr>
        <w:t>市招商和企业服务中心会同</w:t>
      </w:r>
      <w:r>
        <w:rPr>
          <w:rFonts w:hint="eastAsia" w:asciiTheme="minorEastAsia" w:hAnsiTheme="minorEastAsia" w:eastAsiaTheme="minorEastAsia"/>
          <w:color w:val="auto"/>
          <w:sz w:val="30"/>
          <w:szCs w:val="30"/>
        </w:rPr>
        <w:t>市园区管委会牵头负责，市科工商务局、市自然</w:t>
      </w:r>
      <w:r>
        <w:rPr>
          <w:rFonts w:hint="eastAsia" w:asciiTheme="minorEastAsia" w:hAnsiTheme="minorEastAsia" w:eastAsiaTheme="minorEastAsia"/>
          <w:sz w:val="30"/>
          <w:szCs w:val="30"/>
        </w:rPr>
        <w:t>资源局、市发展改革局、市统计局、</w:t>
      </w:r>
      <w:r>
        <w:rPr>
          <w:rFonts w:hint="eastAsia" w:cs="Calibri" w:asciiTheme="minorEastAsia" w:hAnsiTheme="minorEastAsia" w:eastAsiaTheme="minorEastAsia"/>
          <w:sz w:val="30"/>
          <w:szCs w:val="30"/>
          <w:lang w:eastAsia="zh-CN"/>
        </w:rPr>
        <w:t>梅州市生态环境局兴宁分局</w:t>
      </w:r>
      <w:r>
        <w:rPr>
          <w:rFonts w:hint="eastAsia" w:asciiTheme="minorEastAsia" w:hAnsiTheme="minorEastAsia" w:eastAsiaTheme="minorEastAsia"/>
          <w:sz w:val="30"/>
          <w:szCs w:val="30"/>
        </w:rPr>
        <w:t>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第二十八条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贯彻落实广东省主体功能区规划相配套的产业目录，实行差别化供地政策，对本市重点工业企业投资1亿元以上的重大项目、省重点项目及配套产业链关联项目，优先安排相应用地指标。加大土地资源整合力度，积极做好新增建设用地的报批征收，增加工业用地储备，每年应盘活、收储土地500亩以上，其中工业用地面积不少于50%。（市自然</w:t>
      </w:r>
      <w:r>
        <w:rPr>
          <w:rFonts w:hint="eastAsia" w:cs="Calibri" w:asciiTheme="minorEastAsia" w:hAnsiTheme="minorEastAsia" w:eastAsiaTheme="minorEastAsia"/>
          <w:color w:val="auto"/>
          <w:sz w:val="30"/>
          <w:szCs w:val="30"/>
        </w:rPr>
        <w:t>资源局</w:t>
      </w:r>
      <w:r>
        <w:rPr>
          <w:rFonts w:hint="eastAsia" w:cs="Calibri" w:asciiTheme="minorEastAsia" w:hAnsiTheme="minorEastAsia" w:eastAsiaTheme="minorEastAsia"/>
          <w:color w:val="auto"/>
          <w:sz w:val="30"/>
          <w:szCs w:val="30"/>
          <w:lang w:eastAsia="zh-CN"/>
        </w:rPr>
        <w:t>和市园区管委会</w:t>
      </w:r>
      <w:r>
        <w:rPr>
          <w:rFonts w:hint="eastAsia" w:cs="Calibri" w:asciiTheme="minorEastAsia" w:hAnsiTheme="minorEastAsia" w:eastAsiaTheme="minorEastAsia"/>
          <w:color w:val="auto"/>
          <w:sz w:val="30"/>
          <w:szCs w:val="30"/>
        </w:rPr>
        <w:t>牵头</w:t>
      </w:r>
      <w:r>
        <w:rPr>
          <w:rFonts w:hint="eastAsia" w:cs="Calibri" w:asciiTheme="minorEastAsia" w:hAnsiTheme="minorEastAsia" w:eastAsiaTheme="minorEastAsia"/>
          <w:sz w:val="30"/>
          <w:szCs w:val="30"/>
        </w:rPr>
        <w:t>负责，市住房城乡建设局、市发展改革局、市科工商务局、相关镇（街）等配合落实）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第二十九条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凡投资符合国家产业政策、环保要求，属于我省优先发展产业和鼓励发展类项目且符合集约用地要求的本市重点工业企业，在确定土地出让底价时，可按不低于所在地土地等别相对应《全国工业用地出让最低价标准》的70%执行。（市自然资源局牵头负责，市发展改革局、市住房城乡建设局、市财政局、</w:t>
      </w:r>
      <w:r>
        <w:rPr>
          <w:rFonts w:hint="eastAsia" w:cs="Calibri" w:asciiTheme="minorEastAsia" w:hAnsiTheme="minorEastAsia" w:eastAsiaTheme="minorEastAsia"/>
          <w:sz w:val="30"/>
          <w:szCs w:val="30"/>
          <w:lang w:eastAsia="zh-CN"/>
        </w:rPr>
        <w:t>梅州市生态环境局兴宁分局</w:t>
      </w:r>
      <w:r>
        <w:rPr>
          <w:rFonts w:hint="eastAsia" w:cs="Calibri" w:asciiTheme="minorEastAsia" w:hAnsiTheme="minorEastAsia" w:eastAsiaTheme="minorEastAsia"/>
          <w:sz w:val="30"/>
          <w:szCs w:val="30"/>
        </w:rPr>
        <w:t>、市科工商务局等配合落实）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第三十条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在不改变土地用途且符合城乡规划和国家有关标准规定的前提下，本市重点工业企业通过压缩超过法定比例的绿地面积和辅助设施用地，扩大生产性用房、对厂房进行夹层改造、利用地下空间等途径提高建筑系数和工业用地容积率的，不再增收土地价款。（市自然资源局牵头负责，市住房城乡建设局、市财政局、</w:t>
      </w:r>
      <w:r>
        <w:rPr>
          <w:rFonts w:hint="eastAsia" w:cs="Calibri" w:asciiTheme="minorEastAsia" w:hAnsiTheme="minorEastAsia" w:eastAsiaTheme="minorEastAsia"/>
          <w:sz w:val="30"/>
          <w:szCs w:val="30"/>
          <w:lang w:eastAsia="zh-CN"/>
        </w:rPr>
        <w:t>梅州市生态环境局兴宁分局</w:t>
      </w:r>
      <w:r>
        <w:rPr>
          <w:rFonts w:hint="eastAsia" w:cs="Calibri" w:asciiTheme="minorEastAsia" w:hAnsiTheme="minorEastAsia" w:eastAsiaTheme="minorEastAsia"/>
          <w:sz w:val="30"/>
          <w:szCs w:val="30"/>
        </w:rPr>
        <w:t>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第三十一条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实施二、三产业分离，本市重点工业企业利用原有存量土地和房产发展研发设计、咨询策划、信息服务、物流等现代服务业的，在不改变用地主体、不进行重新开发建设前提下，可暂不变更土地用途和补缴地价款。（市自然资源局牵头负责，市住房城乡建设局、市财政局、</w:t>
      </w:r>
      <w:r>
        <w:rPr>
          <w:rFonts w:hint="eastAsia" w:cs="Calibri" w:asciiTheme="minorEastAsia" w:hAnsiTheme="minorEastAsia" w:eastAsiaTheme="minorEastAsia"/>
          <w:sz w:val="30"/>
          <w:szCs w:val="30"/>
          <w:lang w:eastAsia="zh-CN"/>
        </w:rPr>
        <w:t>梅州市生态环境局兴宁分局</w:t>
      </w:r>
      <w:r>
        <w:rPr>
          <w:rFonts w:hint="eastAsia" w:cs="Calibri" w:asciiTheme="minorEastAsia" w:hAnsiTheme="minorEastAsia" w:eastAsiaTheme="minorEastAsia"/>
          <w:sz w:val="30"/>
          <w:szCs w:val="30"/>
        </w:rPr>
        <w:t>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第三十二条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结合城镇空间结构布局及产业发展策略，在符合城乡规划和环保要求的情况下，实体经济企业根据产业发展需要，按法定程序申请可变更土地用途。分期建设的工业项目，不得改变土地用途，不得兴建职工住房。改变工业用途用于经营性用途的，一律由市政府收回土地并重新公开供应（“三旧”改造用地除外）。（市自然资源局牵头负责，市住房城乡建设局、</w:t>
      </w:r>
      <w:r>
        <w:rPr>
          <w:rFonts w:hint="eastAsia" w:cs="Calibri" w:asciiTheme="minorEastAsia" w:hAnsiTheme="minorEastAsia" w:eastAsiaTheme="minorEastAsia"/>
          <w:sz w:val="30"/>
          <w:szCs w:val="30"/>
          <w:lang w:eastAsia="zh-CN"/>
        </w:rPr>
        <w:t>梅州市生态环境局兴宁分局</w:t>
      </w:r>
      <w:r>
        <w:rPr>
          <w:rFonts w:hint="eastAsia" w:cs="Calibri" w:asciiTheme="minorEastAsia" w:hAnsiTheme="minorEastAsia" w:eastAsiaTheme="minorEastAsia"/>
          <w:sz w:val="30"/>
          <w:szCs w:val="30"/>
        </w:rPr>
        <w:t>等配合落实）</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第十一章 育才引智</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第三十三条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实施人才强市发展战略。贯彻落实市委市政府《关于加快人才发展的实施意见》，加强党管人才和重点人才培养，加大人才引进力度、搭建创新创业平台、增强服务保障能力，认真执行市委办市府办关于印发《贯彻落实&lt;关于加快人才发展的实施意见&gt;任务分工方案的通知》，着力培养一支高素质技能人才队伍，为建设“工贸新城·智慧兴宁”，打造梅州副中心城市提供人才队伍智力保障。（市委组织部牵头，市人才工作领导小组成员单位及各镇街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第三十四条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加强人才培养。支持</w:t>
      </w:r>
      <w:r>
        <w:rPr>
          <w:rFonts w:hint="eastAsia" w:cs="Calibri" w:asciiTheme="minorEastAsia" w:hAnsiTheme="minorEastAsia" w:eastAsiaTheme="minorEastAsia"/>
          <w:color w:val="auto"/>
          <w:sz w:val="30"/>
          <w:szCs w:val="30"/>
        </w:rPr>
        <w:t>兴宁市</w:t>
      </w:r>
      <w:r>
        <w:rPr>
          <w:rFonts w:hint="eastAsia" w:cs="Calibri" w:asciiTheme="minorEastAsia" w:hAnsiTheme="minorEastAsia" w:eastAsiaTheme="minorEastAsia"/>
          <w:color w:val="auto"/>
          <w:sz w:val="30"/>
          <w:szCs w:val="30"/>
          <w:lang w:eastAsia="zh-CN"/>
        </w:rPr>
        <w:t>高级</w:t>
      </w:r>
      <w:r>
        <w:rPr>
          <w:rFonts w:hint="eastAsia" w:cs="Calibri" w:asciiTheme="minorEastAsia" w:hAnsiTheme="minorEastAsia" w:eastAsiaTheme="minorEastAsia"/>
          <w:color w:val="auto"/>
          <w:sz w:val="30"/>
          <w:szCs w:val="30"/>
        </w:rPr>
        <w:t>技工学校、</w:t>
      </w:r>
      <w:r>
        <w:rPr>
          <w:rFonts w:hint="eastAsia" w:cs="Calibri" w:asciiTheme="minorEastAsia" w:hAnsiTheme="minorEastAsia" w:eastAsiaTheme="minorEastAsia"/>
          <w:sz w:val="30"/>
          <w:szCs w:val="30"/>
        </w:rPr>
        <w:t>成人中等专业技术学校和梅州市卫生职业技术学校加大招生力度，探索与企业共建培养技能人才的办学制度，加强校企合作，根据实体经济企业需求，有针对性地开展“订单培训”、定向培训，解决企业用工难问题。建立职业学校和培训机构输送学生实习奖励机制，凡一次性组织20名以上学生到本市重点工业企业实习满3个月的（订单式培训除外），按照每名学生100元的标准给予输送单位一次性奖励，并给予每名学生200元的一次性补贴。学生实习期满留在该企业正规就业6个月以上的，再给予其个人1000元的一次性奖励。（市人力资源社会保障局牵头负责，市教育局、市科工商务局、市园区管委会、市财政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第三十五条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加大人才引进力度。积极引导企业加强和高等院校、科研机构的合作，构建良好的产学研合作平台。设立优秀人才奖励基金，对引才、留才、用才取得明显成效的单位及优秀人才给予表彰和奖励。凡在本市重点工业企业对口专业技能岗位（工种）连续正规就业1年以上，且与该企业签订了3年以上劳动合同的具有技师以上职业资格证书的技术人员，按照具有技师职业资格300元/月、具有高级技师职业资格600元/月的标准给予政府补贴，补贴时限累计不超过3年。对我市实体经济企业引进的高层次人才，其子女可在父母工作或居住所在地就近免试入读义务教育公办学校，与当地户籍学生同等享受免费义务教育政策；在我市工业园区投资的企业董事会成员和法定代表、企业中高层管理人员及具有中级以上职称人员的子女，享受本市居民同等待遇，由教育行政部门安排义务教育学校就读。（市人力资源社会保障局牵头负责，市财政局、市教育局、市公安局、市科工商务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第三十六条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支持非公有制企业党建工作。以党建引领民营企业治理，助力企业转型升级，实现高质量发展。</w:t>
      </w:r>
      <w:r>
        <w:rPr>
          <w:rFonts w:hint="eastAsia" w:asciiTheme="minorEastAsia" w:hAnsiTheme="minorEastAsia" w:eastAsiaTheme="minorEastAsia"/>
          <w:sz w:val="30"/>
          <w:szCs w:val="30"/>
        </w:rPr>
        <w:t>把非公有制企业党务工作者纳入全市党员干部教育培训总体规划，组织开展形式多样的培训工作。</w:t>
      </w:r>
      <w:r>
        <w:rPr>
          <w:rFonts w:hint="eastAsia" w:cs="宋体" w:asciiTheme="minorEastAsia" w:hAnsiTheme="minorEastAsia" w:eastAsiaTheme="minorEastAsia"/>
          <w:sz w:val="30"/>
          <w:szCs w:val="30"/>
        </w:rPr>
        <w:t>大力宣传非公有制企业党建工作典型，定期评选表彰先进，形成全社会关注、支持非公有制企业党建工作的良好氛围。（市委组织部牵头落实，市委宣传部、市工商联、</w:t>
      </w:r>
      <w:r>
        <w:rPr>
          <w:rFonts w:hint="eastAsia" w:cs="Calibri" w:asciiTheme="minorEastAsia" w:hAnsiTheme="minorEastAsia" w:eastAsiaTheme="minorEastAsia"/>
          <w:sz w:val="30"/>
          <w:szCs w:val="30"/>
        </w:rPr>
        <w:t>市</w:t>
      </w:r>
      <w:r>
        <w:rPr>
          <w:rFonts w:hint="eastAsia" w:cs="宋体" w:asciiTheme="minorEastAsia" w:hAnsiTheme="minorEastAsia" w:eastAsiaTheme="minorEastAsia"/>
          <w:sz w:val="30"/>
          <w:szCs w:val="30"/>
        </w:rPr>
        <w:t>市场监管局、</w:t>
      </w:r>
      <w:r>
        <w:rPr>
          <w:rFonts w:hint="eastAsia" w:cs="Calibri" w:asciiTheme="minorEastAsia" w:hAnsiTheme="minorEastAsia" w:eastAsiaTheme="minorEastAsia"/>
          <w:sz w:val="30"/>
          <w:szCs w:val="30"/>
        </w:rPr>
        <w:t>市</w:t>
      </w:r>
      <w:r>
        <w:rPr>
          <w:rFonts w:hint="eastAsia" w:cs="宋体" w:asciiTheme="minorEastAsia" w:hAnsiTheme="minorEastAsia" w:eastAsiaTheme="minorEastAsia"/>
          <w:sz w:val="30"/>
          <w:szCs w:val="30"/>
        </w:rPr>
        <w:t>科工商务局等配合落实）</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第十二章 用工支持</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第三十七条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全面落实广东省进一步促进就业政策措施，从稳定政策适度降低社会保险等成本，加大重点用工企业服务力度，帮助困难企业职工稳岗转岗，支持中小微企业吸纳就业，进一步降低企业招工费用、鼓励创业带动就业、激励高校毕业生多渠道就业、加大劳动力技术技能培训力度等方面持续强化用工支持，减轻企业负担，增强企业活力。（市人力资源社会保障局牵头负责，市财政局、市税务局、市医疗保障局、市教育局、市市场监管局、市科工商务局等部门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第三十八条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加强就业服务。发挥公共就业服务机构平台作用，免费为有意愿转移就业的劳动者提供有针对性的公共就业服务、政策法规咨询、岗前就业培训和技能提升培训，引导企业依法规范用工。每年组织大型招聘会。对用工需求在30人以上的企业，组织专场招聘会；需求在30人以下的企业，发布用工信息和开展职业介绍。各镇（街）人社服务平台和职业介绍机构推荐务工人员到本市重点工业企业正规就业6个月以上的，推荐单位每推荐一人给予一次性200元的奖励。（市人力资源社会保障局牵头负责，市财政局、市总工会、市科工商务局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第三十九条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实施用工补贴制度。对本市重点工业企业，新招用梅州市外户籍务工人员正规就业3个月以上的，给予每人每月300元的生活补助（通过劳务派遣的员工，其补贴资金奖补给企业），补贴期限最长不超过1年。（市人力资源社会保障局牵头负责，市财政局、市税务局、市科工商务局等配合落实）</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第十三章 营商环境</w:t>
      </w:r>
    </w:p>
    <w:p>
      <w:pPr>
        <w:pStyle w:val="15"/>
        <w:spacing w:line="360" w:lineRule="auto"/>
        <w:ind w:firstLine="600" w:firstLineChars="200"/>
        <w:jc w:val="both"/>
        <w:rPr>
          <w:rFonts w:asciiTheme="minorEastAsia" w:hAnsiTheme="minorEastAsia" w:eastAsiaTheme="minorEastAsia"/>
          <w:sz w:val="30"/>
          <w:szCs w:val="30"/>
        </w:rPr>
      </w:pPr>
      <w:r>
        <w:rPr>
          <w:rFonts w:hint="eastAsia" w:cs="Calibri" w:asciiTheme="minorEastAsia" w:hAnsiTheme="minorEastAsia" w:eastAsiaTheme="minorEastAsia"/>
          <w:sz w:val="30"/>
          <w:szCs w:val="30"/>
        </w:rPr>
        <w:t>第四十条</w:t>
      </w:r>
      <w:r>
        <w:rPr>
          <w:rFonts w:hint="eastAsia" w:cs="Calibri" w:asciiTheme="minorEastAsia" w:hAnsiTheme="minorEastAsia" w:eastAsiaTheme="minorEastAsia"/>
          <w:sz w:val="30"/>
          <w:szCs w:val="30"/>
          <w:lang w:val="en-US" w:eastAsia="zh-CN"/>
        </w:rPr>
        <w:t xml:space="preserve">  </w:t>
      </w:r>
      <w:r>
        <w:rPr>
          <w:rFonts w:hint="eastAsia" w:asciiTheme="minorEastAsia" w:hAnsiTheme="minorEastAsia" w:eastAsiaTheme="minorEastAsia"/>
          <w:sz w:val="30"/>
          <w:szCs w:val="30"/>
        </w:rPr>
        <w:t>深入推进“放管服”改革工作，进一步提高政务服务质量。深化商事制度、市场综合监管、工程建设项目审批、企业投资管理体制、贸易便利化、法治化营商环境等方面的改革工作，进一步激发市场主体活力，降低实体经济企业市场运行成本，营造一流营商环境。（市委编办、政务服务数据管理局、市场监管局、自然资源局、税务局、发展改革局、住房城乡建设局、</w:t>
      </w:r>
      <w:r>
        <w:rPr>
          <w:rFonts w:hint="eastAsia" w:cs="Calibri" w:asciiTheme="minorEastAsia" w:hAnsiTheme="minorEastAsia" w:eastAsiaTheme="minorEastAsia"/>
          <w:sz w:val="30"/>
          <w:szCs w:val="30"/>
          <w:lang w:eastAsia="zh-CN"/>
        </w:rPr>
        <w:t>梅州市生态环境局兴宁分局</w:t>
      </w:r>
      <w:r>
        <w:rPr>
          <w:rFonts w:hint="eastAsia" w:asciiTheme="minorEastAsia" w:hAnsiTheme="minorEastAsia" w:eastAsiaTheme="minorEastAsia"/>
          <w:sz w:val="30"/>
          <w:szCs w:val="30"/>
        </w:rPr>
        <w:t>、公安局、城市管理和综合执法局、水务局、科工商务局、民政局、政法委、司法局、纪监委、工商联、供电局、人民银行兴宁支行等单位按照《兴宁市深化营商环境综合改革行动方案》的职责分工落实）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第四十一条</w:t>
      </w:r>
      <w:r>
        <w:rPr>
          <w:rFonts w:hint="eastAsia" w:cs="Calibri" w:asciiTheme="minorEastAsia" w:hAnsiTheme="minorEastAsia" w:eastAsiaTheme="minorEastAsia"/>
          <w:sz w:val="30"/>
          <w:szCs w:val="30"/>
          <w:lang w:val="en-US" w:eastAsia="zh-CN"/>
        </w:rPr>
        <w:t xml:space="preserve">  </w:t>
      </w:r>
      <w:r>
        <w:rPr>
          <w:rFonts w:hint="eastAsia" w:asciiTheme="minorEastAsia" w:hAnsiTheme="minorEastAsia" w:eastAsiaTheme="minorEastAsia"/>
          <w:sz w:val="30"/>
          <w:szCs w:val="30"/>
        </w:rPr>
        <w:t>按照工商企业用水、用电同价要求，加快推进</w:t>
      </w:r>
      <w:r>
        <w:rPr>
          <w:rFonts w:hint="eastAsia" w:cs="Calibri" w:asciiTheme="minorEastAsia" w:hAnsiTheme="minorEastAsia" w:eastAsiaTheme="minorEastAsia"/>
          <w:sz w:val="30"/>
          <w:szCs w:val="30"/>
        </w:rPr>
        <w:t>本市重点工业企业</w:t>
      </w:r>
      <w:r>
        <w:rPr>
          <w:rFonts w:hint="eastAsia" w:asciiTheme="minorEastAsia" w:hAnsiTheme="minorEastAsia" w:eastAsiaTheme="minorEastAsia"/>
          <w:sz w:val="30"/>
          <w:szCs w:val="30"/>
        </w:rPr>
        <w:t>中商贸和鼓励类服务业实行与一般工业用水、用电同网同价。对符合条件的厂区员工宿舍用电与厂区生产的工业用电分开核算，厂区员工宿舍用电按居民生活用电计付，工业用水价格按非居民生活用水价格优惠30%计付。</w:t>
      </w:r>
      <w:r>
        <w:rPr>
          <w:rFonts w:hint="eastAsia" w:cs="Calibri" w:asciiTheme="minorEastAsia" w:hAnsiTheme="minorEastAsia" w:eastAsiaTheme="minorEastAsia"/>
          <w:sz w:val="30"/>
          <w:szCs w:val="30"/>
        </w:rPr>
        <w:t>（发展改革局牵头负责，市供电局、市自来水总公司等配合落实）</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第四十二条</w:t>
      </w:r>
      <w:r>
        <w:rPr>
          <w:rFonts w:hint="eastAsia" w:cs="Calibri" w:asciiTheme="minorEastAsia" w:hAnsiTheme="minorEastAsia" w:eastAsiaTheme="minorEastAsia"/>
          <w:sz w:val="30"/>
          <w:szCs w:val="30"/>
          <w:lang w:val="en-US" w:eastAsia="zh-CN"/>
        </w:rPr>
        <w:t xml:space="preserve">  </w:t>
      </w:r>
      <w:r>
        <w:rPr>
          <w:rFonts w:hint="eastAsia" w:asciiTheme="minorEastAsia" w:hAnsiTheme="minorEastAsia" w:eastAsiaTheme="minorEastAsia"/>
          <w:sz w:val="30"/>
          <w:szCs w:val="30"/>
        </w:rPr>
        <w:t>支持</w:t>
      </w:r>
      <w:r>
        <w:rPr>
          <w:rFonts w:hint="eastAsia" w:cs="Calibri" w:asciiTheme="minorEastAsia" w:hAnsiTheme="minorEastAsia" w:eastAsiaTheme="minorEastAsia"/>
          <w:sz w:val="30"/>
          <w:szCs w:val="30"/>
        </w:rPr>
        <w:t>本市重点工业企业</w:t>
      </w:r>
      <w:r>
        <w:rPr>
          <w:rFonts w:hint="eastAsia" w:asciiTheme="minorEastAsia" w:hAnsiTheme="minorEastAsia" w:eastAsiaTheme="minorEastAsia"/>
          <w:sz w:val="30"/>
          <w:szCs w:val="30"/>
        </w:rPr>
        <w:t>因项目需要为符合条件的人员申请办理“一次审批，一年多次有效”的出国（境）任务批件（出访非建交国家、地区及热点敏感国家、地区除外）。</w:t>
      </w:r>
      <w:r>
        <w:rPr>
          <w:rFonts w:hint="eastAsia" w:cs="Calibri" w:asciiTheme="minorEastAsia" w:hAnsiTheme="minorEastAsia" w:eastAsiaTheme="minorEastAsia"/>
          <w:sz w:val="30"/>
          <w:szCs w:val="30"/>
        </w:rPr>
        <w:t>（外事局牵头负责，政务服务数据管理局、公安局等配合落实）</w:t>
      </w:r>
    </w:p>
    <w:p>
      <w:pPr>
        <w:pStyle w:val="15"/>
        <w:spacing w:line="360" w:lineRule="auto"/>
        <w:ind w:firstLine="600" w:firstLineChars="200"/>
        <w:jc w:val="both"/>
        <w:rPr>
          <w:rFonts w:asciiTheme="minorEastAsia" w:hAnsiTheme="minorEastAsia" w:eastAsiaTheme="minorEastAsia"/>
          <w:sz w:val="30"/>
          <w:szCs w:val="30"/>
        </w:rPr>
      </w:pPr>
      <w:r>
        <w:rPr>
          <w:rFonts w:hint="eastAsia" w:cs="Calibri" w:asciiTheme="minorEastAsia" w:hAnsiTheme="minorEastAsia" w:eastAsiaTheme="minorEastAsia"/>
          <w:sz w:val="30"/>
          <w:szCs w:val="30"/>
        </w:rPr>
        <w:t>第四十三条</w:t>
      </w:r>
      <w:r>
        <w:rPr>
          <w:rFonts w:hint="eastAsia" w:cs="Calibri"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构建亲清新型政商环境。</w:t>
      </w:r>
      <w:r>
        <w:rPr>
          <w:rFonts w:hint="eastAsia" w:asciiTheme="minorEastAsia" w:hAnsiTheme="minorEastAsia" w:eastAsiaTheme="minorEastAsia"/>
          <w:sz w:val="30"/>
          <w:szCs w:val="30"/>
        </w:rPr>
        <w:t>坚持团结、服务、引导、教育的方针, 促进非公有制经济健康发展和非公有制经济人士健康成长，积极作为、靠前服务，帮助企业解决实际困难，引导非公有制经济人士特别是年轻一代致富思源、富而思进，做到爱国、敬业、创新、守法、诚信、贡献。（工商联牵头会同政府各职能部门落实）</w:t>
      </w:r>
    </w:p>
    <w:p>
      <w:pPr>
        <w:pStyle w:val="15"/>
        <w:spacing w:beforeLines="100" w:afterLines="100"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第十四章 附则</w:t>
      </w:r>
    </w:p>
    <w:p>
      <w:pPr>
        <w:pStyle w:val="15"/>
        <w:spacing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第四十四条</w:t>
      </w:r>
      <w:r>
        <w:rPr>
          <w:rFonts w:hint="eastAsia" w:asciiTheme="minorEastAsia" w:hAnsiTheme="minorEastAsia" w:eastAsiaTheme="minorEastAsia"/>
          <w:sz w:val="30"/>
          <w:szCs w:val="30"/>
          <w:lang w:val="en-US" w:eastAsia="zh-CN"/>
        </w:rPr>
        <w:t xml:space="preserve">  </w:t>
      </w:r>
      <w:r>
        <w:rPr>
          <w:rFonts w:hint="eastAsia" w:asciiTheme="minorEastAsia" w:hAnsiTheme="minorEastAsia" w:eastAsiaTheme="minorEastAsia"/>
          <w:sz w:val="30"/>
          <w:szCs w:val="30"/>
        </w:rPr>
        <w:t>由市实体经济发展工作协调机构定期研究并协调解决全市实体经济发展过程中的重大问题，全面贯彻落实上级各项涉企优惠政策，指导相关职能部门制定相应的实施办法或工作方案，督促抓好落实。（市委办会同市府办牵头落实，其他职能部门配合）</w:t>
      </w:r>
    </w:p>
    <w:p>
      <w:pPr>
        <w:pStyle w:val="15"/>
        <w:spacing w:line="360" w:lineRule="auto"/>
        <w:ind w:firstLine="600" w:firstLineChars="200"/>
        <w:jc w:val="both"/>
        <w:rPr>
          <w:rFonts w:asciiTheme="minorEastAsia" w:hAnsiTheme="minorEastAsia" w:eastAsiaTheme="minorEastAsia"/>
          <w:sz w:val="30"/>
          <w:szCs w:val="30"/>
        </w:rPr>
      </w:pPr>
      <w:r>
        <w:rPr>
          <w:rFonts w:hint="eastAsia" w:asciiTheme="minorEastAsia" w:hAnsiTheme="minorEastAsia" w:eastAsiaTheme="minorEastAsia"/>
          <w:sz w:val="30"/>
          <w:szCs w:val="30"/>
        </w:rPr>
        <w:t>第四十五条</w:t>
      </w:r>
      <w:r>
        <w:rPr>
          <w:rFonts w:hint="eastAsia" w:asciiTheme="minorEastAsia" w:hAnsiTheme="minorEastAsia" w:eastAsiaTheme="minorEastAsia"/>
          <w:sz w:val="30"/>
          <w:szCs w:val="30"/>
          <w:lang w:val="en-US" w:eastAsia="zh-CN"/>
        </w:rPr>
        <w:t xml:space="preserve">  </w:t>
      </w:r>
      <w:r>
        <w:rPr>
          <w:rFonts w:hint="eastAsia" w:asciiTheme="minorEastAsia" w:hAnsiTheme="minorEastAsia" w:eastAsiaTheme="minorEastAsia"/>
          <w:sz w:val="30"/>
          <w:szCs w:val="30"/>
        </w:rPr>
        <w:t>各职能部门在每年3月之前，</w:t>
      </w:r>
      <w:r>
        <w:rPr>
          <w:rFonts w:hint="eastAsia" w:cs="Calibri" w:asciiTheme="minorEastAsia" w:hAnsiTheme="minorEastAsia" w:eastAsiaTheme="minorEastAsia"/>
          <w:sz w:val="30"/>
          <w:szCs w:val="30"/>
        </w:rPr>
        <w:t>负责在政府政务网站公开扶持奖励的申报指南，</w:t>
      </w:r>
      <w:r>
        <w:rPr>
          <w:rFonts w:hint="eastAsia" w:asciiTheme="minorEastAsia" w:hAnsiTheme="minorEastAsia" w:eastAsiaTheme="minorEastAsia"/>
          <w:sz w:val="30"/>
          <w:szCs w:val="30"/>
        </w:rPr>
        <w:t>组织上年度涉及相关奖励的企业进行申报，出具初审意见后报财政局汇总统一报送市政府审批，同时报送专题工作报告。</w:t>
      </w:r>
    </w:p>
    <w:p>
      <w:pPr>
        <w:pStyle w:val="15"/>
        <w:spacing w:line="360" w:lineRule="auto"/>
        <w:ind w:firstLine="600" w:firstLineChars="200"/>
        <w:jc w:val="both"/>
        <w:rPr>
          <w:rFonts w:hint="eastAsia" w:cs="Calibri" w:asciiTheme="minorEastAsia" w:hAnsiTheme="minorEastAsia" w:eastAsiaTheme="minorEastAsia"/>
          <w:sz w:val="30"/>
          <w:szCs w:val="30"/>
        </w:rPr>
      </w:pPr>
      <w:r>
        <w:rPr>
          <w:rFonts w:hint="eastAsia" w:asciiTheme="minorEastAsia" w:hAnsiTheme="minorEastAsia" w:eastAsiaTheme="minorEastAsia"/>
          <w:sz w:val="30"/>
          <w:szCs w:val="30"/>
        </w:rPr>
        <w:t>第四十六条</w:t>
      </w:r>
      <w:r>
        <w:rPr>
          <w:rFonts w:hint="eastAsia"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本措施扶持对象为兴宁市辖区内实体经济企业（措施中另有标明的对象除外），被扶持的企业必须同时符合如下条件：注册地在兴宁，具有独立法人资格，纳税在兴宁市，符合国家产业政策和产业发展导向，依法依规生产经营。扶持资金可用于企业发展、生产经营等开支，不得用于工资福利、接待等支出。</w:t>
      </w:r>
    </w:p>
    <w:p>
      <w:pPr>
        <w:pStyle w:val="15"/>
        <w:spacing w:line="360" w:lineRule="auto"/>
        <w:ind w:firstLine="600" w:firstLineChars="200"/>
        <w:jc w:val="both"/>
        <w:rPr>
          <w:rFonts w:hint="eastAsia" w:cs="Calibri" w:asciiTheme="minorEastAsia" w:hAnsiTheme="minorEastAsia" w:eastAsiaTheme="minorEastAsia"/>
          <w:sz w:val="30"/>
          <w:szCs w:val="30"/>
          <w:lang w:eastAsia="zh-CN"/>
        </w:rPr>
      </w:pPr>
      <w:r>
        <w:rPr>
          <w:rFonts w:hint="eastAsia" w:asciiTheme="minorEastAsia" w:hAnsiTheme="minorEastAsia" w:eastAsiaTheme="minorEastAsia"/>
          <w:sz w:val="30"/>
          <w:szCs w:val="30"/>
        </w:rPr>
        <w:t>第四十七条</w:t>
      </w:r>
      <w:r>
        <w:rPr>
          <w:rFonts w:hint="eastAsia" w:asciiTheme="minorEastAsia" w:hAnsiTheme="minorEastAsia" w:eastAsiaTheme="minorEastAsia"/>
          <w:sz w:val="30"/>
          <w:szCs w:val="30"/>
          <w:lang w:val="en-US" w:eastAsia="zh-CN"/>
        </w:rPr>
        <w:t xml:space="preserve"> </w:t>
      </w:r>
      <w:r>
        <w:rPr>
          <w:rFonts w:hint="eastAsia" w:asciiTheme="minorEastAsia" w:hAnsiTheme="minorEastAsia" w:eastAsiaTheme="minorEastAsia"/>
          <w:color w:val="auto"/>
          <w:sz w:val="30"/>
          <w:szCs w:val="30"/>
          <w:lang w:val="en-US" w:eastAsia="zh-CN"/>
        </w:rPr>
        <w:t xml:space="preserve"> </w:t>
      </w:r>
      <w:r>
        <w:rPr>
          <w:rFonts w:hint="eastAsia" w:cs="Calibri" w:asciiTheme="minorEastAsia" w:hAnsiTheme="minorEastAsia" w:eastAsiaTheme="minorEastAsia"/>
          <w:color w:val="auto"/>
          <w:sz w:val="30"/>
          <w:szCs w:val="30"/>
          <w:lang w:eastAsia="zh-CN"/>
        </w:rPr>
        <w:t>扶持奖励企业需信用状况良好，如企业当年度发生侵权、欺诈、商业贿赂、较大安全事故、环保事故、产品质量事故等情形，取消当年度享受扶持政策</w:t>
      </w:r>
      <w:r>
        <w:rPr>
          <w:rFonts w:hint="eastAsia" w:cs="Calibri" w:asciiTheme="minorEastAsia" w:hAnsiTheme="minorEastAsia" w:eastAsiaTheme="minorEastAsia"/>
          <w:sz w:val="30"/>
          <w:szCs w:val="30"/>
          <w:lang w:eastAsia="zh-CN"/>
        </w:rPr>
        <w:t>的资格。对“以虚假资料等骗取扶持资金的”将依法追回扶持资金；涉嫌违法犯罪的，移送司法机关处理。</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asciiTheme="minorEastAsia" w:hAnsiTheme="minorEastAsia" w:eastAsiaTheme="minorEastAsia"/>
          <w:sz w:val="30"/>
          <w:szCs w:val="30"/>
        </w:rPr>
        <w:t>第四十</w:t>
      </w:r>
      <w:r>
        <w:rPr>
          <w:rFonts w:hint="eastAsia" w:asciiTheme="minorEastAsia" w:hAnsiTheme="minorEastAsia" w:eastAsiaTheme="minorEastAsia"/>
          <w:sz w:val="30"/>
          <w:szCs w:val="30"/>
          <w:lang w:eastAsia="zh-CN"/>
        </w:rPr>
        <w:t>八</w:t>
      </w:r>
      <w:r>
        <w:rPr>
          <w:rFonts w:hint="eastAsia" w:asciiTheme="minorEastAsia" w:hAnsiTheme="minorEastAsia" w:eastAsiaTheme="minorEastAsia"/>
          <w:sz w:val="30"/>
          <w:szCs w:val="30"/>
        </w:rPr>
        <w:t>条</w:t>
      </w:r>
      <w:r>
        <w:rPr>
          <w:rFonts w:hint="eastAsia"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相关名词解释</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（一）“机器人”，是指在工业制造业企业中使用的、固定式或移动式、具有三轴及三轴以上可重复编程、多用途的自动控制操作机以及工厂用AGV运输车。</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（二）“规模以上工业企业”，是指</w:t>
      </w:r>
      <w:r>
        <w:rPr>
          <w:rFonts w:cs="Calibri" w:asciiTheme="minorEastAsia" w:hAnsiTheme="minorEastAsia" w:eastAsiaTheme="minorEastAsia"/>
          <w:sz w:val="30"/>
          <w:szCs w:val="30"/>
        </w:rPr>
        <w:t>年主营业务收入在2000万元</w:t>
      </w:r>
      <w:r>
        <w:rPr>
          <w:rFonts w:hint="eastAsia" w:cs="Calibri" w:asciiTheme="minorEastAsia" w:hAnsiTheme="minorEastAsia" w:eastAsiaTheme="minorEastAsia"/>
          <w:sz w:val="30"/>
          <w:szCs w:val="30"/>
        </w:rPr>
        <w:t>及</w:t>
      </w:r>
      <w:r>
        <w:rPr>
          <w:rFonts w:cs="Calibri" w:asciiTheme="minorEastAsia" w:hAnsiTheme="minorEastAsia" w:eastAsiaTheme="minorEastAsia"/>
          <w:sz w:val="30"/>
          <w:szCs w:val="30"/>
        </w:rPr>
        <w:t>以上</w:t>
      </w:r>
      <w:r>
        <w:rPr>
          <w:rFonts w:hint="eastAsia" w:cs="Calibri" w:asciiTheme="minorEastAsia" w:hAnsiTheme="minorEastAsia" w:eastAsiaTheme="minorEastAsia"/>
          <w:sz w:val="30"/>
          <w:szCs w:val="30"/>
        </w:rPr>
        <w:t>，纳入国家统计范围</w:t>
      </w:r>
      <w:r>
        <w:rPr>
          <w:rFonts w:cs="Calibri" w:asciiTheme="minorEastAsia" w:hAnsiTheme="minorEastAsia" w:eastAsiaTheme="minorEastAsia"/>
          <w:sz w:val="30"/>
          <w:szCs w:val="30"/>
        </w:rPr>
        <w:t>的工业企业</w:t>
      </w:r>
      <w:r>
        <w:rPr>
          <w:rFonts w:hint="eastAsia" w:cs="Calibri" w:asciiTheme="minorEastAsia" w:hAnsiTheme="minorEastAsia" w:eastAsiaTheme="minorEastAsia"/>
          <w:sz w:val="30"/>
          <w:szCs w:val="30"/>
        </w:rPr>
        <w:t>。</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（三）“限额以上批发零售企业”，是指</w:t>
      </w:r>
      <w:r>
        <w:rPr>
          <w:rFonts w:cs="Calibri" w:asciiTheme="minorEastAsia" w:hAnsiTheme="minorEastAsia" w:eastAsiaTheme="minorEastAsia"/>
          <w:sz w:val="30"/>
          <w:szCs w:val="30"/>
        </w:rPr>
        <w:t>年主营业务收入2000万元及以上</w:t>
      </w:r>
      <w:r>
        <w:rPr>
          <w:rFonts w:hint="eastAsia" w:cs="Calibri" w:asciiTheme="minorEastAsia" w:hAnsiTheme="minorEastAsia" w:eastAsiaTheme="minorEastAsia"/>
          <w:sz w:val="30"/>
          <w:szCs w:val="30"/>
        </w:rPr>
        <w:t>的批发企业和</w:t>
      </w:r>
      <w:r>
        <w:rPr>
          <w:rFonts w:cs="Calibri" w:asciiTheme="minorEastAsia" w:hAnsiTheme="minorEastAsia" w:eastAsiaTheme="minorEastAsia"/>
          <w:sz w:val="30"/>
          <w:szCs w:val="30"/>
        </w:rPr>
        <w:t>年主营业务收入500万元及以上</w:t>
      </w:r>
      <w:r>
        <w:rPr>
          <w:rFonts w:hint="eastAsia" w:cs="Calibri" w:asciiTheme="minorEastAsia" w:hAnsiTheme="minorEastAsia" w:eastAsiaTheme="minorEastAsia"/>
          <w:sz w:val="30"/>
          <w:szCs w:val="30"/>
        </w:rPr>
        <w:t>的零售企业，纳入国家统计范围的贸易企业。“限额以上餐饮住宿企业”，是指</w:t>
      </w:r>
      <w:r>
        <w:rPr>
          <w:rFonts w:cs="Calibri" w:asciiTheme="minorEastAsia" w:hAnsiTheme="minorEastAsia" w:eastAsiaTheme="minorEastAsia"/>
          <w:sz w:val="30"/>
          <w:szCs w:val="30"/>
        </w:rPr>
        <w:t>年主营业务收入200万元及以上</w:t>
      </w:r>
      <w:r>
        <w:rPr>
          <w:rFonts w:hint="eastAsia" w:cs="Calibri" w:asciiTheme="minorEastAsia" w:hAnsiTheme="minorEastAsia" w:eastAsiaTheme="minorEastAsia"/>
          <w:sz w:val="30"/>
          <w:szCs w:val="30"/>
        </w:rPr>
        <w:t>的餐饮业、住宿业，纳入国家统计范围的贸易企业</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（四）“本市重点工业企业”，</w:t>
      </w:r>
      <w:r>
        <w:rPr>
          <w:rFonts w:hint="eastAsia" w:cs="Calibri" w:asciiTheme="minorEastAsia" w:hAnsiTheme="minorEastAsia" w:eastAsiaTheme="minorEastAsia"/>
          <w:sz w:val="30"/>
          <w:szCs w:val="30"/>
          <w:lang w:eastAsia="zh-CN"/>
        </w:rPr>
        <w:t>是</w:t>
      </w:r>
      <w:r>
        <w:rPr>
          <w:rFonts w:hint="eastAsia" w:cs="Calibri" w:asciiTheme="minorEastAsia" w:hAnsiTheme="minorEastAsia" w:eastAsiaTheme="minorEastAsia"/>
          <w:sz w:val="30"/>
          <w:szCs w:val="30"/>
        </w:rPr>
        <w:t>指注册、纳税均在兴宁，用工人数在100人以上、上年度入库税金200万元以上的工业企业。</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cs="Calibri" w:asciiTheme="minorEastAsia" w:hAnsiTheme="minorEastAsia" w:eastAsiaTheme="minorEastAsia"/>
          <w:sz w:val="30"/>
          <w:szCs w:val="30"/>
        </w:rPr>
        <w:t>（五）“正规就业”，</w:t>
      </w:r>
      <w:r>
        <w:rPr>
          <w:rFonts w:hint="eastAsia" w:cs="Calibri" w:asciiTheme="minorEastAsia" w:hAnsiTheme="minorEastAsia" w:eastAsiaTheme="minorEastAsia"/>
          <w:sz w:val="30"/>
          <w:szCs w:val="30"/>
          <w:lang w:eastAsia="zh-CN"/>
        </w:rPr>
        <w:t>是</w:t>
      </w:r>
      <w:r>
        <w:rPr>
          <w:rFonts w:hint="eastAsia" w:cs="Calibri" w:asciiTheme="minorEastAsia" w:hAnsiTheme="minorEastAsia" w:eastAsiaTheme="minorEastAsia"/>
          <w:sz w:val="30"/>
          <w:szCs w:val="30"/>
        </w:rPr>
        <w:t>指企业与劳动者签订劳动合同、办理就业登记并缴交社会保险。</w:t>
      </w:r>
    </w:p>
    <w:p>
      <w:pPr>
        <w:pStyle w:val="15"/>
        <w:spacing w:line="360" w:lineRule="auto"/>
        <w:ind w:firstLine="600" w:firstLineChars="200"/>
        <w:jc w:val="both"/>
        <w:rPr>
          <w:rFonts w:hint="eastAsia" w:cs="Calibri" w:asciiTheme="minorEastAsia" w:hAnsiTheme="minorEastAsia" w:eastAsiaTheme="minorEastAsia"/>
          <w:sz w:val="30"/>
          <w:szCs w:val="30"/>
        </w:rPr>
      </w:pPr>
      <w:r>
        <w:rPr>
          <w:rFonts w:hint="eastAsia" w:cs="Calibri" w:asciiTheme="minorEastAsia" w:hAnsiTheme="minorEastAsia" w:eastAsiaTheme="minorEastAsia"/>
          <w:sz w:val="30"/>
          <w:szCs w:val="30"/>
        </w:rPr>
        <w:t>（六）“本级财政贡献量”</w:t>
      </w:r>
      <w:r>
        <w:rPr>
          <w:rFonts w:hint="eastAsia" w:cs="Calibri" w:asciiTheme="minorEastAsia" w:hAnsiTheme="minorEastAsia" w:eastAsiaTheme="minorEastAsia"/>
          <w:sz w:val="30"/>
          <w:szCs w:val="30"/>
          <w:lang w:eastAsia="zh-CN"/>
        </w:rPr>
        <w:t>，</w:t>
      </w:r>
      <w:r>
        <w:rPr>
          <w:rFonts w:hint="eastAsia" w:cs="Calibri" w:asciiTheme="minorEastAsia" w:hAnsiTheme="minorEastAsia" w:eastAsiaTheme="minorEastAsia"/>
          <w:sz w:val="30"/>
          <w:szCs w:val="30"/>
        </w:rPr>
        <w:t>是指企业在我市年度实际缴纳本地入库的增值税和企业所得税等地方留成部份。</w:t>
      </w:r>
    </w:p>
    <w:p>
      <w:pPr>
        <w:pStyle w:val="15"/>
        <w:spacing w:line="360" w:lineRule="auto"/>
        <w:ind w:firstLine="600" w:firstLineChars="200"/>
        <w:jc w:val="both"/>
        <w:rPr>
          <w:rFonts w:hint="eastAsia" w:cs="Calibri" w:asciiTheme="minorEastAsia" w:hAnsiTheme="minorEastAsia" w:eastAsiaTheme="minorEastAsia"/>
          <w:color w:val="auto"/>
          <w:sz w:val="30"/>
          <w:szCs w:val="30"/>
          <w:lang w:eastAsia="zh-CN"/>
        </w:rPr>
      </w:pPr>
      <w:r>
        <w:rPr>
          <w:rFonts w:hint="eastAsia" w:cs="Calibri" w:asciiTheme="minorEastAsia" w:hAnsiTheme="minorEastAsia" w:eastAsiaTheme="minorEastAsia"/>
          <w:color w:val="auto"/>
          <w:sz w:val="30"/>
          <w:szCs w:val="30"/>
          <w:lang w:eastAsia="zh-CN"/>
        </w:rPr>
        <w:t>（七）“标准地”，是指</w:t>
      </w:r>
      <w:r>
        <w:rPr>
          <w:rFonts w:hint="eastAsia" w:cs="Calibri" w:asciiTheme="minorEastAsia" w:hAnsiTheme="minorEastAsia" w:eastAsiaTheme="minorEastAsia"/>
          <w:color w:val="auto"/>
          <w:sz w:val="30"/>
          <w:szCs w:val="30"/>
        </w:rPr>
        <w:t>在完成区域评估的基础上，对国土空间规划（现阶段为土地利用总体规划和城乡规划）确定为工业用途的国有建设用地，明确亩均投资强度、亩均税收、容积率、环境标准等控制性指标作为“标准”的拟出让宗地，即带着建设规划、能耗、环境、投资强度、亩产税收等一系列标准进行出让的建设用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Calibri" w:asciiTheme="minorEastAsia" w:hAnsiTheme="minorEastAsia" w:eastAsiaTheme="minorEastAsia"/>
          <w:sz w:val="30"/>
          <w:szCs w:val="30"/>
          <w:lang w:val="en-US" w:eastAsia="zh-CN" w:bidi="ar-SA"/>
        </w:rPr>
      </w:pPr>
      <w:r>
        <w:rPr>
          <w:rFonts w:hint="eastAsia" w:cs="Calibri" w:asciiTheme="minorEastAsia" w:hAnsiTheme="minorEastAsia" w:eastAsiaTheme="minorEastAsia"/>
          <w:color w:val="auto"/>
          <w:sz w:val="30"/>
          <w:szCs w:val="30"/>
        </w:rPr>
        <w:t xml:space="preserve"> </w:t>
      </w:r>
      <w:r>
        <w:rPr>
          <w:rFonts w:hint="eastAsia" w:cs="Calibri" w:asciiTheme="minorEastAsia" w:hAnsiTheme="minorEastAsia" w:eastAsiaTheme="minorEastAsia"/>
          <w:color w:val="auto"/>
          <w:sz w:val="30"/>
          <w:szCs w:val="30"/>
          <w:lang w:val="en-US" w:eastAsia="zh-CN"/>
        </w:rPr>
        <w:t xml:space="preserve">   </w:t>
      </w:r>
      <w:r>
        <w:rPr>
          <w:rFonts w:hint="eastAsia" w:cs="Calibri" w:asciiTheme="minorEastAsia" w:hAnsiTheme="minorEastAsia" w:eastAsiaTheme="minorEastAsia"/>
          <w:color w:val="auto"/>
          <w:sz w:val="30"/>
          <w:szCs w:val="30"/>
          <w:lang w:eastAsia="zh-CN"/>
        </w:rPr>
        <w:t>（八）</w:t>
      </w:r>
      <w:r>
        <w:rPr>
          <w:rFonts w:hint="eastAsia" w:cs="Calibri" w:asciiTheme="minorEastAsia" w:hAnsiTheme="minorEastAsia" w:eastAsiaTheme="minorEastAsia"/>
          <w:color w:val="auto"/>
          <w:sz w:val="30"/>
          <w:szCs w:val="30"/>
        </w:rPr>
        <w:t>本措施中的“以上</w:t>
      </w:r>
      <w:r>
        <w:rPr>
          <w:rFonts w:hint="eastAsia" w:cs="Calibri" w:asciiTheme="minorEastAsia" w:hAnsiTheme="minorEastAsia" w:eastAsiaTheme="minorEastAsia"/>
          <w:sz w:val="30"/>
          <w:szCs w:val="30"/>
        </w:rPr>
        <w:t>”包含本数，“</w:t>
      </w:r>
      <w:r>
        <w:rPr>
          <w:rFonts w:hint="eastAsia" w:ascii="宋体" w:hAnsi="宋体" w:eastAsia="宋体" w:cs="Calibri"/>
          <w:sz w:val="30"/>
          <w:szCs w:val="30"/>
        </w:rPr>
        <w:t>以下”不包含本数</w:t>
      </w:r>
      <w:r>
        <w:rPr>
          <w:rFonts w:hint="eastAsia" w:cs="Calibri" w:asciiTheme="minorEastAsia" w:hAnsiTheme="minorEastAsia" w:eastAsiaTheme="minorEastAsia"/>
          <w:sz w:val="30"/>
          <w:szCs w:val="30"/>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cs="Calibri" w:asciiTheme="minorEastAsia" w:hAnsiTheme="minorEastAsia" w:eastAsiaTheme="minorEastAsia"/>
          <w:sz w:val="30"/>
          <w:szCs w:val="30"/>
          <w:lang w:val="en-US" w:eastAsia="zh-CN" w:bidi="ar-SA"/>
        </w:rPr>
      </w:pPr>
      <w:r>
        <w:rPr>
          <w:rFonts w:hint="eastAsia" w:cs="Calibri" w:asciiTheme="minorEastAsia" w:hAnsiTheme="minorEastAsia" w:eastAsiaTheme="minorEastAsia"/>
          <w:sz w:val="30"/>
          <w:szCs w:val="30"/>
          <w:lang w:val="en-US" w:eastAsia="zh-CN" w:bidi="ar-SA"/>
        </w:rPr>
        <w:t>　　（九）本措施所称“元”，指人民币，文中有特别说明的除外。</w:t>
      </w:r>
    </w:p>
    <w:p>
      <w:pPr>
        <w:pStyle w:val="15"/>
        <w:spacing w:line="360" w:lineRule="auto"/>
        <w:ind w:firstLine="600" w:firstLineChars="200"/>
        <w:jc w:val="both"/>
        <w:rPr>
          <w:rFonts w:cs="Calibri" w:asciiTheme="minorEastAsia" w:hAnsiTheme="minorEastAsia" w:eastAsiaTheme="minorEastAsia"/>
          <w:sz w:val="30"/>
          <w:szCs w:val="30"/>
        </w:rPr>
      </w:pPr>
      <w:r>
        <w:rPr>
          <w:rFonts w:hint="eastAsia" w:asciiTheme="minorEastAsia" w:hAnsiTheme="minorEastAsia" w:eastAsiaTheme="minorEastAsia"/>
          <w:sz w:val="30"/>
          <w:szCs w:val="30"/>
        </w:rPr>
        <w:t>第四十</w:t>
      </w:r>
      <w:r>
        <w:rPr>
          <w:rFonts w:hint="eastAsia" w:asciiTheme="minorEastAsia" w:hAnsiTheme="minorEastAsia" w:eastAsiaTheme="minorEastAsia"/>
          <w:sz w:val="30"/>
          <w:szCs w:val="30"/>
          <w:lang w:eastAsia="zh-CN"/>
        </w:rPr>
        <w:t>九</w:t>
      </w:r>
      <w:r>
        <w:rPr>
          <w:rFonts w:hint="eastAsia" w:asciiTheme="minorEastAsia" w:hAnsiTheme="minorEastAsia" w:eastAsiaTheme="minorEastAsia"/>
          <w:sz w:val="30"/>
          <w:szCs w:val="30"/>
        </w:rPr>
        <w:t>条</w:t>
      </w:r>
      <w:r>
        <w:rPr>
          <w:rFonts w:hint="eastAsia" w:asciiTheme="minorEastAsia" w:hAnsiTheme="minorEastAsia" w:eastAsiaTheme="minorEastAsia"/>
          <w:sz w:val="30"/>
          <w:szCs w:val="30"/>
          <w:lang w:val="en-US" w:eastAsia="zh-CN"/>
        </w:rPr>
        <w:t xml:space="preserve">  </w:t>
      </w:r>
      <w:r>
        <w:rPr>
          <w:rFonts w:hint="eastAsia" w:cs="Calibri" w:asciiTheme="minorEastAsia" w:hAnsiTheme="minorEastAsia" w:eastAsiaTheme="minorEastAsia"/>
          <w:sz w:val="30"/>
          <w:szCs w:val="30"/>
        </w:rPr>
        <w:t>本措施中的奖补资金按同一事项就高不重复原则进行奖补。</w:t>
      </w:r>
    </w:p>
    <w:p>
      <w:pPr>
        <w:pStyle w:val="15"/>
        <w:spacing w:line="360" w:lineRule="auto"/>
        <w:ind w:firstLine="600" w:firstLineChars="200"/>
        <w:jc w:val="both"/>
        <w:rPr>
          <w:rFonts w:cs="Calibri" w:asciiTheme="minorEastAsia" w:hAnsiTheme="minorEastAsia" w:eastAsiaTheme="minorEastAsia"/>
          <w:color w:val="auto"/>
          <w:sz w:val="30"/>
          <w:szCs w:val="30"/>
          <w:lang w:val="en-US"/>
        </w:rPr>
      </w:pPr>
      <w:r>
        <w:rPr>
          <w:rFonts w:hint="eastAsia" w:asciiTheme="minorEastAsia" w:hAnsiTheme="minorEastAsia" w:eastAsiaTheme="minorEastAsia"/>
          <w:sz w:val="30"/>
          <w:szCs w:val="30"/>
        </w:rPr>
        <w:t>第</w:t>
      </w:r>
      <w:r>
        <w:rPr>
          <w:rFonts w:hint="eastAsia" w:asciiTheme="minorEastAsia" w:hAnsiTheme="minorEastAsia" w:eastAsiaTheme="minorEastAsia"/>
          <w:sz w:val="30"/>
          <w:szCs w:val="30"/>
          <w:lang w:eastAsia="zh-CN"/>
        </w:rPr>
        <w:t>五</w:t>
      </w:r>
      <w:r>
        <w:rPr>
          <w:rFonts w:hint="eastAsia" w:asciiTheme="minorEastAsia" w:hAnsiTheme="minorEastAsia" w:eastAsiaTheme="minorEastAsia"/>
          <w:color w:val="auto"/>
          <w:sz w:val="30"/>
          <w:szCs w:val="30"/>
        </w:rPr>
        <w:t>十条</w:t>
      </w:r>
      <w:r>
        <w:rPr>
          <w:rFonts w:hint="eastAsia" w:asciiTheme="minorEastAsia" w:hAnsiTheme="minorEastAsia" w:eastAsiaTheme="minorEastAsia"/>
          <w:color w:val="auto"/>
          <w:sz w:val="30"/>
          <w:szCs w:val="30"/>
          <w:lang w:val="en-US" w:eastAsia="zh-CN"/>
        </w:rPr>
        <w:t xml:space="preserve">  </w:t>
      </w:r>
      <w:r>
        <w:rPr>
          <w:rFonts w:hint="eastAsia" w:cs="Calibri" w:asciiTheme="minorEastAsia" w:hAnsiTheme="minorEastAsia" w:eastAsiaTheme="minorEastAsia"/>
          <w:color w:val="auto"/>
          <w:sz w:val="30"/>
          <w:szCs w:val="30"/>
        </w:rPr>
        <w:t>本措施自</w:t>
      </w:r>
      <w:r>
        <w:rPr>
          <w:rFonts w:hint="eastAsia" w:cs="Calibri" w:asciiTheme="minorEastAsia" w:hAnsiTheme="minorEastAsia" w:eastAsiaTheme="minorEastAsia"/>
          <w:color w:val="auto"/>
          <w:sz w:val="30"/>
          <w:szCs w:val="30"/>
          <w:lang w:eastAsia="zh-CN"/>
        </w:rPr>
        <w:t>发布之日起</w:t>
      </w:r>
      <w:r>
        <w:rPr>
          <w:rFonts w:hint="eastAsia" w:cs="Calibri" w:asciiTheme="minorEastAsia" w:hAnsiTheme="minorEastAsia" w:eastAsiaTheme="minorEastAsia"/>
          <w:color w:val="auto"/>
          <w:sz w:val="30"/>
          <w:szCs w:val="30"/>
          <w:lang w:val="en-US" w:eastAsia="zh-CN"/>
        </w:rPr>
        <w:t>30日后</w:t>
      </w:r>
      <w:r>
        <w:rPr>
          <w:rFonts w:hint="eastAsia" w:cs="Calibri" w:asciiTheme="minorEastAsia" w:hAnsiTheme="minorEastAsia" w:eastAsiaTheme="minorEastAsia"/>
          <w:color w:val="auto"/>
          <w:sz w:val="30"/>
          <w:szCs w:val="30"/>
          <w:lang w:eastAsia="zh-CN"/>
        </w:rPr>
        <w:t>施行，有效期</w:t>
      </w:r>
      <w:r>
        <w:rPr>
          <w:rFonts w:hint="eastAsia" w:cs="Calibri" w:asciiTheme="minorEastAsia" w:hAnsiTheme="minorEastAsia" w:eastAsiaTheme="minorEastAsia"/>
          <w:color w:val="auto"/>
          <w:sz w:val="30"/>
          <w:szCs w:val="30"/>
          <w:lang w:val="en-US" w:eastAsia="zh-CN"/>
        </w:rPr>
        <w:t>至2025年12月31日，</w:t>
      </w:r>
      <w:r>
        <w:rPr>
          <w:rFonts w:hint="eastAsia" w:cs="Calibri" w:asciiTheme="minorEastAsia" w:hAnsiTheme="minorEastAsia" w:eastAsiaTheme="minorEastAsia"/>
          <w:color w:val="auto"/>
          <w:sz w:val="30"/>
          <w:szCs w:val="30"/>
          <w:lang w:eastAsia="zh-CN"/>
        </w:rPr>
        <w:t>由市</w:t>
      </w:r>
      <w:r>
        <w:rPr>
          <w:rFonts w:hint="eastAsia" w:cs="Calibri" w:asciiTheme="minorEastAsia" w:hAnsiTheme="minorEastAsia" w:eastAsiaTheme="minorEastAsia"/>
          <w:color w:val="auto"/>
          <w:sz w:val="30"/>
          <w:szCs w:val="30"/>
        </w:rPr>
        <w:t>科工商务局负责解释</w:t>
      </w:r>
      <w:r>
        <w:rPr>
          <w:rFonts w:hint="eastAsia" w:cs="Calibri" w:asciiTheme="minorEastAsia" w:hAnsiTheme="minorEastAsia" w:eastAsiaTheme="minorEastAsia"/>
          <w:color w:val="auto"/>
          <w:sz w:val="30"/>
          <w:szCs w:val="30"/>
          <w:lang w:val="en-US" w:eastAsia="zh-CN"/>
        </w:rPr>
        <w:t>。2020年度扶持奖励参照本措施落实。</w:t>
      </w:r>
      <w:bookmarkStart w:id="0" w:name="_GoBack"/>
      <w:bookmarkEnd w:id="0"/>
    </w:p>
    <w:sectPr>
      <w:footerReference r:id="rId3" w:type="default"/>
      <w:pgSz w:w="11906" w:h="16838"/>
      <w:pgMar w:top="2098" w:right="1418" w:bottom="1418" w:left="1531" w:header="709" w:footer="709"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10171"/>
    </w:sdtPr>
    <w:sdtEndPr>
      <w:rPr>
        <w:sz w:val="24"/>
      </w:rPr>
    </w:sdtEndPr>
    <w:sdtContent>
      <w:p>
        <w:pPr>
          <w:pStyle w:val="5"/>
          <w:jc w:val="center"/>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1 -</w:t>
        </w:r>
        <w:r>
          <w:rPr>
            <w:sz w:val="24"/>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BEEDE"/>
    <w:multiLevelType w:val="singleLevel"/>
    <w:tmpl w:val="307BEED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743B"/>
    <w:rsid w:val="00001167"/>
    <w:rsid w:val="00002878"/>
    <w:rsid w:val="00002BCC"/>
    <w:rsid w:val="00002EE5"/>
    <w:rsid w:val="0000325D"/>
    <w:rsid w:val="0000339E"/>
    <w:rsid w:val="00004631"/>
    <w:rsid w:val="000058CE"/>
    <w:rsid w:val="00006203"/>
    <w:rsid w:val="00006C8A"/>
    <w:rsid w:val="0001225B"/>
    <w:rsid w:val="00015F1F"/>
    <w:rsid w:val="00017DF0"/>
    <w:rsid w:val="0002194A"/>
    <w:rsid w:val="000227C6"/>
    <w:rsid w:val="000233BE"/>
    <w:rsid w:val="00025D4E"/>
    <w:rsid w:val="00027EC5"/>
    <w:rsid w:val="00030683"/>
    <w:rsid w:val="00030966"/>
    <w:rsid w:val="00032B0C"/>
    <w:rsid w:val="0003331B"/>
    <w:rsid w:val="00034CD9"/>
    <w:rsid w:val="000356AC"/>
    <w:rsid w:val="0003695E"/>
    <w:rsid w:val="00037848"/>
    <w:rsid w:val="00037AEE"/>
    <w:rsid w:val="00044A71"/>
    <w:rsid w:val="0004506B"/>
    <w:rsid w:val="00045594"/>
    <w:rsid w:val="0004628D"/>
    <w:rsid w:val="00046A87"/>
    <w:rsid w:val="000474FF"/>
    <w:rsid w:val="00047DCF"/>
    <w:rsid w:val="00052E0C"/>
    <w:rsid w:val="00053D5B"/>
    <w:rsid w:val="0005547C"/>
    <w:rsid w:val="00056F26"/>
    <w:rsid w:val="0006084D"/>
    <w:rsid w:val="00062A74"/>
    <w:rsid w:val="00063EE3"/>
    <w:rsid w:val="00064462"/>
    <w:rsid w:val="0006635B"/>
    <w:rsid w:val="000665D4"/>
    <w:rsid w:val="0007078F"/>
    <w:rsid w:val="00071BD5"/>
    <w:rsid w:val="000741D1"/>
    <w:rsid w:val="000742CB"/>
    <w:rsid w:val="00075CFB"/>
    <w:rsid w:val="00077C51"/>
    <w:rsid w:val="000813A7"/>
    <w:rsid w:val="00081777"/>
    <w:rsid w:val="00082C4C"/>
    <w:rsid w:val="00083FF9"/>
    <w:rsid w:val="00085473"/>
    <w:rsid w:val="00085B16"/>
    <w:rsid w:val="00094762"/>
    <w:rsid w:val="00096BA0"/>
    <w:rsid w:val="00097959"/>
    <w:rsid w:val="000A0046"/>
    <w:rsid w:val="000A071D"/>
    <w:rsid w:val="000A17D0"/>
    <w:rsid w:val="000A2D8A"/>
    <w:rsid w:val="000A3484"/>
    <w:rsid w:val="000A44FB"/>
    <w:rsid w:val="000A465A"/>
    <w:rsid w:val="000A63B6"/>
    <w:rsid w:val="000A7FE5"/>
    <w:rsid w:val="000B0EF7"/>
    <w:rsid w:val="000B23BE"/>
    <w:rsid w:val="000B55F0"/>
    <w:rsid w:val="000B5EDF"/>
    <w:rsid w:val="000B6B52"/>
    <w:rsid w:val="000B6FE3"/>
    <w:rsid w:val="000B7256"/>
    <w:rsid w:val="000C2D48"/>
    <w:rsid w:val="000C37C1"/>
    <w:rsid w:val="000C75BD"/>
    <w:rsid w:val="000C7C84"/>
    <w:rsid w:val="000D5B21"/>
    <w:rsid w:val="000E23C6"/>
    <w:rsid w:val="000E298D"/>
    <w:rsid w:val="000E5F99"/>
    <w:rsid w:val="000E62FC"/>
    <w:rsid w:val="000E6803"/>
    <w:rsid w:val="000F4348"/>
    <w:rsid w:val="000F7A98"/>
    <w:rsid w:val="00101DCD"/>
    <w:rsid w:val="00102FC0"/>
    <w:rsid w:val="001046E6"/>
    <w:rsid w:val="00104FA7"/>
    <w:rsid w:val="001054CB"/>
    <w:rsid w:val="001066DB"/>
    <w:rsid w:val="00112F19"/>
    <w:rsid w:val="00113443"/>
    <w:rsid w:val="00113A82"/>
    <w:rsid w:val="001206E3"/>
    <w:rsid w:val="0012281D"/>
    <w:rsid w:val="00122A4D"/>
    <w:rsid w:val="0012491D"/>
    <w:rsid w:val="0012602C"/>
    <w:rsid w:val="0012770F"/>
    <w:rsid w:val="001304BA"/>
    <w:rsid w:val="001344D0"/>
    <w:rsid w:val="001368CA"/>
    <w:rsid w:val="00136A70"/>
    <w:rsid w:val="00144003"/>
    <w:rsid w:val="00146E63"/>
    <w:rsid w:val="00147680"/>
    <w:rsid w:val="0015301A"/>
    <w:rsid w:val="001531D7"/>
    <w:rsid w:val="00154741"/>
    <w:rsid w:val="0015490F"/>
    <w:rsid w:val="00155037"/>
    <w:rsid w:val="001550F0"/>
    <w:rsid w:val="001571A4"/>
    <w:rsid w:val="00157F22"/>
    <w:rsid w:val="001632D7"/>
    <w:rsid w:val="00164FBF"/>
    <w:rsid w:val="001652F4"/>
    <w:rsid w:val="00171A52"/>
    <w:rsid w:val="00174A7C"/>
    <w:rsid w:val="001762D8"/>
    <w:rsid w:val="00180BDA"/>
    <w:rsid w:val="00183846"/>
    <w:rsid w:val="00184E9F"/>
    <w:rsid w:val="00185289"/>
    <w:rsid w:val="0018569A"/>
    <w:rsid w:val="00187D80"/>
    <w:rsid w:val="00192271"/>
    <w:rsid w:val="00195146"/>
    <w:rsid w:val="00197115"/>
    <w:rsid w:val="001A0517"/>
    <w:rsid w:val="001A1933"/>
    <w:rsid w:val="001A290F"/>
    <w:rsid w:val="001A3141"/>
    <w:rsid w:val="001A3796"/>
    <w:rsid w:val="001A51C8"/>
    <w:rsid w:val="001A5B37"/>
    <w:rsid w:val="001A66FB"/>
    <w:rsid w:val="001A77AF"/>
    <w:rsid w:val="001B055E"/>
    <w:rsid w:val="001B0D94"/>
    <w:rsid w:val="001B1C46"/>
    <w:rsid w:val="001B2CA3"/>
    <w:rsid w:val="001B35B4"/>
    <w:rsid w:val="001B36B8"/>
    <w:rsid w:val="001B3783"/>
    <w:rsid w:val="001B4BFB"/>
    <w:rsid w:val="001B64B8"/>
    <w:rsid w:val="001B6958"/>
    <w:rsid w:val="001B7197"/>
    <w:rsid w:val="001B7F88"/>
    <w:rsid w:val="001C2C6D"/>
    <w:rsid w:val="001C400B"/>
    <w:rsid w:val="001C5551"/>
    <w:rsid w:val="001C5DA9"/>
    <w:rsid w:val="001C649C"/>
    <w:rsid w:val="001C7A19"/>
    <w:rsid w:val="001C7E37"/>
    <w:rsid w:val="001D27EA"/>
    <w:rsid w:val="001D3976"/>
    <w:rsid w:val="001D4445"/>
    <w:rsid w:val="001D4D13"/>
    <w:rsid w:val="001D579A"/>
    <w:rsid w:val="001D5AFC"/>
    <w:rsid w:val="001E2114"/>
    <w:rsid w:val="001E2AA5"/>
    <w:rsid w:val="001E60A7"/>
    <w:rsid w:val="001E663E"/>
    <w:rsid w:val="001E691E"/>
    <w:rsid w:val="001E73C8"/>
    <w:rsid w:val="001E79A2"/>
    <w:rsid w:val="001F226B"/>
    <w:rsid w:val="001F485E"/>
    <w:rsid w:val="001F4A6E"/>
    <w:rsid w:val="001F6078"/>
    <w:rsid w:val="001F752E"/>
    <w:rsid w:val="00201581"/>
    <w:rsid w:val="002015E1"/>
    <w:rsid w:val="00203AC7"/>
    <w:rsid w:val="0020472C"/>
    <w:rsid w:val="002051EF"/>
    <w:rsid w:val="00206153"/>
    <w:rsid w:val="00206F5D"/>
    <w:rsid w:val="00210B82"/>
    <w:rsid w:val="00212CB0"/>
    <w:rsid w:val="00214D04"/>
    <w:rsid w:val="002156A4"/>
    <w:rsid w:val="0022068E"/>
    <w:rsid w:val="00221D08"/>
    <w:rsid w:val="002226D3"/>
    <w:rsid w:val="0022417F"/>
    <w:rsid w:val="00224226"/>
    <w:rsid w:val="002242B6"/>
    <w:rsid w:val="0022507E"/>
    <w:rsid w:val="00226A21"/>
    <w:rsid w:val="00226EC7"/>
    <w:rsid w:val="0022751F"/>
    <w:rsid w:val="00230A26"/>
    <w:rsid w:val="0023109D"/>
    <w:rsid w:val="00235D0A"/>
    <w:rsid w:val="002377CB"/>
    <w:rsid w:val="00237A0E"/>
    <w:rsid w:val="0024020A"/>
    <w:rsid w:val="00240950"/>
    <w:rsid w:val="00241BD0"/>
    <w:rsid w:val="0024433C"/>
    <w:rsid w:val="00244886"/>
    <w:rsid w:val="00244E9F"/>
    <w:rsid w:val="002455EE"/>
    <w:rsid w:val="00247047"/>
    <w:rsid w:val="0024730F"/>
    <w:rsid w:val="00247A9C"/>
    <w:rsid w:val="00251709"/>
    <w:rsid w:val="00251E83"/>
    <w:rsid w:val="002559BF"/>
    <w:rsid w:val="00260AC3"/>
    <w:rsid w:val="00264B93"/>
    <w:rsid w:val="00265F6A"/>
    <w:rsid w:val="002673F0"/>
    <w:rsid w:val="00272977"/>
    <w:rsid w:val="00273B96"/>
    <w:rsid w:val="00274096"/>
    <w:rsid w:val="002764BB"/>
    <w:rsid w:val="00276806"/>
    <w:rsid w:val="00280983"/>
    <w:rsid w:val="00281D8E"/>
    <w:rsid w:val="00282134"/>
    <w:rsid w:val="00284526"/>
    <w:rsid w:val="00284CC0"/>
    <w:rsid w:val="002851D7"/>
    <w:rsid w:val="00287748"/>
    <w:rsid w:val="00292C16"/>
    <w:rsid w:val="00292FA5"/>
    <w:rsid w:val="00293F7B"/>
    <w:rsid w:val="0029406B"/>
    <w:rsid w:val="00296333"/>
    <w:rsid w:val="00297D53"/>
    <w:rsid w:val="002A0062"/>
    <w:rsid w:val="002A1F17"/>
    <w:rsid w:val="002A39BA"/>
    <w:rsid w:val="002A5A49"/>
    <w:rsid w:val="002A763C"/>
    <w:rsid w:val="002B5AF2"/>
    <w:rsid w:val="002B7166"/>
    <w:rsid w:val="002B7328"/>
    <w:rsid w:val="002C0429"/>
    <w:rsid w:val="002C596C"/>
    <w:rsid w:val="002C6924"/>
    <w:rsid w:val="002C6BE8"/>
    <w:rsid w:val="002C70FB"/>
    <w:rsid w:val="002C7361"/>
    <w:rsid w:val="002C7E4E"/>
    <w:rsid w:val="002D2B18"/>
    <w:rsid w:val="002D38B3"/>
    <w:rsid w:val="002E2903"/>
    <w:rsid w:val="002E4A31"/>
    <w:rsid w:val="002E5D56"/>
    <w:rsid w:val="002E7387"/>
    <w:rsid w:val="002F35DA"/>
    <w:rsid w:val="00301814"/>
    <w:rsid w:val="00301B74"/>
    <w:rsid w:val="00302678"/>
    <w:rsid w:val="00302F8F"/>
    <w:rsid w:val="0030582E"/>
    <w:rsid w:val="003059CE"/>
    <w:rsid w:val="00305DBB"/>
    <w:rsid w:val="0030619B"/>
    <w:rsid w:val="003061AE"/>
    <w:rsid w:val="00310D7A"/>
    <w:rsid w:val="00311C4A"/>
    <w:rsid w:val="00314FF7"/>
    <w:rsid w:val="00316AC4"/>
    <w:rsid w:val="00316DB4"/>
    <w:rsid w:val="00317089"/>
    <w:rsid w:val="00322A64"/>
    <w:rsid w:val="00323B43"/>
    <w:rsid w:val="00325531"/>
    <w:rsid w:val="003255CC"/>
    <w:rsid w:val="00326FE6"/>
    <w:rsid w:val="00331529"/>
    <w:rsid w:val="003326CA"/>
    <w:rsid w:val="00333AD8"/>
    <w:rsid w:val="00334D33"/>
    <w:rsid w:val="00337571"/>
    <w:rsid w:val="00342D2E"/>
    <w:rsid w:val="00344D93"/>
    <w:rsid w:val="00345273"/>
    <w:rsid w:val="00346227"/>
    <w:rsid w:val="00347AA1"/>
    <w:rsid w:val="003504F2"/>
    <w:rsid w:val="00351133"/>
    <w:rsid w:val="00354301"/>
    <w:rsid w:val="003622A6"/>
    <w:rsid w:val="003633D4"/>
    <w:rsid w:val="00364700"/>
    <w:rsid w:val="00365F5F"/>
    <w:rsid w:val="00366CFE"/>
    <w:rsid w:val="00366EEB"/>
    <w:rsid w:val="00366FA0"/>
    <w:rsid w:val="00370131"/>
    <w:rsid w:val="003719C2"/>
    <w:rsid w:val="00372A39"/>
    <w:rsid w:val="00373907"/>
    <w:rsid w:val="0037457C"/>
    <w:rsid w:val="003747FF"/>
    <w:rsid w:val="00375565"/>
    <w:rsid w:val="0037557F"/>
    <w:rsid w:val="00377289"/>
    <w:rsid w:val="00377589"/>
    <w:rsid w:val="003775A3"/>
    <w:rsid w:val="00383964"/>
    <w:rsid w:val="00383FD7"/>
    <w:rsid w:val="00385067"/>
    <w:rsid w:val="00385F85"/>
    <w:rsid w:val="003866F4"/>
    <w:rsid w:val="003874C2"/>
    <w:rsid w:val="00387684"/>
    <w:rsid w:val="00391869"/>
    <w:rsid w:val="00392479"/>
    <w:rsid w:val="003A61FF"/>
    <w:rsid w:val="003A7C31"/>
    <w:rsid w:val="003B0B7B"/>
    <w:rsid w:val="003B5EEF"/>
    <w:rsid w:val="003B7AE8"/>
    <w:rsid w:val="003C08C1"/>
    <w:rsid w:val="003C1C39"/>
    <w:rsid w:val="003C3EEE"/>
    <w:rsid w:val="003C4207"/>
    <w:rsid w:val="003C4CA7"/>
    <w:rsid w:val="003C775C"/>
    <w:rsid w:val="003C7886"/>
    <w:rsid w:val="003C7C5A"/>
    <w:rsid w:val="003D09D0"/>
    <w:rsid w:val="003D2B77"/>
    <w:rsid w:val="003D37D8"/>
    <w:rsid w:val="003D3825"/>
    <w:rsid w:val="003D384E"/>
    <w:rsid w:val="003D66CD"/>
    <w:rsid w:val="003D6C3A"/>
    <w:rsid w:val="003D7411"/>
    <w:rsid w:val="003E079D"/>
    <w:rsid w:val="003E080D"/>
    <w:rsid w:val="003E1BA8"/>
    <w:rsid w:val="003E441E"/>
    <w:rsid w:val="003E5D81"/>
    <w:rsid w:val="003F76A8"/>
    <w:rsid w:val="004021B6"/>
    <w:rsid w:val="004046B8"/>
    <w:rsid w:val="00405D35"/>
    <w:rsid w:val="00411326"/>
    <w:rsid w:val="0041184E"/>
    <w:rsid w:val="004126ED"/>
    <w:rsid w:val="00414A73"/>
    <w:rsid w:val="004164C0"/>
    <w:rsid w:val="00416650"/>
    <w:rsid w:val="0041759C"/>
    <w:rsid w:val="0042130C"/>
    <w:rsid w:val="004218F9"/>
    <w:rsid w:val="004219D8"/>
    <w:rsid w:val="00421A40"/>
    <w:rsid w:val="00421D76"/>
    <w:rsid w:val="0042211F"/>
    <w:rsid w:val="004233F3"/>
    <w:rsid w:val="00423DC6"/>
    <w:rsid w:val="00425A84"/>
    <w:rsid w:val="00425BB9"/>
    <w:rsid w:val="0042767C"/>
    <w:rsid w:val="004313CB"/>
    <w:rsid w:val="004356E8"/>
    <w:rsid w:val="004358AB"/>
    <w:rsid w:val="00436091"/>
    <w:rsid w:val="004366E1"/>
    <w:rsid w:val="00436BE6"/>
    <w:rsid w:val="00437BBC"/>
    <w:rsid w:val="00441083"/>
    <w:rsid w:val="0044117D"/>
    <w:rsid w:val="0044489B"/>
    <w:rsid w:val="004448B1"/>
    <w:rsid w:val="00446CAB"/>
    <w:rsid w:val="00452FC6"/>
    <w:rsid w:val="00453FEB"/>
    <w:rsid w:val="004550BF"/>
    <w:rsid w:val="00455E8A"/>
    <w:rsid w:val="00455F7B"/>
    <w:rsid w:val="00457DAE"/>
    <w:rsid w:val="00460E95"/>
    <w:rsid w:val="00461630"/>
    <w:rsid w:val="0046208C"/>
    <w:rsid w:val="00462B09"/>
    <w:rsid w:val="004634F6"/>
    <w:rsid w:val="004637FE"/>
    <w:rsid w:val="00464FFD"/>
    <w:rsid w:val="00466575"/>
    <w:rsid w:val="00471DB3"/>
    <w:rsid w:val="00473DC2"/>
    <w:rsid w:val="004747E5"/>
    <w:rsid w:val="00474905"/>
    <w:rsid w:val="004800A1"/>
    <w:rsid w:val="004822E8"/>
    <w:rsid w:val="004824B5"/>
    <w:rsid w:val="00483B92"/>
    <w:rsid w:val="00483DAB"/>
    <w:rsid w:val="004849A4"/>
    <w:rsid w:val="0048750D"/>
    <w:rsid w:val="004912C9"/>
    <w:rsid w:val="00494636"/>
    <w:rsid w:val="004961FD"/>
    <w:rsid w:val="0049667E"/>
    <w:rsid w:val="0049730C"/>
    <w:rsid w:val="00497741"/>
    <w:rsid w:val="00497D34"/>
    <w:rsid w:val="004A1949"/>
    <w:rsid w:val="004A23E5"/>
    <w:rsid w:val="004A56D3"/>
    <w:rsid w:val="004A6F62"/>
    <w:rsid w:val="004A7B17"/>
    <w:rsid w:val="004B1094"/>
    <w:rsid w:val="004B294D"/>
    <w:rsid w:val="004B2BAD"/>
    <w:rsid w:val="004B4DEF"/>
    <w:rsid w:val="004B6DA6"/>
    <w:rsid w:val="004C1CE5"/>
    <w:rsid w:val="004C2FEE"/>
    <w:rsid w:val="004C7B27"/>
    <w:rsid w:val="004D01EE"/>
    <w:rsid w:val="004D1DC1"/>
    <w:rsid w:val="004D2615"/>
    <w:rsid w:val="004D3C26"/>
    <w:rsid w:val="004D4C80"/>
    <w:rsid w:val="004E073D"/>
    <w:rsid w:val="004E1957"/>
    <w:rsid w:val="004E3E9C"/>
    <w:rsid w:val="004E43DA"/>
    <w:rsid w:val="004E6AAE"/>
    <w:rsid w:val="004F024A"/>
    <w:rsid w:val="004F4814"/>
    <w:rsid w:val="004F4CCA"/>
    <w:rsid w:val="004F654E"/>
    <w:rsid w:val="005011C2"/>
    <w:rsid w:val="00503F73"/>
    <w:rsid w:val="00504388"/>
    <w:rsid w:val="005072FB"/>
    <w:rsid w:val="0050796E"/>
    <w:rsid w:val="005127F1"/>
    <w:rsid w:val="00514B44"/>
    <w:rsid w:val="00516BE5"/>
    <w:rsid w:val="00516C49"/>
    <w:rsid w:val="00517850"/>
    <w:rsid w:val="0051786E"/>
    <w:rsid w:val="00517BF7"/>
    <w:rsid w:val="00520098"/>
    <w:rsid w:val="00520402"/>
    <w:rsid w:val="00520B8E"/>
    <w:rsid w:val="00523481"/>
    <w:rsid w:val="00524245"/>
    <w:rsid w:val="00524B6A"/>
    <w:rsid w:val="00526EE3"/>
    <w:rsid w:val="005273ED"/>
    <w:rsid w:val="0052777E"/>
    <w:rsid w:val="005305A8"/>
    <w:rsid w:val="00531797"/>
    <w:rsid w:val="00532461"/>
    <w:rsid w:val="00536702"/>
    <w:rsid w:val="005378BB"/>
    <w:rsid w:val="00540BD0"/>
    <w:rsid w:val="00543B83"/>
    <w:rsid w:val="00543DB1"/>
    <w:rsid w:val="00544523"/>
    <w:rsid w:val="0054550E"/>
    <w:rsid w:val="00551442"/>
    <w:rsid w:val="005550F4"/>
    <w:rsid w:val="005561F2"/>
    <w:rsid w:val="0055691B"/>
    <w:rsid w:val="005600D2"/>
    <w:rsid w:val="00560C74"/>
    <w:rsid w:val="00562D90"/>
    <w:rsid w:val="00565665"/>
    <w:rsid w:val="0056790C"/>
    <w:rsid w:val="00572DD2"/>
    <w:rsid w:val="005732BD"/>
    <w:rsid w:val="005756BD"/>
    <w:rsid w:val="0057583B"/>
    <w:rsid w:val="005775E6"/>
    <w:rsid w:val="00577667"/>
    <w:rsid w:val="00580C9F"/>
    <w:rsid w:val="0058399B"/>
    <w:rsid w:val="005844E9"/>
    <w:rsid w:val="00585085"/>
    <w:rsid w:val="00590955"/>
    <w:rsid w:val="005931B2"/>
    <w:rsid w:val="00593207"/>
    <w:rsid w:val="0059344B"/>
    <w:rsid w:val="00594123"/>
    <w:rsid w:val="005969A3"/>
    <w:rsid w:val="00596D55"/>
    <w:rsid w:val="005A3271"/>
    <w:rsid w:val="005A377F"/>
    <w:rsid w:val="005A6FDA"/>
    <w:rsid w:val="005A7FA9"/>
    <w:rsid w:val="005B0569"/>
    <w:rsid w:val="005B0F3E"/>
    <w:rsid w:val="005B4449"/>
    <w:rsid w:val="005C2471"/>
    <w:rsid w:val="005C2CD1"/>
    <w:rsid w:val="005C3AF9"/>
    <w:rsid w:val="005C5CDB"/>
    <w:rsid w:val="005C74B9"/>
    <w:rsid w:val="005D1C71"/>
    <w:rsid w:val="005D30DE"/>
    <w:rsid w:val="005D49DA"/>
    <w:rsid w:val="005D4E0F"/>
    <w:rsid w:val="005D53E0"/>
    <w:rsid w:val="005D6790"/>
    <w:rsid w:val="005D7756"/>
    <w:rsid w:val="005E1506"/>
    <w:rsid w:val="005E2A1A"/>
    <w:rsid w:val="005E2FDA"/>
    <w:rsid w:val="005E502B"/>
    <w:rsid w:val="005E5E2A"/>
    <w:rsid w:val="005E7205"/>
    <w:rsid w:val="005E7699"/>
    <w:rsid w:val="005F135A"/>
    <w:rsid w:val="005F2BEB"/>
    <w:rsid w:val="005F3A0F"/>
    <w:rsid w:val="005F4D42"/>
    <w:rsid w:val="005F794D"/>
    <w:rsid w:val="00600801"/>
    <w:rsid w:val="00600CFC"/>
    <w:rsid w:val="00600DC8"/>
    <w:rsid w:val="00601BE4"/>
    <w:rsid w:val="00603CFD"/>
    <w:rsid w:val="00610252"/>
    <w:rsid w:val="00611C56"/>
    <w:rsid w:val="00612D73"/>
    <w:rsid w:val="00616937"/>
    <w:rsid w:val="006208EF"/>
    <w:rsid w:val="00620B2C"/>
    <w:rsid w:val="00621BED"/>
    <w:rsid w:val="0062408F"/>
    <w:rsid w:val="0062493B"/>
    <w:rsid w:val="00625516"/>
    <w:rsid w:val="006271A4"/>
    <w:rsid w:val="00627303"/>
    <w:rsid w:val="006279F4"/>
    <w:rsid w:val="00631EF9"/>
    <w:rsid w:val="00633FDF"/>
    <w:rsid w:val="0063520F"/>
    <w:rsid w:val="00636ACC"/>
    <w:rsid w:val="006371D4"/>
    <w:rsid w:val="0063730B"/>
    <w:rsid w:val="0063737C"/>
    <w:rsid w:val="00641260"/>
    <w:rsid w:val="00643481"/>
    <w:rsid w:val="006441D5"/>
    <w:rsid w:val="00646552"/>
    <w:rsid w:val="006469E6"/>
    <w:rsid w:val="00650514"/>
    <w:rsid w:val="00650542"/>
    <w:rsid w:val="00650EC5"/>
    <w:rsid w:val="00651B7B"/>
    <w:rsid w:val="006523ED"/>
    <w:rsid w:val="00652A94"/>
    <w:rsid w:val="00657DD4"/>
    <w:rsid w:val="00660A4F"/>
    <w:rsid w:val="00660DDB"/>
    <w:rsid w:val="00661ABB"/>
    <w:rsid w:val="006621EF"/>
    <w:rsid w:val="006625BE"/>
    <w:rsid w:val="00663513"/>
    <w:rsid w:val="00665D26"/>
    <w:rsid w:val="00672E86"/>
    <w:rsid w:val="00677EDE"/>
    <w:rsid w:val="0068010E"/>
    <w:rsid w:val="006803AE"/>
    <w:rsid w:val="006804B9"/>
    <w:rsid w:val="00680917"/>
    <w:rsid w:val="00686EA8"/>
    <w:rsid w:val="00691F0B"/>
    <w:rsid w:val="00692193"/>
    <w:rsid w:val="006947AF"/>
    <w:rsid w:val="00694F83"/>
    <w:rsid w:val="00696295"/>
    <w:rsid w:val="00697254"/>
    <w:rsid w:val="006A179C"/>
    <w:rsid w:val="006A2612"/>
    <w:rsid w:val="006A365F"/>
    <w:rsid w:val="006A6A87"/>
    <w:rsid w:val="006A77A2"/>
    <w:rsid w:val="006B0389"/>
    <w:rsid w:val="006B3A4C"/>
    <w:rsid w:val="006B3DE7"/>
    <w:rsid w:val="006B5CF3"/>
    <w:rsid w:val="006C0074"/>
    <w:rsid w:val="006C016A"/>
    <w:rsid w:val="006C0717"/>
    <w:rsid w:val="006C07AF"/>
    <w:rsid w:val="006C1ADB"/>
    <w:rsid w:val="006C5335"/>
    <w:rsid w:val="006C5AE7"/>
    <w:rsid w:val="006C61A4"/>
    <w:rsid w:val="006C77D6"/>
    <w:rsid w:val="006D0BFD"/>
    <w:rsid w:val="006D0C7E"/>
    <w:rsid w:val="006D1AE6"/>
    <w:rsid w:val="006D2D95"/>
    <w:rsid w:val="006D3B2F"/>
    <w:rsid w:val="006D3DF5"/>
    <w:rsid w:val="006D4381"/>
    <w:rsid w:val="006D4CE6"/>
    <w:rsid w:val="006D5BC6"/>
    <w:rsid w:val="006E03A1"/>
    <w:rsid w:val="006E7DCD"/>
    <w:rsid w:val="006E7E74"/>
    <w:rsid w:val="006F0946"/>
    <w:rsid w:val="006F0C81"/>
    <w:rsid w:val="006F0FF4"/>
    <w:rsid w:val="006F2567"/>
    <w:rsid w:val="006F3E41"/>
    <w:rsid w:val="006F517C"/>
    <w:rsid w:val="006F6C27"/>
    <w:rsid w:val="006F7B6C"/>
    <w:rsid w:val="00701C26"/>
    <w:rsid w:val="00703002"/>
    <w:rsid w:val="007030F6"/>
    <w:rsid w:val="00703CA6"/>
    <w:rsid w:val="00703EDB"/>
    <w:rsid w:val="00704852"/>
    <w:rsid w:val="00704C70"/>
    <w:rsid w:val="00705B1F"/>
    <w:rsid w:val="007066EF"/>
    <w:rsid w:val="007105E8"/>
    <w:rsid w:val="00712D88"/>
    <w:rsid w:val="00717134"/>
    <w:rsid w:val="0072007C"/>
    <w:rsid w:val="0072055D"/>
    <w:rsid w:val="0072088B"/>
    <w:rsid w:val="00720A85"/>
    <w:rsid w:val="007216F2"/>
    <w:rsid w:val="007232B7"/>
    <w:rsid w:val="00723334"/>
    <w:rsid w:val="00723D6C"/>
    <w:rsid w:val="00725A54"/>
    <w:rsid w:val="00727157"/>
    <w:rsid w:val="0073183E"/>
    <w:rsid w:val="0073630F"/>
    <w:rsid w:val="00736EB5"/>
    <w:rsid w:val="0074047D"/>
    <w:rsid w:val="00744214"/>
    <w:rsid w:val="0074430A"/>
    <w:rsid w:val="007459DE"/>
    <w:rsid w:val="00745B0C"/>
    <w:rsid w:val="00745B0F"/>
    <w:rsid w:val="00751B7A"/>
    <w:rsid w:val="00751DB1"/>
    <w:rsid w:val="00754216"/>
    <w:rsid w:val="007573AF"/>
    <w:rsid w:val="007614EA"/>
    <w:rsid w:val="007618ED"/>
    <w:rsid w:val="007637F8"/>
    <w:rsid w:val="00765454"/>
    <w:rsid w:val="00766E0C"/>
    <w:rsid w:val="00767CA2"/>
    <w:rsid w:val="00775F12"/>
    <w:rsid w:val="0078002B"/>
    <w:rsid w:val="0078392F"/>
    <w:rsid w:val="00783E75"/>
    <w:rsid w:val="007864BD"/>
    <w:rsid w:val="007870DC"/>
    <w:rsid w:val="007904A7"/>
    <w:rsid w:val="00791124"/>
    <w:rsid w:val="007926CF"/>
    <w:rsid w:val="0079625A"/>
    <w:rsid w:val="00796E5A"/>
    <w:rsid w:val="007A4CFB"/>
    <w:rsid w:val="007A6E12"/>
    <w:rsid w:val="007B0664"/>
    <w:rsid w:val="007B2340"/>
    <w:rsid w:val="007B5155"/>
    <w:rsid w:val="007B58EA"/>
    <w:rsid w:val="007B6F5A"/>
    <w:rsid w:val="007C2C67"/>
    <w:rsid w:val="007C31D4"/>
    <w:rsid w:val="007C3C74"/>
    <w:rsid w:val="007C45BB"/>
    <w:rsid w:val="007C59A6"/>
    <w:rsid w:val="007C74AC"/>
    <w:rsid w:val="007C7813"/>
    <w:rsid w:val="007D3035"/>
    <w:rsid w:val="007D5140"/>
    <w:rsid w:val="007D5D9A"/>
    <w:rsid w:val="007D6115"/>
    <w:rsid w:val="007E0191"/>
    <w:rsid w:val="007E346B"/>
    <w:rsid w:val="007E7FD5"/>
    <w:rsid w:val="007F17D0"/>
    <w:rsid w:val="007F661F"/>
    <w:rsid w:val="007F7D90"/>
    <w:rsid w:val="00800228"/>
    <w:rsid w:val="00800247"/>
    <w:rsid w:val="008025A0"/>
    <w:rsid w:val="008025A5"/>
    <w:rsid w:val="00803FEF"/>
    <w:rsid w:val="00804C59"/>
    <w:rsid w:val="00804D83"/>
    <w:rsid w:val="00805B4F"/>
    <w:rsid w:val="0081475A"/>
    <w:rsid w:val="008152A1"/>
    <w:rsid w:val="00815D14"/>
    <w:rsid w:val="00816930"/>
    <w:rsid w:val="008176B6"/>
    <w:rsid w:val="0082166A"/>
    <w:rsid w:val="008229D1"/>
    <w:rsid w:val="00823F19"/>
    <w:rsid w:val="008249F2"/>
    <w:rsid w:val="00824DF0"/>
    <w:rsid w:val="00825FFE"/>
    <w:rsid w:val="00826724"/>
    <w:rsid w:val="0083044D"/>
    <w:rsid w:val="00831038"/>
    <w:rsid w:val="00832B8F"/>
    <w:rsid w:val="0083335A"/>
    <w:rsid w:val="008343C6"/>
    <w:rsid w:val="008368EE"/>
    <w:rsid w:val="00837450"/>
    <w:rsid w:val="00843BFA"/>
    <w:rsid w:val="008448DB"/>
    <w:rsid w:val="00844AB8"/>
    <w:rsid w:val="0084606B"/>
    <w:rsid w:val="008468F0"/>
    <w:rsid w:val="008503CE"/>
    <w:rsid w:val="008507D1"/>
    <w:rsid w:val="00850E09"/>
    <w:rsid w:val="00853DEF"/>
    <w:rsid w:val="00853FBC"/>
    <w:rsid w:val="0085482D"/>
    <w:rsid w:val="00854F8A"/>
    <w:rsid w:val="00855E9B"/>
    <w:rsid w:val="00860E76"/>
    <w:rsid w:val="0086216C"/>
    <w:rsid w:val="00862330"/>
    <w:rsid w:val="00865C9B"/>
    <w:rsid w:val="00865F00"/>
    <w:rsid w:val="00866CED"/>
    <w:rsid w:val="0087073E"/>
    <w:rsid w:val="00874178"/>
    <w:rsid w:val="00874D4A"/>
    <w:rsid w:val="00877C9A"/>
    <w:rsid w:val="008817EF"/>
    <w:rsid w:val="00883B7C"/>
    <w:rsid w:val="00884818"/>
    <w:rsid w:val="00885BE8"/>
    <w:rsid w:val="0088711F"/>
    <w:rsid w:val="00890489"/>
    <w:rsid w:val="008910D4"/>
    <w:rsid w:val="00892574"/>
    <w:rsid w:val="0089447F"/>
    <w:rsid w:val="00896A62"/>
    <w:rsid w:val="008971C2"/>
    <w:rsid w:val="00897FD9"/>
    <w:rsid w:val="008A2024"/>
    <w:rsid w:val="008A4E42"/>
    <w:rsid w:val="008B0EE8"/>
    <w:rsid w:val="008B0FB1"/>
    <w:rsid w:val="008B1223"/>
    <w:rsid w:val="008B1AB7"/>
    <w:rsid w:val="008B4C38"/>
    <w:rsid w:val="008B64CE"/>
    <w:rsid w:val="008B7726"/>
    <w:rsid w:val="008C1473"/>
    <w:rsid w:val="008C3460"/>
    <w:rsid w:val="008C3D12"/>
    <w:rsid w:val="008D00BB"/>
    <w:rsid w:val="008D29B9"/>
    <w:rsid w:val="008D3EEF"/>
    <w:rsid w:val="008D447A"/>
    <w:rsid w:val="008D4C69"/>
    <w:rsid w:val="008D5C75"/>
    <w:rsid w:val="008D5D4E"/>
    <w:rsid w:val="008D68D9"/>
    <w:rsid w:val="008E16FC"/>
    <w:rsid w:val="008E1EF2"/>
    <w:rsid w:val="008E48A7"/>
    <w:rsid w:val="008E7C4F"/>
    <w:rsid w:val="008F02A6"/>
    <w:rsid w:val="008F26ED"/>
    <w:rsid w:val="008F2D9D"/>
    <w:rsid w:val="008F5DFB"/>
    <w:rsid w:val="00902DC0"/>
    <w:rsid w:val="009035CF"/>
    <w:rsid w:val="00904BF7"/>
    <w:rsid w:val="00904D0D"/>
    <w:rsid w:val="00906A3C"/>
    <w:rsid w:val="00907EFD"/>
    <w:rsid w:val="009104B1"/>
    <w:rsid w:val="009134D0"/>
    <w:rsid w:val="009145A0"/>
    <w:rsid w:val="00915299"/>
    <w:rsid w:val="0091754D"/>
    <w:rsid w:val="00920205"/>
    <w:rsid w:val="0092067E"/>
    <w:rsid w:val="00925D54"/>
    <w:rsid w:val="0092675F"/>
    <w:rsid w:val="00926ED5"/>
    <w:rsid w:val="00930576"/>
    <w:rsid w:val="009326E2"/>
    <w:rsid w:val="009373B8"/>
    <w:rsid w:val="00937EE0"/>
    <w:rsid w:val="00941D7A"/>
    <w:rsid w:val="009436E3"/>
    <w:rsid w:val="00946375"/>
    <w:rsid w:val="00952221"/>
    <w:rsid w:val="00952EA6"/>
    <w:rsid w:val="009537C4"/>
    <w:rsid w:val="00955452"/>
    <w:rsid w:val="00955BD0"/>
    <w:rsid w:val="009560CD"/>
    <w:rsid w:val="009560E6"/>
    <w:rsid w:val="009569AA"/>
    <w:rsid w:val="00961946"/>
    <w:rsid w:val="00961B8B"/>
    <w:rsid w:val="009662E1"/>
    <w:rsid w:val="009679A2"/>
    <w:rsid w:val="00971437"/>
    <w:rsid w:val="00971445"/>
    <w:rsid w:val="0097228C"/>
    <w:rsid w:val="00975616"/>
    <w:rsid w:val="009806BD"/>
    <w:rsid w:val="0098152C"/>
    <w:rsid w:val="009854C2"/>
    <w:rsid w:val="009855F6"/>
    <w:rsid w:val="00986CFE"/>
    <w:rsid w:val="0098757B"/>
    <w:rsid w:val="00987EEB"/>
    <w:rsid w:val="0099019F"/>
    <w:rsid w:val="009906F7"/>
    <w:rsid w:val="009929AB"/>
    <w:rsid w:val="00992EC7"/>
    <w:rsid w:val="0099629E"/>
    <w:rsid w:val="00996E68"/>
    <w:rsid w:val="00997216"/>
    <w:rsid w:val="009A0A34"/>
    <w:rsid w:val="009A108A"/>
    <w:rsid w:val="009A1EA3"/>
    <w:rsid w:val="009A26F2"/>
    <w:rsid w:val="009A67DB"/>
    <w:rsid w:val="009B0F10"/>
    <w:rsid w:val="009B16C2"/>
    <w:rsid w:val="009B1E1D"/>
    <w:rsid w:val="009B2228"/>
    <w:rsid w:val="009B4157"/>
    <w:rsid w:val="009B61FD"/>
    <w:rsid w:val="009C0F7D"/>
    <w:rsid w:val="009C14B3"/>
    <w:rsid w:val="009C33A3"/>
    <w:rsid w:val="009C4403"/>
    <w:rsid w:val="009C4CB2"/>
    <w:rsid w:val="009C7A86"/>
    <w:rsid w:val="009C7FB3"/>
    <w:rsid w:val="009D009A"/>
    <w:rsid w:val="009D2031"/>
    <w:rsid w:val="009D26A9"/>
    <w:rsid w:val="009D329E"/>
    <w:rsid w:val="009D350E"/>
    <w:rsid w:val="009D3DF6"/>
    <w:rsid w:val="009D3FB0"/>
    <w:rsid w:val="009D4D3B"/>
    <w:rsid w:val="009D65D0"/>
    <w:rsid w:val="009E272C"/>
    <w:rsid w:val="009F0321"/>
    <w:rsid w:val="009F05CE"/>
    <w:rsid w:val="009F23FB"/>
    <w:rsid w:val="009F35B7"/>
    <w:rsid w:val="009F42C2"/>
    <w:rsid w:val="009F6190"/>
    <w:rsid w:val="009F6895"/>
    <w:rsid w:val="009F6D6C"/>
    <w:rsid w:val="009F7899"/>
    <w:rsid w:val="00A00CB4"/>
    <w:rsid w:val="00A011AB"/>
    <w:rsid w:val="00A0240D"/>
    <w:rsid w:val="00A03C28"/>
    <w:rsid w:val="00A0422F"/>
    <w:rsid w:val="00A06230"/>
    <w:rsid w:val="00A07EED"/>
    <w:rsid w:val="00A1068C"/>
    <w:rsid w:val="00A106A2"/>
    <w:rsid w:val="00A11465"/>
    <w:rsid w:val="00A121CF"/>
    <w:rsid w:val="00A13990"/>
    <w:rsid w:val="00A1707F"/>
    <w:rsid w:val="00A22C37"/>
    <w:rsid w:val="00A26C46"/>
    <w:rsid w:val="00A26FD5"/>
    <w:rsid w:val="00A3062B"/>
    <w:rsid w:val="00A30C76"/>
    <w:rsid w:val="00A32BCC"/>
    <w:rsid w:val="00A3443D"/>
    <w:rsid w:val="00A34AAD"/>
    <w:rsid w:val="00A36957"/>
    <w:rsid w:val="00A4255D"/>
    <w:rsid w:val="00A44B9F"/>
    <w:rsid w:val="00A50B9B"/>
    <w:rsid w:val="00A51B1A"/>
    <w:rsid w:val="00A53C27"/>
    <w:rsid w:val="00A558A2"/>
    <w:rsid w:val="00A57542"/>
    <w:rsid w:val="00A57D7C"/>
    <w:rsid w:val="00A60320"/>
    <w:rsid w:val="00A60A4A"/>
    <w:rsid w:val="00A60FCE"/>
    <w:rsid w:val="00A62EF0"/>
    <w:rsid w:val="00A6369D"/>
    <w:rsid w:val="00A638F6"/>
    <w:rsid w:val="00A652E0"/>
    <w:rsid w:val="00A659EF"/>
    <w:rsid w:val="00A65B78"/>
    <w:rsid w:val="00A668E1"/>
    <w:rsid w:val="00A66D10"/>
    <w:rsid w:val="00A67852"/>
    <w:rsid w:val="00A67A25"/>
    <w:rsid w:val="00A70A2B"/>
    <w:rsid w:val="00A71F22"/>
    <w:rsid w:val="00A73018"/>
    <w:rsid w:val="00A733DF"/>
    <w:rsid w:val="00A73EDF"/>
    <w:rsid w:val="00A746D3"/>
    <w:rsid w:val="00A74796"/>
    <w:rsid w:val="00A75AC2"/>
    <w:rsid w:val="00A76C00"/>
    <w:rsid w:val="00A772D2"/>
    <w:rsid w:val="00A80A10"/>
    <w:rsid w:val="00A8145B"/>
    <w:rsid w:val="00A828A5"/>
    <w:rsid w:val="00A830FB"/>
    <w:rsid w:val="00A8315C"/>
    <w:rsid w:val="00A834B7"/>
    <w:rsid w:val="00A84FED"/>
    <w:rsid w:val="00A84FF7"/>
    <w:rsid w:val="00A8545C"/>
    <w:rsid w:val="00A859F5"/>
    <w:rsid w:val="00A868B1"/>
    <w:rsid w:val="00A86C26"/>
    <w:rsid w:val="00A910D4"/>
    <w:rsid w:val="00A94D7A"/>
    <w:rsid w:val="00AA0D0E"/>
    <w:rsid w:val="00AA39B0"/>
    <w:rsid w:val="00AA4D94"/>
    <w:rsid w:val="00AA4EC1"/>
    <w:rsid w:val="00AA54CE"/>
    <w:rsid w:val="00AA729D"/>
    <w:rsid w:val="00AB2C94"/>
    <w:rsid w:val="00AB360B"/>
    <w:rsid w:val="00AB7DA7"/>
    <w:rsid w:val="00AB7F34"/>
    <w:rsid w:val="00AC72A1"/>
    <w:rsid w:val="00AD4242"/>
    <w:rsid w:val="00AD58BA"/>
    <w:rsid w:val="00AD6A11"/>
    <w:rsid w:val="00AE09BE"/>
    <w:rsid w:val="00AE1142"/>
    <w:rsid w:val="00AE1A04"/>
    <w:rsid w:val="00AE3F36"/>
    <w:rsid w:val="00AE5C93"/>
    <w:rsid w:val="00AE5DD0"/>
    <w:rsid w:val="00AE763B"/>
    <w:rsid w:val="00AF0DD8"/>
    <w:rsid w:val="00AF1C08"/>
    <w:rsid w:val="00AF2E6B"/>
    <w:rsid w:val="00AF3FCE"/>
    <w:rsid w:val="00AF6319"/>
    <w:rsid w:val="00B00432"/>
    <w:rsid w:val="00B00649"/>
    <w:rsid w:val="00B0151B"/>
    <w:rsid w:val="00B0317A"/>
    <w:rsid w:val="00B05876"/>
    <w:rsid w:val="00B06247"/>
    <w:rsid w:val="00B1016E"/>
    <w:rsid w:val="00B10FAC"/>
    <w:rsid w:val="00B1196A"/>
    <w:rsid w:val="00B13128"/>
    <w:rsid w:val="00B13F14"/>
    <w:rsid w:val="00B157BC"/>
    <w:rsid w:val="00B17486"/>
    <w:rsid w:val="00B200B7"/>
    <w:rsid w:val="00B20290"/>
    <w:rsid w:val="00B21D6D"/>
    <w:rsid w:val="00B23DAA"/>
    <w:rsid w:val="00B24244"/>
    <w:rsid w:val="00B24734"/>
    <w:rsid w:val="00B249A0"/>
    <w:rsid w:val="00B249BB"/>
    <w:rsid w:val="00B24B76"/>
    <w:rsid w:val="00B25CFB"/>
    <w:rsid w:val="00B266E2"/>
    <w:rsid w:val="00B304EB"/>
    <w:rsid w:val="00B32D5C"/>
    <w:rsid w:val="00B3660F"/>
    <w:rsid w:val="00B37761"/>
    <w:rsid w:val="00B37A21"/>
    <w:rsid w:val="00B41D62"/>
    <w:rsid w:val="00B42CCB"/>
    <w:rsid w:val="00B4464E"/>
    <w:rsid w:val="00B4588D"/>
    <w:rsid w:val="00B523F6"/>
    <w:rsid w:val="00B52753"/>
    <w:rsid w:val="00B52936"/>
    <w:rsid w:val="00B52DA9"/>
    <w:rsid w:val="00B57E2D"/>
    <w:rsid w:val="00B60F02"/>
    <w:rsid w:val="00B62734"/>
    <w:rsid w:val="00B63041"/>
    <w:rsid w:val="00B64340"/>
    <w:rsid w:val="00B64367"/>
    <w:rsid w:val="00B648EA"/>
    <w:rsid w:val="00B65413"/>
    <w:rsid w:val="00B656FE"/>
    <w:rsid w:val="00B65CB5"/>
    <w:rsid w:val="00B66AA0"/>
    <w:rsid w:val="00B70CD0"/>
    <w:rsid w:val="00B7540C"/>
    <w:rsid w:val="00B760BF"/>
    <w:rsid w:val="00B776AB"/>
    <w:rsid w:val="00B813CA"/>
    <w:rsid w:val="00B845BD"/>
    <w:rsid w:val="00B86CEE"/>
    <w:rsid w:val="00B86E16"/>
    <w:rsid w:val="00B90513"/>
    <w:rsid w:val="00B926B0"/>
    <w:rsid w:val="00B95D2D"/>
    <w:rsid w:val="00B96BCB"/>
    <w:rsid w:val="00B97511"/>
    <w:rsid w:val="00BA01B0"/>
    <w:rsid w:val="00BA06EC"/>
    <w:rsid w:val="00BA0725"/>
    <w:rsid w:val="00BA320B"/>
    <w:rsid w:val="00BA3790"/>
    <w:rsid w:val="00BA3B4B"/>
    <w:rsid w:val="00BA3D7A"/>
    <w:rsid w:val="00BA493E"/>
    <w:rsid w:val="00BB0BE2"/>
    <w:rsid w:val="00BB12DE"/>
    <w:rsid w:val="00BB1E63"/>
    <w:rsid w:val="00BB2296"/>
    <w:rsid w:val="00BB24FF"/>
    <w:rsid w:val="00BB28E0"/>
    <w:rsid w:val="00BB32BF"/>
    <w:rsid w:val="00BB3E0B"/>
    <w:rsid w:val="00BB50FA"/>
    <w:rsid w:val="00BB61A6"/>
    <w:rsid w:val="00BB6288"/>
    <w:rsid w:val="00BC06FA"/>
    <w:rsid w:val="00BC077C"/>
    <w:rsid w:val="00BC181C"/>
    <w:rsid w:val="00BC2578"/>
    <w:rsid w:val="00BC3A1D"/>
    <w:rsid w:val="00BC5E92"/>
    <w:rsid w:val="00BD0537"/>
    <w:rsid w:val="00BD087D"/>
    <w:rsid w:val="00BD3625"/>
    <w:rsid w:val="00BD63B9"/>
    <w:rsid w:val="00BD7B4B"/>
    <w:rsid w:val="00BE1C36"/>
    <w:rsid w:val="00BE3CF4"/>
    <w:rsid w:val="00BE5C5B"/>
    <w:rsid w:val="00BF0762"/>
    <w:rsid w:val="00BF18CC"/>
    <w:rsid w:val="00BF4543"/>
    <w:rsid w:val="00BF66FD"/>
    <w:rsid w:val="00BF7C9C"/>
    <w:rsid w:val="00C0179E"/>
    <w:rsid w:val="00C01B57"/>
    <w:rsid w:val="00C030BB"/>
    <w:rsid w:val="00C04CEB"/>
    <w:rsid w:val="00C05B9D"/>
    <w:rsid w:val="00C06AA9"/>
    <w:rsid w:val="00C11E3A"/>
    <w:rsid w:val="00C152C3"/>
    <w:rsid w:val="00C15469"/>
    <w:rsid w:val="00C15C95"/>
    <w:rsid w:val="00C17733"/>
    <w:rsid w:val="00C17BB1"/>
    <w:rsid w:val="00C252A3"/>
    <w:rsid w:val="00C25F4F"/>
    <w:rsid w:val="00C266AE"/>
    <w:rsid w:val="00C2766B"/>
    <w:rsid w:val="00C33A92"/>
    <w:rsid w:val="00C3646F"/>
    <w:rsid w:val="00C41A67"/>
    <w:rsid w:val="00C41F13"/>
    <w:rsid w:val="00C44184"/>
    <w:rsid w:val="00C44890"/>
    <w:rsid w:val="00C5141E"/>
    <w:rsid w:val="00C5177C"/>
    <w:rsid w:val="00C52362"/>
    <w:rsid w:val="00C52F10"/>
    <w:rsid w:val="00C532C6"/>
    <w:rsid w:val="00C5506E"/>
    <w:rsid w:val="00C551B4"/>
    <w:rsid w:val="00C5564D"/>
    <w:rsid w:val="00C57BA7"/>
    <w:rsid w:val="00C618FD"/>
    <w:rsid w:val="00C638B0"/>
    <w:rsid w:val="00C67EDA"/>
    <w:rsid w:val="00C71522"/>
    <w:rsid w:val="00C72E8F"/>
    <w:rsid w:val="00C739BE"/>
    <w:rsid w:val="00C73E08"/>
    <w:rsid w:val="00C75E24"/>
    <w:rsid w:val="00C773DF"/>
    <w:rsid w:val="00C77421"/>
    <w:rsid w:val="00C77812"/>
    <w:rsid w:val="00C80FC2"/>
    <w:rsid w:val="00C81A10"/>
    <w:rsid w:val="00C86530"/>
    <w:rsid w:val="00C86DCE"/>
    <w:rsid w:val="00C870E1"/>
    <w:rsid w:val="00C92EBD"/>
    <w:rsid w:val="00C96761"/>
    <w:rsid w:val="00C969B9"/>
    <w:rsid w:val="00C97DCC"/>
    <w:rsid w:val="00CA04F0"/>
    <w:rsid w:val="00CA2487"/>
    <w:rsid w:val="00CA29E4"/>
    <w:rsid w:val="00CA4CEB"/>
    <w:rsid w:val="00CA53E3"/>
    <w:rsid w:val="00CA5930"/>
    <w:rsid w:val="00CA668E"/>
    <w:rsid w:val="00CA7379"/>
    <w:rsid w:val="00CA75A4"/>
    <w:rsid w:val="00CB3F81"/>
    <w:rsid w:val="00CB4B62"/>
    <w:rsid w:val="00CB4E25"/>
    <w:rsid w:val="00CB51D6"/>
    <w:rsid w:val="00CC0B32"/>
    <w:rsid w:val="00CC0C29"/>
    <w:rsid w:val="00CC5995"/>
    <w:rsid w:val="00CC5C82"/>
    <w:rsid w:val="00CC723C"/>
    <w:rsid w:val="00CD052E"/>
    <w:rsid w:val="00CD2F78"/>
    <w:rsid w:val="00CD3650"/>
    <w:rsid w:val="00CD4FBA"/>
    <w:rsid w:val="00CD616A"/>
    <w:rsid w:val="00CD7B90"/>
    <w:rsid w:val="00CE03AE"/>
    <w:rsid w:val="00CE09E4"/>
    <w:rsid w:val="00CE29B9"/>
    <w:rsid w:val="00CE66F4"/>
    <w:rsid w:val="00CE710E"/>
    <w:rsid w:val="00CE71A7"/>
    <w:rsid w:val="00CE7863"/>
    <w:rsid w:val="00CF2DD3"/>
    <w:rsid w:val="00CF7C75"/>
    <w:rsid w:val="00D00109"/>
    <w:rsid w:val="00D007C3"/>
    <w:rsid w:val="00D04476"/>
    <w:rsid w:val="00D04A69"/>
    <w:rsid w:val="00D10979"/>
    <w:rsid w:val="00D13BEE"/>
    <w:rsid w:val="00D1437F"/>
    <w:rsid w:val="00D17C0E"/>
    <w:rsid w:val="00D206C8"/>
    <w:rsid w:val="00D207E5"/>
    <w:rsid w:val="00D2142C"/>
    <w:rsid w:val="00D21CB4"/>
    <w:rsid w:val="00D22248"/>
    <w:rsid w:val="00D22763"/>
    <w:rsid w:val="00D24767"/>
    <w:rsid w:val="00D2566E"/>
    <w:rsid w:val="00D30235"/>
    <w:rsid w:val="00D30BDB"/>
    <w:rsid w:val="00D31DA7"/>
    <w:rsid w:val="00D33CCA"/>
    <w:rsid w:val="00D3400E"/>
    <w:rsid w:val="00D35948"/>
    <w:rsid w:val="00D35CC3"/>
    <w:rsid w:val="00D37233"/>
    <w:rsid w:val="00D4013E"/>
    <w:rsid w:val="00D423A3"/>
    <w:rsid w:val="00D423B5"/>
    <w:rsid w:val="00D42A9B"/>
    <w:rsid w:val="00D43311"/>
    <w:rsid w:val="00D46207"/>
    <w:rsid w:val="00D46723"/>
    <w:rsid w:val="00D52537"/>
    <w:rsid w:val="00D60F43"/>
    <w:rsid w:val="00D611D9"/>
    <w:rsid w:val="00D621C1"/>
    <w:rsid w:val="00D62E0C"/>
    <w:rsid w:val="00D7181C"/>
    <w:rsid w:val="00D73030"/>
    <w:rsid w:val="00D77043"/>
    <w:rsid w:val="00D808E2"/>
    <w:rsid w:val="00D80B0E"/>
    <w:rsid w:val="00D82B76"/>
    <w:rsid w:val="00D84A07"/>
    <w:rsid w:val="00D86DF6"/>
    <w:rsid w:val="00D87B8C"/>
    <w:rsid w:val="00D908ED"/>
    <w:rsid w:val="00D91A92"/>
    <w:rsid w:val="00D947D4"/>
    <w:rsid w:val="00D97938"/>
    <w:rsid w:val="00D97A79"/>
    <w:rsid w:val="00DA02A6"/>
    <w:rsid w:val="00DA02EB"/>
    <w:rsid w:val="00DA0766"/>
    <w:rsid w:val="00DA0ACF"/>
    <w:rsid w:val="00DA0EF3"/>
    <w:rsid w:val="00DA3F6D"/>
    <w:rsid w:val="00DA4BD4"/>
    <w:rsid w:val="00DA69E5"/>
    <w:rsid w:val="00DA6E25"/>
    <w:rsid w:val="00DB27C1"/>
    <w:rsid w:val="00DB2DC2"/>
    <w:rsid w:val="00DB414D"/>
    <w:rsid w:val="00DB5AE8"/>
    <w:rsid w:val="00DB7017"/>
    <w:rsid w:val="00DB748C"/>
    <w:rsid w:val="00DC05A7"/>
    <w:rsid w:val="00DC24BC"/>
    <w:rsid w:val="00DC2A25"/>
    <w:rsid w:val="00DC2DD1"/>
    <w:rsid w:val="00DC2DFB"/>
    <w:rsid w:val="00DC35C5"/>
    <w:rsid w:val="00DC3A8C"/>
    <w:rsid w:val="00DC54DD"/>
    <w:rsid w:val="00DC596B"/>
    <w:rsid w:val="00DC5D89"/>
    <w:rsid w:val="00DC6D78"/>
    <w:rsid w:val="00DC7A7C"/>
    <w:rsid w:val="00DC7D23"/>
    <w:rsid w:val="00DD223A"/>
    <w:rsid w:val="00DD3FC9"/>
    <w:rsid w:val="00DD7D7F"/>
    <w:rsid w:val="00DE02CD"/>
    <w:rsid w:val="00DE2E6D"/>
    <w:rsid w:val="00DE3EA3"/>
    <w:rsid w:val="00DE5752"/>
    <w:rsid w:val="00DE7606"/>
    <w:rsid w:val="00DE798D"/>
    <w:rsid w:val="00DF2F7C"/>
    <w:rsid w:val="00DF30CC"/>
    <w:rsid w:val="00E00C24"/>
    <w:rsid w:val="00E01AF9"/>
    <w:rsid w:val="00E02062"/>
    <w:rsid w:val="00E020F5"/>
    <w:rsid w:val="00E0322C"/>
    <w:rsid w:val="00E04848"/>
    <w:rsid w:val="00E051FD"/>
    <w:rsid w:val="00E0553D"/>
    <w:rsid w:val="00E069BC"/>
    <w:rsid w:val="00E07300"/>
    <w:rsid w:val="00E108EE"/>
    <w:rsid w:val="00E110FC"/>
    <w:rsid w:val="00E11542"/>
    <w:rsid w:val="00E17754"/>
    <w:rsid w:val="00E206DF"/>
    <w:rsid w:val="00E24E48"/>
    <w:rsid w:val="00E318DB"/>
    <w:rsid w:val="00E31EED"/>
    <w:rsid w:val="00E33243"/>
    <w:rsid w:val="00E337FA"/>
    <w:rsid w:val="00E33CEA"/>
    <w:rsid w:val="00E341CD"/>
    <w:rsid w:val="00E342FC"/>
    <w:rsid w:val="00E4247E"/>
    <w:rsid w:val="00E4279A"/>
    <w:rsid w:val="00E4340B"/>
    <w:rsid w:val="00E45338"/>
    <w:rsid w:val="00E45C45"/>
    <w:rsid w:val="00E460AD"/>
    <w:rsid w:val="00E52ED6"/>
    <w:rsid w:val="00E52EFB"/>
    <w:rsid w:val="00E5542A"/>
    <w:rsid w:val="00E57458"/>
    <w:rsid w:val="00E6261D"/>
    <w:rsid w:val="00E632B0"/>
    <w:rsid w:val="00E67BD5"/>
    <w:rsid w:val="00E70925"/>
    <w:rsid w:val="00E70BB3"/>
    <w:rsid w:val="00E716D7"/>
    <w:rsid w:val="00E72FE0"/>
    <w:rsid w:val="00E737C9"/>
    <w:rsid w:val="00E73961"/>
    <w:rsid w:val="00E76791"/>
    <w:rsid w:val="00E76799"/>
    <w:rsid w:val="00E8352C"/>
    <w:rsid w:val="00E837A8"/>
    <w:rsid w:val="00E868FB"/>
    <w:rsid w:val="00E905D1"/>
    <w:rsid w:val="00E907A5"/>
    <w:rsid w:val="00E908ED"/>
    <w:rsid w:val="00E91DD7"/>
    <w:rsid w:val="00E95082"/>
    <w:rsid w:val="00E95226"/>
    <w:rsid w:val="00E96EE8"/>
    <w:rsid w:val="00E970B8"/>
    <w:rsid w:val="00EA24D1"/>
    <w:rsid w:val="00EA2AEB"/>
    <w:rsid w:val="00EA40BB"/>
    <w:rsid w:val="00EA7676"/>
    <w:rsid w:val="00EA78D4"/>
    <w:rsid w:val="00EB0F02"/>
    <w:rsid w:val="00EB3D0C"/>
    <w:rsid w:val="00EB5DF2"/>
    <w:rsid w:val="00EB6633"/>
    <w:rsid w:val="00EB7F34"/>
    <w:rsid w:val="00EC1CAA"/>
    <w:rsid w:val="00EC23E2"/>
    <w:rsid w:val="00EC37F4"/>
    <w:rsid w:val="00EC4158"/>
    <w:rsid w:val="00EC434F"/>
    <w:rsid w:val="00EC4AB1"/>
    <w:rsid w:val="00EC695E"/>
    <w:rsid w:val="00EC7263"/>
    <w:rsid w:val="00ED1D61"/>
    <w:rsid w:val="00ED443D"/>
    <w:rsid w:val="00ED5D1D"/>
    <w:rsid w:val="00ED7A55"/>
    <w:rsid w:val="00EE33B6"/>
    <w:rsid w:val="00EE3968"/>
    <w:rsid w:val="00EE4B70"/>
    <w:rsid w:val="00EE72F6"/>
    <w:rsid w:val="00EF1130"/>
    <w:rsid w:val="00EF1F0D"/>
    <w:rsid w:val="00EF20C8"/>
    <w:rsid w:val="00EF2DDD"/>
    <w:rsid w:val="00EF4842"/>
    <w:rsid w:val="00EF5AAC"/>
    <w:rsid w:val="00EF5AF4"/>
    <w:rsid w:val="00F0262B"/>
    <w:rsid w:val="00F028AE"/>
    <w:rsid w:val="00F03C71"/>
    <w:rsid w:val="00F0487E"/>
    <w:rsid w:val="00F05097"/>
    <w:rsid w:val="00F1038D"/>
    <w:rsid w:val="00F107DE"/>
    <w:rsid w:val="00F10E78"/>
    <w:rsid w:val="00F13970"/>
    <w:rsid w:val="00F141BE"/>
    <w:rsid w:val="00F144B1"/>
    <w:rsid w:val="00F16AF6"/>
    <w:rsid w:val="00F20AF3"/>
    <w:rsid w:val="00F2287B"/>
    <w:rsid w:val="00F25DF3"/>
    <w:rsid w:val="00F26EFB"/>
    <w:rsid w:val="00F3074E"/>
    <w:rsid w:val="00F336F9"/>
    <w:rsid w:val="00F349EF"/>
    <w:rsid w:val="00F34D32"/>
    <w:rsid w:val="00F36BFF"/>
    <w:rsid w:val="00F41217"/>
    <w:rsid w:val="00F42F8A"/>
    <w:rsid w:val="00F501C5"/>
    <w:rsid w:val="00F530FA"/>
    <w:rsid w:val="00F55688"/>
    <w:rsid w:val="00F55940"/>
    <w:rsid w:val="00F570D1"/>
    <w:rsid w:val="00F57684"/>
    <w:rsid w:val="00F6053F"/>
    <w:rsid w:val="00F60832"/>
    <w:rsid w:val="00F60F99"/>
    <w:rsid w:val="00F6116B"/>
    <w:rsid w:val="00F6199B"/>
    <w:rsid w:val="00F62054"/>
    <w:rsid w:val="00F622CC"/>
    <w:rsid w:val="00F63B9F"/>
    <w:rsid w:val="00F6428D"/>
    <w:rsid w:val="00F64F60"/>
    <w:rsid w:val="00F65473"/>
    <w:rsid w:val="00F65CEC"/>
    <w:rsid w:val="00F677A8"/>
    <w:rsid w:val="00F7005F"/>
    <w:rsid w:val="00F74790"/>
    <w:rsid w:val="00F755A8"/>
    <w:rsid w:val="00F75FB7"/>
    <w:rsid w:val="00F81002"/>
    <w:rsid w:val="00F81B8D"/>
    <w:rsid w:val="00F82C98"/>
    <w:rsid w:val="00F83551"/>
    <w:rsid w:val="00F83C21"/>
    <w:rsid w:val="00F85DBD"/>
    <w:rsid w:val="00F87386"/>
    <w:rsid w:val="00F90A57"/>
    <w:rsid w:val="00F90E1B"/>
    <w:rsid w:val="00F939BB"/>
    <w:rsid w:val="00F94F53"/>
    <w:rsid w:val="00F95341"/>
    <w:rsid w:val="00F9644D"/>
    <w:rsid w:val="00F972C2"/>
    <w:rsid w:val="00F9743B"/>
    <w:rsid w:val="00F976D4"/>
    <w:rsid w:val="00FA0EDC"/>
    <w:rsid w:val="00FA6A55"/>
    <w:rsid w:val="00FA7F31"/>
    <w:rsid w:val="00FB0A48"/>
    <w:rsid w:val="00FB0AB0"/>
    <w:rsid w:val="00FB3250"/>
    <w:rsid w:val="00FB350A"/>
    <w:rsid w:val="00FB3DC2"/>
    <w:rsid w:val="00FB4973"/>
    <w:rsid w:val="00FB6086"/>
    <w:rsid w:val="00FB743F"/>
    <w:rsid w:val="00FC0295"/>
    <w:rsid w:val="00FC1E71"/>
    <w:rsid w:val="00FC2FA8"/>
    <w:rsid w:val="00FC6B4F"/>
    <w:rsid w:val="00FC6BA8"/>
    <w:rsid w:val="00FD367F"/>
    <w:rsid w:val="00FD577E"/>
    <w:rsid w:val="00FD6C3F"/>
    <w:rsid w:val="00FD732D"/>
    <w:rsid w:val="00FE1770"/>
    <w:rsid w:val="00FE181D"/>
    <w:rsid w:val="00FE372A"/>
    <w:rsid w:val="00FE3835"/>
    <w:rsid w:val="00FE455D"/>
    <w:rsid w:val="00FE509B"/>
    <w:rsid w:val="00FE5BF0"/>
    <w:rsid w:val="00FF05F3"/>
    <w:rsid w:val="00FF07BF"/>
    <w:rsid w:val="00FF4720"/>
    <w:rsid w:val="00FF507C"/>
    <w:rsid w:val="00FF6004"/>
    <w:rsid w:val="01306828"/>
    <w:rsid w:val="01624EE0"/>
    <w:rsid w:val="01662402"/>
    <w:rsid w:val="01701ABD"/>
    <w:rsid w:val="02562755"/>
    <w:rsid w:val="02DA5D25"/>
    <w:rsid w:val="02ED7782"/>
    <w:rsid w:val="031F79F9"/>
    <w:rsid w:val="033C039E"/>
    <w:rsid w:val="034E1C9C"/>
    <w:rsid w:val="034F7E9C"/>
    <w:rsid w:val="0350414E"/>
    <w:rsid w:val="0393146E"/>
    <w:rsid w:val="040373BA"/>
    <w:rsid w:val="041727ED"/>
    <w:rsid w:val="045810D0"/>
    <w:rsid w:val="04617582"/>
    <w:rsid w:val="046C20F2"/>
    <w:rsid w:val="048B4562"/>
    <w:rsid w:val="04D80F78"/>
    <w:rsid w:val="04EA6C03"/>
    <w:rsid w:val="05085662"/>
    <w:rsid w:val="05794EB4"/>
    <w:rsid w:val="05A41A35"/>
    <w:rsid w:val="05FD4437"/>
    <w:rsid w:val="065E3E51"/>
    <w:rsid w:val="068221D4"/>
    <w:rsid w:val="06A46ED6"/>
    <w:rsid w:val="06AC7422"/>
    <w:rsid w:val="06AE6811"/>
    <w:rsid w:val="06CC480E"/>
    <w:rsid w:val="06D35723"/>
    <w:rsid w:val="07035F9E"/>
    <w:rsid w:val="071D49F1"/>
    <w:rsid w:val="07E85B3B"/>
    <w:rsid w:val="08B145C2"/>
    <w:rsid w:val="08E86C57"/>
    <w:rsid w:val="0903414B"/>
    <w:rsid w:val="09382A14"/>
    <w:rsid w:val="09524BB3"/>
    <w:rsid w:val="097A2BC6"/>
    <w:rsid w:val="097F4570"/>
    <w:rsid w:val="098D0488"/>
    <w:rsid w:val="0997520B"/>
    <w:rsid w:val="09997899"/>
    <w:rsid w:val="099B2345"/>
    <w:rsid w:val="09BB13AC"/>
    <w:rsid w:val="09D576D8"/>
    <w:rsid w:val="0A031F31"/>
    <w:rsid w:val="0A1E2105"/>
    <w:rsid w:val="0A234687"/>
    <w:rsid w:val="0A555C86"/>
    <w:rsid w:val="0A6C2B84"/>
    <w:rsid w:val="0A7768CC"/>
    <w:rsid w:val="0AAC6519"/>
    <w:rsid w:val="0AD90AA8"/>
    <w:rsid w:val="0AEC16E1"/>
    <w:rsid w:val="0B0A31E1"/>
    <w:rsid w:val="0B1520EE"/>
    <w:rsid w:val="0B3748C8"/>
    <w:rsid w:val="0BB12935"/>
    <w:rsid w:val="0C226D6B"/>
    <w:rsid w:val="0C680D97"/>
    <w:rsid w:val="0CDF0370"/>
    <w:rsid w:val="0CF505DF"/>
    <w:rsid w:val="0D750C6A"/>
    <w:rsid w:val="0D8108B5"/>
    <w:rsid w:val="0E226129"/>
    <w:rsid w:val="0E4E7884"/>
    <w:rsid w:val="0E546DE2"/>
    <w:rsid w:val="0E574D4B"/>
    <w:rsid w:val="0E5E20E3"/>
    <w:rsid w:val="0F16123B"/>
    <w:rsid w:val="0F320316"/>
    <w:rsid w:val="0F406CEE"/>
    <w:rsid w:val="0FB423E7"/>
    <w:rsid w:val="0FB43D50"/>
    <w:rsid w:val="0FD5333D"/>
    <w:rsid w:val="0FDC3B1A"/>
    <w:rsid w:val="106A6486"/>
    <w:rsid w:val="108815C9"/>
    <w:rsid w:val="10DD5E3B"/>
    <w:rsid w:val="10EA3355"/>
    <w:rsid w:val="10EC03D3"/>
    <w:rsid w:val="117D76AC"/>
    <w:rsid w:val="11D80A2A"/>
    <w:rsid w:val="12083E70"/>
    <w:rsid w:val="12432111"/>
    <w:rsid w:val="12682BC0"/>
    <w:rsid w:val="126B5A1A"/>
    <w:rsid w:val="12941E06"/>
    <w:rsid w:val="129E41C7"/>
    <w:rsid w:val="12A43D1A"/>
    <w:rsid w:val="12DF7C1E"/>
    <w:rsid w:val="12ED1014"/>
    <w:rsid w:val="130C164B"/>
    <w:rsid w:val="132020AA"/>
    <w:rsid w:val="13787115"/>
    <w:rsid w:val="13AA167D"/>
    <w:rsid w:val="13AB47F4"/>
    <w:rsid w:val="141E25E8"/>
    <w:rsid w:val="145264A1"/>
    <w:rsid w:val="146647C0"/>
    <w:rsid w:val="1485090B"/>
    <w:rsid w:val="1487034E"/>
    <w:rsid w:val="14900085"/>
    <w:rsid w:val="14F06D33"/>
    <w:rsid w:val="1520596F"/>
    <w:rsid w:val="15252AC6"/>
    <w:rsid w:val="157C4592"/>
    <w:rsid w:val="159D754E"/>
    <w:rsid w:val="1617724F"/>
    <w:rsid w:val="161B0519"/>
    <w:rsid w:val="165F7FD0"/>
    <w:rsid w:val="169412C8"/>
    <w:rsid w:val="16E4503C"/>
    <w:rsid w:val="16F22931"/>
    <w:rsid w:val="16F66DD5"/>
    <w:rsid w:val="16FC1035"/>
    <w:rsid w:val="17252199"/>
    <w:rsid w:val="17474A24"/>
    <w:rsid w:val="174E5180"/>
    <w:rsid w:val="17AA0327"/>
    <w:rsid w:val="17C9013E"/>
    <w:rsid w:val="17CB5C58"/>
    <w:rsid w:val="17D539A8"/>
    <w:rsid w:val="1833213C"/>
    <w:rsid w:val="185E0D87"/>
    <w:rsid w:val="18B750F6"/>
    <w:rsid w:val="18C97FAD"/>
    <w:rsid w:val="18CC49FB"/>
    <w:rsid w:val="18E8031D"/>
    <w:rsid w:val="196F7A47"/>
    <w:rsid w:val="197C3667"/>
    <w:rsid w:val="19C81E8E"/>
    <w:rsid w:val="1A1F2AD0"/>
    <w:rsid w:val="1A3F2187"/>
    <w:rsid w:val="1A415F3C"/>
    <w:rsid w:val="1AC774D1"/>
    <w:rsid w:val="1AC9002F"/>
    <w:rsid w:val="1ACA0A1E"/>
    <w:rsid w:val="1B991338"/>
    <w:rsid w:val="1B991A5E"/>
    <w:rsid w:val="1BDC0561"/>
    <w:rsid w:val="1BE94127"/>
    <w:rsid w:val="1C053D04"/>
    <w:rsid w:val="1C570D0A"/>
    <w:rsid w:val="1C6159DB"/>
    <w:rsid w:val="1CA818F7"/>
    <w:rsid w:val="1CB12A2B"/>
    <w:rsid w:val="1CD129F0"/>
    <w:rsid w:val="1D5D08B1"/>
    <w:rsid w:val="1DC27BB1"/>
    <w:rsid w:val="1E0415FD"/>
    <w:rsid w:val="1EA3510D"/>
    <w:rsid w:val="1ED2021A"/>
    <w:rsid w:val="1EE015CE"/>
    <w:rsid w:val="1EE13EDD"/>
    <w:rsid w:val="1EEF3B28"/>
    <w:rsid w:val="1F864543"/>
    <w:rsid w:val="1F873401"/>
    <w:rsid w:val="1F9037F9"/>
    <w:rsid w:val="1FEE00C9"/>
    <w:rsid w:val="20470B39"/>
    <w:rsid w:val="207B5F0C"/>
    <w:rsid w:val="20975888"/>
    <w:rsid w:val="209A22E4"/>
    <w:rsid w:val="20C54819"/>
    <w:rsid w:val="20CD0FAE"/>
    <w:rsid w:val="20CF2DB5"/>
    <w:rsid w:val="20EE4C1F"/>
    <w:rsid w:val="20F14CF3"/>
    <w:rsid w:val="210D5722"/>
    <w:rsid w:val="219B2D93"/>
    <w:rsid w:val="21F96D11"/>
    <w:rsid w:val="222E57C7"/>
    <w:rsid w:val="223D6AB2"/>
    <w:rsid w:val="227D29D1"/>
    <w:rsid w:val="229D7F68"/>
    <w:rsid w:val="22A54D9C"/>
    <w:rsid w:val="22DD3491"/>
    <w:rsid w:val="235948B7"/>
    <w:rsid w:val="23887388"/>
    <w:rsid w:val="238F49D4"/>
    <w:rsid w:val="23A105AC"/>
    <w:rsid w:val="23D33D44"/>
    <w:rsid w:val="23F8406A"/>
    <w:rsid w:val="23F9471E"/>
    <w:rsid w:val="240B3EA4"/>
    <w:rsid w:val="243A745C"/>
    <w:rsid w:val="246955DA"/>
    <w:rsid w:val="24933552"/>
    <w:rsid w:val="24AA4F1B"/>
    <w:rsid w:val="24C30314"/>
    <w:rsid w:val="256A79A5"/>
    <w:rsid w:val="257F10F1"/>
    <w:rsid w:val="25DB4E01"/>
    <w:rsid w:val="261018C7"/>
    <w:rsid w:val="265009F1"/>
    <w:rsid w:val="26711BFC"/>
    <w:rsid w:val="26CF0668"/>
    <w:rsid w:val="26F77649"/>
    <w:rsid w:val="26FD6367"/>
    <w:rsid w:val="271C63C8"/>
    <w:rsid w:val="27A937FF"/>
    <w:rsid w:val="27D42D61"/>
    <w:rsid w:val="27FF616F"/>
    <w:rsid w:val="28091888"/>
    <w:rsid w:val="28400EFF"/>
    <w:rsid w:val="286B5D1A"/>
    <w:rsid w:val="28747581"/>
    <w:rsid w:val="28F7357D"/>
    <w:rsid w:val="28F82FAA"/>
    <w:rsid w:val="291A388C"/>
    <w:rsid w:val="29237FEE"/>
    <w:rsid w:val="2930538C"/>
    <w:rsid w:val="29E24AF9"/>
    <w:rsid w:val="2A9F53C2"/>
    <w:rsid w:val="2ABE6D3E"/>
    <w:rsid w:val="2AEA66D8"/>
    <w:rsid w:val="2B8C2C06"/>
    <w:rsid w:val="2C0072A7"/>
    <w:rsid w:val="2C1269F3"/>
    <w:rsid w:val="2C137B9B"/>
    <w:rsid w:val="2C154E19"/>
    <w:rsid w:val="2C316B87"/>
    <w:rsid w:val="2C6F0644"/>
    <w:rsid w:val="2C71502F"/>
    <w:rsid w:val="2CCC2F0E"/>
    <w:rsid w:val="2CE154EF"/>
    <w:rsid w:val="2D133C35"/>
    <w:rsid w:val="2D1F6B6D"/>
    <w:rsid w:val="2D331378"/>
    <w:rsid w:val="2D5C17F4"/>
    <w:rsid w:val="2D953502"/>
    <w:rsid w:val="2D980C67"/>
    <w:rsid w:val="2DA92C2E"/>
    <w:rsid w:val="2DAB7EEB"/>
    <w:rsid w:val="2E06332D"/>
    <w:rsid w:val="2E0B1360"/>
    <w:rsid w:val="2E0C5CAB"/>
    <w:rsid w:val="2E3B6C2B"/>
    <w:rsid w:val="2E532019"/>
    <w:rsid w:val="2E8A25DF"/>
    <w:rsid w:val="2EB10982"/>
    <w:rsid w:val="2EE33544"/>
    <w:rsid w:val="2F6923C2"/>
    <w:rsid w:val="2F6D333F"/>
    <w:rsid w:val="2F7A6C2D"/>
    <w:rsid w:val="2FA51E48"/>
    <w:rsid w:val="2FCC6334"/>
    <w:rsid w:val="2FDE6968"/>
    <w:rsid w:val="2FFE47A9"/>
    <w:rsid w:val="3010319D"/>
    <w:rsid w:val="30135FF0"/>
    <w:rsid w:val="302701EE"/>
    <w:rsid w:val="30274E44"/>
    <w:rsid w:val="30E41E7F"/>
    <w:rsid w:val="317748C3"/>
    <w:rsid w:val="31B67530"/>
    <w:rsid w:val="32E80890"/>
    <w:rsid w:val="33127663"/>
    <w:rsid w:val="33271930"/>
    <w:rsid w:val="33F52138"/>
    <w:rsid w:val="33F5217A"/>
    <w:rsid w:val="33F95398"/>
    <w:rsid w:val="34087DCE"/>
    <w:rsid w:val="34517848"/>
    <w:rsid w:val="34636979"/>
    <w:rsid w:val="34C60433"/>
    <w:rsid w:val="35170F52"/>
    <w:rsid w:val="35552F18"/>
    <w:rsid w:val="358D2CEC"/>
    <w:rsid w:val="359B7820"/>
    <w:rsid w:val="35C8122B"/>
    <w:rsid w:val="36064383"/>
    <w:rsid w:val="36191ACE"/>
    <w:rsid w:val="361F5C58"/>
    <w:rsid w:val="362A4E9F"/>
    <w:rsid w:val="36323FD4"/>
    <w:rsid w:val="36502905"/>
    <w:rsid w:val="3651028A"/>
    <w:rsid w:val="36512A30"/>
    <w:rsid w:val="367E7E58"/>
    <w:rsid w:val="368C4CC3"/>
    <w:rsid w:val="36BE54A9"/>
    <w:rsid w:val="36D5687C"/>
    <w:rsid w:val="37593EE3"/>
    <w:rsid w:val="37874AB5"/>
    <w:rsid w:val="378F0D95"/>
    <w:rsid w:val="37A04834"/>
    <w:rsid w:val="37C12833"/>
    <w:rsid w:val="37C63AF2"/>
    <w:rsid w:val="37DB74BF"/>
    <w:rsid w:val="37E9409F"/>
    <w:rsid w:val="37FE21A9"/>
    <w:rsid w:val="380615FB"/>
    <w:rsid w:val="380F407F"/>
    <w:rsid w:val="38414377"/>
    <w:rsid w:val="38F022FD"/>
    <w:rsid w:val="390F2A34"/>
    <w:rsid w:val="392271D6"/>
    <w:rsid w:val="392654E2"/>
    <w:rsid w:val="39397B76"/>
    <w:rsid w:val="39AF3410"/>
    <w:rsid w:val="39B04B17"/>
    <w:rsid w:val="39D77CC3"/>
    <w:rsid w:val="39DF7F1A"/>
    <w:rsid w:val="3A05503B"/>
    <w:rsid w:val="3A160AB5"/>
    <w:rsid w:val="3A1A51BE"/>
    <w:rsid w:val="3AAA0D45"/>
    <w:rsid w:val="3AB1089E"/>
    <w:rsid w:val="3AC06ECD"/>
    <w:rsid w:val="3AD052F2"/>
    <w:rsid w:val="3ADD0806"/>
    <w:rsid w:val="3AEE531F"/>
    <w:rsid w:val="3B38277F"/>
    <w:rsid w:val="3B8A199F"/>
    <w:rsid w:val="3BF17BB3"/>
    <w:rsid w:val="3C236FC2"/>
    <w:rsid w:val="3C2A32DA"/>
    <w:rsid w:val="3C663AAA"/>
    <w:rsid w:val="3C917728"/>
    <w:rsid w:val="3CBB2C93"/>
    <w:rsid w:val="3CC3711C"/>
    <w:rsid w:val="3CC55AA4"/>
    <w:rsid w:val="3CEA61CD"/>
    <w:rsid w:val="3D544835"/>
    <w:rsid w:val="3D665148"/>
    <w:rsid w:val="3D824C89"/>
    <w:rsid w:val="3D9D5859"/>
    <w:rsid w:val="3DA751DC"/>
    <w:rsid w:val="3DAE3559"/>
    <w:rsid w:val="3DB17402"/>
    <w:rsid w:val="3DC44D75"/>
    <w:rsid w:val="3DDA470C"/>
    <w:rsid w:val="3E201EA2"/>
    <w:rsid w:val="3E625E3D"/>
    <w:rsid w:val="3E826BDC"/>
    <w:rsid w:val="3EA87CF1"/>
    <w:rsid w:val="3EC21C76"/>
    <w:rsid w:val="3F00565B"/>
    <w:rsid w:val="3F0406DA"/>
    <w:rsid w:val="3F6F2022"/>
    <w:rsid w:val="3FB62188"/>
    <w:rsid w:val="3FEA42D9"/>
    <w:rsid w:val="3FF2710F"/>
    <w:rsid w:val="40252955"/>
    <w:rsid w:val="4035192F"/>
    <w:rsid w:val="403C5EB0"/>
    <w:rsid w:val="405816BB"/>
    <w:rsid w:val="40D85FFF"/>
    <w:rsid w:val="4102222C"/>
    <w:rsid w:val="412B0435"/>
    <w:rsid w:val="413A5B73"/>
    <w:rsid w:val="41534FDE"/>
    <w:rsid w:val="422A7075"/>
    <w:rsid w:val="42512E17"/>
    <w:rsid w:val="42665324"/>
    <w:rsid w:val="42733316"/>
    <w:rsid w:val="42E428D9"/>
    <w:rsid w:val="43070F00"/>
    <w:rsid w:val="434F1144"/>
    <w:rsid w:val="437A1E44"/>
    <w:rsid w:val="43804F16"/>
    <w:rsid w:val="43A912FF"/>
    <w:rsid w:val="43CF1AEA"/>
    <w:rsid w:val="43DC32A5"/>
    <w:rsid w:val="43F02838"/>
    <w:rsid w:val="43FD5D9C"/>
    <w:rsid w:val="442847ED"/>
    <w:rsid w:val="444A6AD6"/>
    <w:rsid w:val="44735759"/>
    <w:rsid w:val="449C79FF"/>
    <w:rsid w:val="45137EAB"/>
    <w:rsid w:val="45626003"/>
    <w:rsid w:val="4578687B"/>
    <w:rsid w:val="45B56424"/>
    <w:rsid w:val="45C422DA"/>
    <w:rsid w:val="45FE2C8A"/>
    <w:rsid w:val="460E7858"/>
    <w:rsid w:val="465A6E3D"/>
    <w:rsid w:val="46867ED3"/>
    <w:rsid w:val="46A54893"/>
    <w:rsid w:val="46B86586"/>
    <w:rsid w:val="46BE5E12"/>
    <w:rsid w:val="46E00069"/>
    <w:rsid w:val="46EA0EE8"/>
    <w:rsid w:val="47022150"/>
    <w:rsid w:val="471C08FF"/>
    <w:rsid w:val="47441AC3"/>
    <w:rsid w:val="47560F0F"/>
    <w:rsid w:val="47AA1B8A"/>
    <w:rsid w:val="47CF1C11"/>
    <w:rsid w:val="47DB4188"/>
    <w:rsid w:val="48A11F06"/>
    <w:rsid w:val="48DE2D8C"/>
    <w:rsid w:val="490E1E33"/>
    <w:rsid w:val="491263E3"/>
    <w:rsid w:val="491B785F"/>
    <w:rsid w:val="49872310"/>
    <w:rsid w:val="49BC35B4"/>
    <w:rsid w:val="49D746D1"/>
    <w:rsid w:val="4A727AC0"/>
    <w:rsid w:val="4A790363"/>
    <w:rsid w:val="4A9A7CE9"/>
    <w:rsid w:val="4AC85390"/>
    <w:rsid w:val="4AE23ED7"/>
    <w:rsid w:val="4B1F4D2F"/>
    <w:rsid w:val="4B23275F"/>
    <w:rsid w:val="4B2D1F2B"/>
    <w:rsid w:val="4BD87094"/>
    <w:rsid w:val="4C162565"/>
    <w:rsid w:val="4C1B5723"/>
    <w:rsid w:val="4C1F0B36"/>
    <w:rsid w:val="4C245178"/>
    <w:rsid w:val="4C740C06"/>
    <w:rsid w:val="4CA454E7"/>
    <w:rsid w:val="4CB86188"/>
    <w:rsid w:val="4D0156BD"/>
    <w:rsid w:val="4D3E44C1"/>
    <w:rsid w:val="4DDE6BF2"/>
    <w:rsid w:val="4E1C5593"/>
    <w:rsid w:val="4E72636D"/>
    <w:rsid w:val="4E8B2080"/>
    <w:rsid w:val="4EA05A63"/>
    <w:rsid w:val="4EA56967"/>
    <w:rsid w:val="4EAB1040"/>
    <w:rsid w:val="4EAF23FA"/>
    <w:rsid w:val="4EEE0BE4"/>
    <w:rsid w:val="4F097424"/>
    <w:rsid w:val="4F216C8F"/>
    <w:rsid w:val="4F2B4121"/>
    <w:rsid w:val="4F611F6B"/>
    <w:rsid w:val="4FA9347F"/>
    <w:rsid w:val="4FC041B6"/>
    <w:rsid w:val="4FC24348"/>
    <w:rsid w:val="500C5DAB"/>
    <w:rsid w:val="50194E91"/>
    <w:rsid w:val="50200E57"/>
    <w:rsid w:val="50FD3388"/>
    <w:rsid w:val="51002253"/>
    <w:rsid w:val="5145475A"/>
    <w:rsid w:val="51BE41C7"/>
    <w:rsid w:val="51DC4FC8"/>
    <w:rsid w:val="520D32A6"/>
    <w:rsid w:val="520E65D6"/>
    <w:rsid w:val="52173CA3"/>
    <w:rsid w:val="52226F24"/>
    <w:rsid w:val="52284066"/>
    <w:rsid w:val="52370DA2"/>
    <w:rsid w:val="52727CDE"/>
    <w:rsid w:val="52884A3C"/>
    <w:rsid w:val="52BE3EF0"/>
    <w:rsid w:val="531D47C2"/>
    <w:rsid w:val="53941425"/>
    <w:rsid w:val="53FA597C"/>
    <w:rsid w:val="542E6994"/>
    <w:rsid w:val="54460782"/>
    <w:rsid w:val="54625D00"/>
    <w:rsid w:val="546535C8"/>
    <w:rsid w:val="54811DD7"/>
    <w:rsid w:val="54977A3B"/>
    <w:rsid w:val="551C1E5C"/>
    <w:rsid w:val="552F6459"/>
    <w:rsid w:val="55354307"/>
    <w:rsid w:val="55923CDA"/>
    <w:rsid w:val="55C4081C"/>
    <w:rsid w:val="55D4046D"/>
    <w:rsid w:val="55D57258"/>
    <w:rsid w:val="55DB06BA"/>
    <w:rsid w:val="55E92E63"/>
    <w:rsid w:val="560F2BDE"/>
    <w:rsid w:val="56225047"/>
    <w:rsid w:val="56235461"/>
    <w:rsid w:val="563E0F55"/>
    <w:rsid w:val="566E6AEA"/>
    <w:rsid w:val="569F48E9"/>
    <w:rsid w:val="56A409DF"/>
    <w:rsid w:val="56F957CC"/>
    <w:rsid w:val="5742497F"/>
    <w:rsid w:val="574A4320"/>
    <w:rsid w:val="577355FB"/>
    <w:rsid w:val="57A64286"/>
    <w:rsid w:val="57FD637A"/>
    <w:rsid w:val="5820564B"/>
    <w:rsid w:val="5837216C"/>
    <w:rsid w:val="585D77B7"/>
    <w:rsid w:val="593C3421"/>
    <w:rsid w:val="59586F16"/>
    <w:rsid w:val="598742F6"/>
    <w:rsid w:val="59B33EF3"/>
    <w:rsid w:val="59B63F65"/>
    <w:rsid w:val="5A0D0A59"/>
    <w:rsid w:val="5A453AC9"/>
    <w:rsid w:val="5AD171D5"/>
    <w:rsid w:val="5AEF5246"/>
    <w:rsid w:val="5B0011FB"/>
    <w:rsid w:val="5B1B745B"/>
    <w:rsid w:val="5B3307D1"/>
    <w:rsid w:val="5B3D35A3"/>
    <w:rsid w:val="5B5127DC"/>
    <w:rsid w:val="5B7F7494"/>
    <w:rsid w:val="5BB579B5"/>
    <w:rsid w:val="5C0758B0"/>
    <w:rsid w:val="5C0C11FA"/>
    <w:rsid w:val="5C6E5059"/>
    <w:rsid w:val="5C703B76"/>
    <w:rsid w:val="5C897483"/>
    <w:rsid w:val="5CC0652A"/>
    <w:rsid w:val="5D1404EF"/>
    <w:rsid w:val="5DB142C9"/>
    <w:rsid w:val="5DB512A2"/>
    <w:rsid w:val="5DB84DCA"/>
    <w:rsid w:val="5E5103E6"/>
    <w:rsid w:val="5E5B78C3"/>
    <w:rsid w:val="5F3C5722"/>
    <w:rsid w:val="5F4F0F65"/>
    <w:rsid w:val="5F5917CD"/>
    <w:rsid w:val="5F5B0694"/>
    <w:rsid w:val="5FA738F3"/>
    <w:rsid w:val="5FD14456"/>
    <w:rsid w:val="60115016"/>
    <w:rsid w:val="60165FB8"/>
    <w:rsid w:val="602A2A60"/>
    <w:rsid w:val="607F4FFE"/>
    <w:rsid w:val="60DD5DBF"/>
    <w:rsid w:val="61194286"/>
    <w:rsid w:val="615320A4"/>
    <w:rsid w:val="615A3CAD"/>
    <w:rsid w:val="61707C4E"/>
    <w:rsid w:val="61910237"/>
    <w:rsid w:val="61964F87"/>
    <w:rsid w:val="61AD4CD3"/>
    <w:rsid w:val="61D4714A"/>
    <w:rsid w:val="61DA0B3F"/>
    <w:rsid w:val="62667B97"/>
    <w:rsid w:val="62860333"/>
    <w:rsid w:val="629B2FCA"/>
    <w:rsid w:val="62A7552A"/>
    <w:rsid w:val="62A76753"/>
    <w:rsid w:val="62E57CC6"/>
    <w:rsid w:val="630021B4"/>
    <w:rsid w:val="63033AC7"/>
    <w:rsid w:val="63041FF7"/>
    <w:rsid w:val="635D320F"/>
    <w:rsid w:val="636E450E"/>
    <w:rsid w:val="638E569A"/>
    <w:rsid w:val="63A97597"/>
    <w:rsid w:val="63C444A1"/>
    <w:rsid w:val="63DB6642"/>
    <w:rsid w:val="63DF5491"/>
    <w:rsid w:val="6419756F"/>
    <w:rsid w:val="64634D2F"/>
    <w:rsid w:val="64FB6766"/>
    <w:rsid w:val="654B62FB"/>
    <w:rsid w:val="654E6285"/>
    <w:rsid w:val="65581224"/>
    <w:rsid w:val="658418B9"/>
    <w:rsid w:val="65F16DC8"/>
    <w:rsid w:val="65FC2D7A"/>
    <w:rsid w:val="661B34A9"/>
    <w:rsid w:val="664508AF"/>
    <w:rsid w:val="66BC7DE3"/>
    <w:rsid w:val="66CD2A9D"/>
    <w:rsid w:val="6721206A"/>
    <w:rsid w:val="67262A4E"/>
    <w:rsid w:val="674D2F02"/>
    <w:rsid w:val="676F2700"/>
    <w:rsid w:val="681E441E"/>
    <w:rsid w:val="68592037"/>
    <w:rsid w:val="688269B4"/>
    <w:rsid w:val="68D52C6F"/>
    <w:rsid w:val="691350F3"/>
    <w:rsid w:val="693B36D5"/>
    <w:rsid w:val="695A4C8F"/>
    <w:rsid w:val="699A5D80"/>
    <w:rsid w:val="69B313B3"/>
    <w:rsid w:val="69D57E5C"/>
    <w:rsid w:val="6A8D0D77"/>
    <w:rsid w:val="6AE260D0"/>
    <w:rsid w:val="6AE72B80"/>
    <w:rsid w:val="6B18211B"/>
    <w:rsid w:val="6B4F2181"/>
    <w:rsid w:val="6BB309F5"/>
    <w:rsid w:val="6C2D0E3F"/>
    <w:rsid w:val="6C3002A1"/>
    <w:rsid w:val="6C53736C"/>
    <w:rsid w:val="6CFC3325"/>
    <w:rsid w:val="6D120E5B"/>
    <w:rsid w:val="6D39301B"/>
    <w:rsid w:val="6D8265D6"/>
    <w:rsid w:val="6D9F7D89"/>
    <w:rsid w:val="6E2B7C8C"/>
    <w:rsid w:val="6E4D0FC3"/>
    <w:rsid w:val="6E6352D0"/>
    <w:rsid w:val="6E744212"/>
    <w:rsid w:val="6EEE07CB"/>
    <w:rsid w:val="6EFF076C"/>
    <w:rsid w:val="6F1F251D"/>
    <w:rsid w:val="6F2B67FD"/>
    <w:rsid w:val="6F384343"/>
    <w:rsid w:val="6F53610A"/>
    <w:rsid w:val="6F573C8F"/>
    <w:rsid w:val="6F695F96"/>
    <w:rsid w:val="6F957C9B"/>
    <w:rsid w:val="700251DD"/>
    <w:rsid w:val="703B2440"/>
    <w:rsid w:val="70C04A07"/>
    <w:rsid w:val="70D506DF"/>
    <w:rsid w:val="710C468C"/>
    <w:rsid w:val="71311F6B"/>
    <w:rsid w:val="71711E9F"/>
    <w:rsid w:val="71726EB7"/>
    <w:rsid w:val="71A77B33"/>
    <w:rsid w:val="71D54907"/>
    <w:rsid w:val="72046BA7"/>
    <w:rsid w:val="721A3ACD"/>
    <w:rsid w:val="721C3F12"/>
    <w:rsid w:val="722E006D"/>
    <w:rsid w:val="72325A55"/>
    <w:rsid w:val="72750C32"/>
    <w:rsid w:val="72776D9D"/>
    <w:rsid w:val="728806F6"/>
    <w:rsid w:val="72CE44AF"/>
    <w:rsid w:val="7331545D"/>
    <w:rsid w:val="73471A2D"/>
    <w:rsid w:val="7349721B"/>
    <w:rsid w:val="73645E6C"/>
    <w:rsid w:val="73674EB1"/>
    <w:rsid w:val="73C51D92"/>
    <w:rsid w:val="73D25303"/>
    <w:rsid w:val="73E530F6"/>
    <w:rsid w:val="74293145"/>
    <w:rsid w:val="7472566A"/>
    <w:rsid w:val="749F4E75"/>
    <w:rsid w:val="74DA5D57"/>
    <w:rsid w:val="74DE09BE"/>
    <w:rsid w:val="7545076E"/>
    <w:rsid w:val="764F31CC"/>
    <w:rsid w:val="768B2CC3"/>
    <w:rsid w:val="76BA1B20"/>
    <w:rsid w:val="770605FE"/>
    <w:rsid w:val="77226D77"/>
    <w:rsid w:val="772F6037"/>
    <w:rsid w:val="7738735A"/>
    <w:rsid w:val="77742EA7"/>
    <w:rsid w:val="7789095D"/>
    <w:rsid w:val="77A3669C"/>
    <w:rsid w:val="77B94132"/>
    <w:rsid w:val="77DC511D"/>
    <w:rsid w:val="780012D6"/>
    <w:rsid w:val="782D2B19"/>
    <w:rsid w:val="786771CF"/>
    <w:rsid w:val="786C1FBD"/>
    <w:rsid w:val="794C711B"/>
    <w:rsid w:val="794D359B"/>
    <w:rsid w:val="797E6D84"/>
    <w:rsid w:val="79C347FD"/>
    <w:rsid w:val="79C90875"/>
    <w:rsid w:val="79F672EF"/>
    <w:rsid w:val="7A5B536B"/>
    <w:rsid w:val="7A657024"/>
    <w:rsid w:val="7A762270"/>
    <w:rsid w:val="7A824788"/>
    <w:rsid w:val="7AA85979"/>
    <w:rsid w:val="7AC30375"/>
    <w:rsid w:val="7AEC24E2"/>
    <w:rsid w:val="7B1A017F"/>
    <w:rsid w:val="7B284F22"/>
    <w:rsid w:val="7B3A1749"/>
    <w:rsid w:val="7BE82E0D"/>
    <w:rsid w:val="7BFE6AA7"/>
    <w:rsid w:val="7C0176A1"/>
    <w:rsid w:val="7CA20611"/>
    <w:rsid w:val="7CAA42EF"/>
    <w:rsid w:val="7CE5021E"/>
    <w:rsid w:val="7D070F56"/>
    <w:rsid w:val="7D6E489F"/>
    <w:rsid w:val="7D7948AE"/>
    <w:rsid w:val="7D9A3CBE"/>
    <w:rsid w:val="7DC37EE4"/>
    <w:rsid w:val="7DD16771"/>
    <w:rsid w:val="7DFD426D"/>
    <w:rsid w:val="7E287F57"/>
    <w:rsid w:val="7E620634"/>
    <w:rsid w:val="7E623BB1"/>
    <w:rsid w:val="7F5F55D8"/>
    <w:rsid w:val="7FC16AAD"/>
    <w:rsid w:val="7FC62A05"/>
    <w:rsid w:val="7FD26041"/>
    <w:rsid w:val="7FF11D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pPr>
      <w:spacing w:after="0"/>
    </w:pPr>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customStyle="1" w:styleId="11">
    <w:name w:val="页眉 Char"/>
    <w:basedOn w:val="8"/>
    <w:link w:val="6"/>
    <w:qFormat/>
    <w:uiPriority w:val="99"/>
    <w:rPr>
      <w:rFonts w:ascii="Tahoma" w:hAnsi="Tahoma"/>
      <w:sz w:val="18"/>
      <w:szCs w:val="18"/>
    </w:rPr>
  </w:style>
  <w:style w:type="character" w:customStyle="1" w:styleId="12">
    <w:name w:val="页脚 Char"/>
    <w:basedOn w:val="8"/>
    <w:link w:val="5"/>
    <w:qFormat/>
    <w:uiPriority w:val="99"/>
    <w:rPr>
      <w:rFonts w:ascii="Tahoma" w:hAnsi="Tahoma"/>
      <w:sz w:val="18"/>
      <w:szCs w:val="18"/>
    </w:rPr>
  </w:style>
  <w:style w:type="character" w:customStyle="1" w:styleId="13">
    <w:name w:val="批注框文本 Char"/>
    <w:basedOn w:val="8"/>
    <w:link w:val="4"/>
    <w:semiHidden/>
    <w:qFormat/>
    <w:uiPriority w:val="99"/>
    <w:rPr>
      <w:rFonts w:ascii="Tahoma" w:hAnsi="Tahoma"/>
      <w:sz w:val="18"/>
      <w:szCs w:val="18"/>
    </w:rPr>
  </w:style>
  <w:style w:type="character" w:customStyle="1" w:styleId="14">
    <w:name w:val="日期 Char"/>
    <w:basedOn w:val="8"/>
    <w:link w:val="3"/>
    <w:semiHidden/>
    <w:qFormat/>
    <w:uiPriority w:val="99"/>
    <w:rPr>
      <w:rFonts w:ascii="Tahoma" w:hAnsi="Tahoma"/>
    </w:rPr>
  </w:style>
  <w:style w:type="paragraph" w:styleId="15">
    <w:name w:val="No Spacing"/>
    <w:qFormat/>
    <w:uiPriority w:val="1"/>
    <w:pPr>
      <w:adjustRightInd w:val="0"/>
      <w:snapToGrid w:val="0"/>
    </w:pPr>
    <w:rPr>
      <w:rFonts w:ascii="Tahoma" w:hAnsi="Tahoma" w:eastAsia="微软雅黑" w:cstheme="minorBidi"/>
      <w:sz w:val="22"/>
      <w:szCs w:val="22"/>
      <w:lang w:val="en-US" w:eastAsia="zh-CN" w:bidi="ar-SA"/>
    </w:rPr>
  </w:style>
  <w:style w:type="paragraph" w:styleId="16">
    <w:name w:val="List Paragraph"/>
    <w:basedOn w:val="1"/>
    <w:qFormat/>
    <w:uiPriority w:val="34"/>
    <w:pPr>
      <w:ind w:firstLine="420" w:firstLineChars="200"/>
    </w:pPr>
  </w:style>
  <w:style w:type="paragraph" w:customStyle="1" w:styleId="17">
    <w:name w:val="msonospacing"/>
    <w:basedOn w:val="1"/>
    <w:qFormat/>
    <w:uiPriority w:val="0"/>
    <w:pPr>
      <w:spacing w:after="0"/>
    </w:pPr>
    <w:rPr>
      <w:rFonts w:cs="Times New Roman"/>
    </w:rPr>
  </w:style>
  <w:style w:type="character" w:customStyle="1" w:styleId="18">
    <w:name w:val="不明显强调1"/>
    <w:basedOn w:val="8"/>
    <w:qFormat/>
    <w:uiPriority w:val="19"/>
    <w:rPr>
      <w:i/>
      <w:iCs/>
      <w:color w:val="7F7F7F" w:themeColor="text1" w:themeTint="7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986315-9BF2-46C6-ABDA-097A7523574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22</Pages>
  <Words>1816</Words>
  <Characters>10355</Characters>
  <Lines>86</Lines>
  <Paragraphs>24</Paragraphs>
  <TotalTime>10</TotalTime>
  <ScaleCrop>false</ScaleCrop>
  <LinksUpToDate>false</LinksUpToDate>
  <CharactersWithSpaces>12147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2019-12-08T13:11:00Z</dcterms:created>
  <dc:creator>xtzj</dc:creator>
  <cp:lastModifiedBy>嗨妹</cp:lastModifiedBy>
  <cp:lastPrinted>2020-11-24T03:03:00Z</cp:lastPrinted>
  <dcterms:modified xsi:type="dcterms:W3CDTF">2021-02-08T09:46:32Z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