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E7D9E">
      <w:pPr>
        <w:spacing w:line="360" w:lineRule="auto"/>
        <w:ind w:firstLine="480" w:firstLineChars="200"/>
        <w:rPr>
          <w:rFonts w:hint="eastAsia" w:eastAsia="宋体"/>
          <w:color w:val="auto"/>
          <w:sz w:val="24"/>
          <w:szCs w:val="24"/>
          <w:highlight w:val="none"/>
          <w:lang w:eastAsia="zh-CN"/>
        </w:rPr>
      </w:pPr>
      <w:r>
        <w:rPr>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-2819400</wp:posOffset>
                </wp:positionH>
                <wp:positionV relativeFrom="paragraph">
                  <wp:posOffset>-1094105</wp:posOffset>
                </wp:positionV>
                <wp:extent cx="635" cy="0"/>
                <wp:effectExtent l="0" t="10795" r="18415" b="17780"/>
                <wp:wrapNone/>
                <wp:docPr id="2" name="任意多边形 2"/>
                <wp:cNvGraphicFramePr/>
                <a:graphic xmlns:a="http://schemas.openxmlformats.org/drawingml/2006/main">
                  <a:graphicData uri="http://schemas.microsoft.com/office/word/2010/wordprocessingShape">
                    <wps:wsp>
                      <wps:cNvSpPr/>
                      <wps:spPr>
                        <a:xfrm>
                          <a:off x="0" y="0"/>
                          <a:ext cx="635" cy="0"/>
                        </a:xfrm>
                        <a:custGeom>
                          <a:avLst/>
                          <a:gdLst/>
                          <a:ahLst/>
                          <a:cxnLst/>
                          <a:pathLst>
                            <a:path w="1438" h="1262">
                              <a:moveTo>
                                <a:pt x="1367" y="935"/>
                              </a:moveTo>
                              <a:lnTo>
                                <a:pt x="1438" y="441"/>
                              </a:lnTo>
                              <a:lnTo>
                                <a:pt x="1252" y="238"/>
                              </a:lnTo>
                              <a:lnTo>
                                <a:pt x="414" y="0"/>
                              </a:lnTo>
                              <a:lnTo>
                                <a:pt x="0" y="926"/>
                              </a:lnTo>
                              <a:lnTo>
                                <a:pt x="8" y="1262"/>
                              </a:lnTo>
                              <a:lnTo>
                                <a:pt x="661" y="1207"/>
                              </a:lnTo>
                              <a:lnTo>
                                <a:pt x="1367" y="935"/>
                              </a:lnTo>
                              <a:close/>
                            </a:path>
                          </a:pathLst>
                        </a:custGeom>
                        <a:noFill/>
                        <a:ln w="22225"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22pt;margin-top:-86.15pt;height:0pt;width:0.05pt;z-index:251659264;mso-width-relative:page;mso-height-relative:page;" filled="f" stroked="t" coordsize="1438,1262" o:gfxdata="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lXi0t0AAAAPAQAADwAAAAAAAAAB&#10;ACAAAAAiAAAAZHJzL2Rvd25yZXYueG1sUEsBAhQAFAAAAAgAh07iQLGb1Kt9AgAAhwUAAA4AAAAA&#10;AAAAAQAgAAAALAEAAGRycy9lMm9Eb2MueG1sUEsFBgAAAAAGAAYAWQEAABsGAAAAAA==&#10;" path="m1367,935l1438,441,1252,238,414,0,0,926,8,1262,661,1207,1367,935xe">
                <v:fill on="f" focussize="0,0"/>
                <v:stroke weight="1.75pt" color="#FF0000" joinstyle="round"/>
                <v:imagedata o:title=""/>
                <o:lock v:ext="edit" aspectratio="f"/>
              </v:shape>
            </w:pict>
          </mc:Fallback>
        </mc:AlternateContent>
      </w:r>
    </w:p>
    <w:p w14:paraId="1EA5C107">
      <w:pPr>
        <w:spacing w:line="360" w:lineRule="auto"/>
        <w:ind w:firstLine="480" w:firstLineChars="200"/>
        <w:rPr>
          <w:color w:val="auto"/>
          <w:sz w:val="24"/>
          <w:szCs w:val="24"/>
          <w:highlight w:val="none"/>
        </w:rPr>
      </w:pPr>
    </w:p>
    <w:p w14:paraId="65F4CE8D">
      <w:pPr>
        <w:spacing w:line="360" w:lineRule="auto"/>
        <w:ind w:firstLine="480" w:firstLineChars="200"/>
        <w:rPr>
          <w:color w:val="auto"/>
          <w:sz w:val="24"/>
          <w:szCs w:val="24"/>
          <w:highlight w:val="none"/>
        </w:rPr>
      </w:pPr>
    </w:p>
    <w:p w14:paraId="7036F6EE">
      <w:pPr>
        <w:spacing w:line="360" w:lineRule="auto"/>
        <w:ind w:firstLine="480" w:firstLineChars="200"/>
        <w:rPr>
          <w:color w:val="auto"/>
          <w:sz w:val="24"/>
          <w:szCs w:val="24"/>
          <w:highlight w:val="none"/>
        </w:rPr>
      </w:pPr>
    </w:p>
    <w:p w14:paraId="2FCEA17D">
      <w:pPr>
        <w:spacing w:line="360" w:lineRule="auto"/>
        <w:ind w:firstLine="480" w:firstLineChars="200"/>
        <w:rPr>
          <w:color w:val="auto"/>
          <w:sz w:val="24"/>
          <w:szCs w:val="24"/>
          <w:highlight w:val="none"/>
        </w:rPr>
      </w:pPr>
    </w:p>
    <w:p w14:paraId="3A818F90">
      <w:pPr>
        <w:spacing w:line="360" w:lineRule="auto"/>
        <w:ind w:firstLine="480" w:firstLineChars="200"/>
        <w:rPr>
          <w:color w:val="auto"/>
          <w:sz w:val="24"/>
          <w:szCs w:val="24"/>
          <w:highlight w:val="none"/>
        </w:rPr>
      </w:pPr>
    </w:p>
    <w:p w14:paraId="6BA30799">
      <w:pPr>
        <w:keepNext w:val="0"/>
        <w:keepLines w:val="0"/>
        <w:widowControl/>
        <w:suppressLineNumbers w:val="0"/>
        <w:spacing w:line="360" w:lineRule="auto"/>
        <w:jc w:val="center"/>
        <w:rPr>
          <w:color w:val="auto"/>
        </w:rPr>
      </w:pPr>
      <w:r>
        <w:rPr>
          <w:rFonts w:hint="eastAsia" w:ascii="黑体" w:hAnsi="宋体" w:eastAsia="黑体" w:cs="黑体"/>
          <w:color w:val="auto"/>
          <w:kern w:val="0"/>
          <w:sz w:val="44"/>
          <w:szCs w:val="44"/>
          <w:lang w:val="en-US" w:eastAsia="zh-CN" w:bidi="ar"/>
        </w:rPr>
        <w:t>兴宁市畜禽养殖禁养区划分方案（2025版）</w:t>
      </w:r>
      <w:r>
        <w:rPr>
          <w:rFonts w:ascii="黑体" w:hAnsi="宋体" w:eastAsia="黑体" w:cs="黑体"/>
          <w:color w:val="auto"/>
          <w:kern w:val="0"/>
          <w:sz w:val="44"/>
          <w:szCs w:val="44"/>
          <w:lang w:val="en-US" w:eastAsia="zh-CN" w:bidi="ar"/>
        </w:rPr>
        <w:t>（</w:t>
      </w:r>
      <w:r>
        <w:rPr>
          <w:rFonts w:hint="eastAsia" w:ascii="黑体" w:hAnsi="宋体" w:eastAsia="黑体" w:cs="黑体"/>
          <w:color w:val="auto"/>
          <w:kern w:val="0"/>
          <w:sz w:val="44"/>
          <w:szCs w:val="44"/>
          <w:lang w:val="en-US" w:eastAsia="zh-CN" w:bidi="ar"/>
        </w:rPr>
        <w:t>公开征求意见</w:t>
      </w:r>
      <w:r>
        <w:rPr>
          <w:rFonts w:ascii="黑体" w:hAnsi="宋体" w:eastAsia="黑体" w:cs="黑体"/>
          <w:color w:val="auto"/>
          <w:kern w:val="0"/>
          <w:sz w:val="44"/>
          <w:szCs w:val="44"/>
          <w:lang w:val="en-US" w:eastAsia="zh-CN" w:bidi="ar"/>
        </w:rPr>
        <w:t>稿）</w:t>
      </w:r>
    </w:p>
    <w:p w14:paraId="010A75EE">
      <w:pPr>
        <w:spacing w:line="360" w:lineRule="auto"/>
        <w:ind w:firstLine="480" w:firstLineChars="200"/>
        <w:rPr>
          <w:color w:val="auto"/>
          <w:sz w:val="24"/>
          <w:szCs w:val="24"/>
          <w:highlight w:val="none"/>
        </w:rPr>
      </w:pPr>
    </w:p>
    <w:p w14:paraId="6CAA2D76">
      <w:pPr>
        <w:spacing w:line="360" w:lineRule="auto"/>
        <w:jc w:val="center"/>
        <w:rPr>
          <w:b/>
          <w:color w:val="auto"/>
          <w:sz w:val="44"/>
          <w:szCs w:val="44"/>
          <w:highlight w:val="none"/>
        </w:rPr>
      </w:pPr>
    </w:p>
    <w:p w14:paraId="05B665CE">
      <w:pPr>
        <w:spacing w:line="360" w:lineRule="auto"/>
        <w:ind w:firstLine="480" w:firstLineChars="200"/>
        <w:rPr>
          <w:color w:val="auto"/>
          <w:sz w:val="24"/>
          <w:szCs w:val="24"/>
          <w:highlight w:val="none"/>
        </w:rPr>
      </w:pPr>
    </w:p>
    <w:p w14:paraId="110E9089">
      <w:pPr>
        <w:spacing w:line="360" w:lineRule="auto"/>
        <w:ind w:firstLine="480" w:firstLineChars="200"/>
        <w:rPr>
          <w:color w:val="auto"/>
          <w:sz w:val="24"/>
          <w:szCs w:val="24"/>
          <w:highlight w:val="none"/>
        </w:rPr>
      </w:pPr>
    </w:p>
    <w:p w14:paraId="67B737E1">
      <w:pPr>
        <w:spacing w:line="360" w:lineRule="auto"/>
        <w:ind w:firstLine="480" w:firstLineChars="200"/>
        <w:rPr>
          <w:rFonts w:hint="eastAsia"/>
          <w:color w:val="auto"/>
          <w:sz w:val="24"/>
          <w:szCs w:val="24"/>
          <w:highlight w:val="none"/>
        </w:rPr>
      </w:pPr>
    </w:p>
    <w:p w14:paraId="2E1CE2CC">
      <w:pPr>
        <w:spacing w:line="360" w:lineRule="auto"/>
        <w:ind w:firstLine="480" w:firstLineChars="200"/>
        <w:rPr>
          <w:color w:val="auto"/>
          <w:sz w:val="24"/>
          <w:szCs w:val="24"/>
          <w:highlight w:val="none"/>
        </w:rPr>
      </w:pPr>
    </w:p>
    <w:p w14:paraId="4BFA50E2">
      <w:pPr>
        <w:spacing w:line="360" w:lineRule="auto"/>
        <w:ind w:firstLine="480" w:firstLineChars="200"/>
        <w:rPr>
          <w:color w:val="auto"/>
          <w:sz w:val="24"/>
          <w:szCs w:val="24"/>
          <w:highlight w:val="none"/>
        </w:rPr>
      </w:pPr>
    </w:p>
    <w:p w14:paraId="745E21B4">
      <w:pPr>
        <w:spacing w:line="360" w:lineRule="auto"/>
        <w:ind w:firstLine="480" w:firstLineChars="200"/>
        <w:rPr>
          <w:color w:val="auto"/>
          <w:sz w:val="24"/>
          <w:szCs w:val="24"/>
          <w:highlight w:val="none"/>
        </w:rPr>
      </w:pPr>
    </w:p>
    <w:p w14:paraId="10D2E081">
      <w:pPr>
        <w:spacing w:line="360" w:lineRule="auto"/>
        <w:ind w:firstLine="480" w:firstLineChars="200"/>
        <w:rPr>
          <w:color w:val="auto"/>
          <w:sz w:val="24"/>
          <w:szCs w:val="24"/>
          <w:highlight w:val="none"/>
        </w:rPr>
      </w:pPr>
    </w:p>
    <w:p w14:paraId="5DEC292D">
      <w:pPr>
        <w:spacing w:line="360" w:lineRule="auto"/>
        <w:ind w:firstLine="480" w:firstLineChars="200"/>
        <w:rPr>
          <w:color w:val="auto"/>
          <w:sz w:val="24"/>
          <w:szCs w:val="24"/>
          <w:highlight w:val="none"/>
        </w:rPr>
      </w:pPr>
    </w:p>
    <w:p w14:paraId="6D2E856F">
      <w:pPr>
        <w:spacing w:line="360" w:lineRule="auto"/>
        <w:ind w:firstLine="480" w:firstLineChars="200"/>
        <w:rPr>
          <w:color w:val="auto"/>
          <w:sz w:val="24"/>
          <w:szCs w:val="24"/>
          <w:highlight w:val="none"/>
        </w:rPr>
      </w:pPr>
    </w:p>
    <w:p w14:paraId="78499334">
      <w:pPr>
        <w:spacing w:line="360" w:lineRule="auto"/>
        <w:ind w:firstLine="480" w:firstLineChars="200"/>
        <w:rPr>
          <w:color w:val="auto"/>
          <w:sz w:val="24"/>
          <w:szCs w:val="24"/>
          <w:highlight w:val="none"/>
        </w:rPr>
      </w:pPr>
    </w:p>
    <w:p w14:paraId="27F7CF91">
      <w:pPr>
        <w:spacing w:line="360" w:lineRule="auto"/>
        <w:ind w:firstLine="480" w:firstLineChars="200"/>
        <w:rPr>
          <w:color w:val="auto"/>
          <w:sz w:val="24"/>
          <w:szCs w:val="24"/>
          <w:highlight w:val="none"/>
        </w:rPr>
      </w:pPr>
    </w:p>
    <w:p w14:paraId="106C6F2C">
      <w:pPr>
        <w:spacing w:line="360" w:lineRule="auto"/>
        <w:ind w:firstLine="480" w:firstLineChars="200"/>
        <w:rPr>
          <w:color w:val="auto"/>
          <w:sz w:val="24"/>
          <w:szCs w:val="24"/>
          <w:highlight w:val="none"/>
        </w:rPr>
      </w:pPr>
    </w:p>
    <w:p w14:paraId="0E31EDAB">
      <w:pPr>
        <w:spacing w:line="360" w:lineRule="auto"/>
        <w:jc w:val="center"/>
        <w:rPr>
          <w:b/>
          <w:color w:val="auto"/>
          <w:sz w:val="28"/>
          <w:szCs w:val="28"/>
          <w:highlight w:val="none"/>
        </w:rPr>
      </w:pPr>
    </w:p>
    <w:p w14:paraId="21357542">
      <w:pPr>
        <w:spacing w:line="360" w:lineRule="auto"/>
        <w:jc w:val="center"/>
        <w:rPr>
          <w:b/>
          <w:color w:val="auto"/>
          <w:sz w:val="28"/>
          <w:szCs w:val="28"/>
          <w:highlight w:val="none"/>
        </w:rPr>
      </w:pPr>
    </w:p>
    <w:p w14:paraId="4BF2E14D">
      <w:pPr>
        <w:keepNext w:val="0"/>
        <w:keepLines w:val="0"/>
        <w:widowControl/>
        <w:suppressLineNumbers w:val="0"/>
        <w:spacing w:line="360" w:lineRule="auto"/>
        <w:jc w:val="center"/>
        <w:rPr>
          <w:color w:val="auto"/>
        </w:rPr>
      </w:pPr>
      <w:r>
        <w:rPr>
          <w:rFonts w:ascii="黑体" w:hAnsi="宋体" w:eastAsia="黑体" w:cs="黑体"/>
          <w:color w:val="auto"/>
          <w:kern w:val="0"/>
          <w:sz w:val="34"/>
          <w:szCs w:val="34"/>
          <w:lang w:val="en-US" w:eastAsia="zh-CN" w:bidi="ar"/>
        </w:rPr>
        <w:t>梅 州 市 生 态 环 境 局 兴 宁 分 局</w:t>
      </w:r>
    </w:p>
    <w:p w14:paraId="0129C0DE">
      <w:pPr>
        <w:keepNext w:val="0"/>
        <w:keepLines w:val="0"/>
        <w:widowControl/>
        <w:suppressLineNumbers w:val="0"/>
        <w:spacing w:line="360" w:lineRule="auto"/>
        <w:jc w:val="center"/>
        <w:rPr>
          <w:color w:val="auto"/>
        </w:rPr>
      </w:pPr>
      <w:r>
        <w:rPr>
          <w:rFonts w:ascii="黑体" w:hAnsi="宋体" w:eastAsia="黑体" w:cs="黑体"/>
          <w:color w:val="auto"/>
          <w:kern w:val="0"/>
          <w:sz w:val="31"/>
          <w:szCs w:val="31"/>
          <w:lang w:val="en-US" w:eastAsia="zh-CN" w:bidi="ar"/>
        </w:rPr>
        <w:t>二〇二五年</w:t>
      </w:r>
      <w:r>
        <w:rPr>
          <w:rFonts w:hint="eastAsia" w:ascii="黑体" w:hAnsi="宋体" w:eastAsia="黑体" w:cs="黑体"/>
          <w:color w:val="auto"/>
          <w:kern w:val="0"/>
          <w:sz w:val="31"/>
          <w:szCs w:val="31"/>
          <w:lang w:val="en-US" w:eastAsia="zh-CN" w:bidi="ar"/>
        </w:rPr>
        <w:t>六</w:t>
      </w:r>
      <w:r>
        <w:rPr>
          <w:rFonts w:ascii="黑体" w:hAnsi="宋体" w:eastAsia="黑体" w:cs="黑体"/>
          <w:color w:val="auto"/>
          <w:kern w:val="0"/>
          <w:sz w:val="31"/>
          <w:szCs w:val="31"/>
          <w:lang w:val="en-US" w:eastAsia="zh-CN" w:bidi="ar"/>
        </w:rPr>
        <w:t>月</w:t>
      </w:r>
    </w:p>
    <w:p w14:paraId="386B78CD">
      <w:pPr>
        <w:pStyle w:val="2"/>
        <w:widowControl w:val="0"/>
        <w:kinsoku/>
        <w:autoSpaceDE/>
        <w:autoSpaceDN/>
        <w:adjustRightInd/>
        <w:snapToGrid/>
        <w:spacing w:before="0" w:after="0" w:line="360" w:lineRule="auto"/>
        <w:jc w:val="both"/>
        <w:textAlignment w:val="auto"/>
        <w:rPr>
          <w:rFonts w:hint="eastAsia" w:ascii="Times New Roman" w:hAnsi="Times New Roman" w:cs="Times New Roman"/>
          <w:snapToGrid/>
          <w:color w:val="auto"/>
          <w:lang w:eastAsia="zh-CN"/>
        </w:rPr>
      </w:pPr>
    </w:p>
    <w:p w14:paraId="00C3AF97">
      <w:pPr>
        <w:rPr>
          <w:rFonts w:hint="eastAsia" w:ascii="Times New Roman" w:hAnsi="Times New Roman" w:cs="Times New Roman"/>
          <w:snapToGrid/>
          <w:color w:val="auto"/>
          <w:lang w:eastAsia="zh-CN"/>
        </w:rPr>
      </w:pPr>
    </w:p>
    <w:p w14:paraId="16CBF80E">
      <w:pPr>
        <w:rPr>
          <w:rFonts w:hint="eastAsia" w:ascii="Times New Roman" w:hAnsi="Times New Roman" w:cs="Times New Roman"/>
          <w:snapToGrid/>
          <w:color w:val="auto"/>
          <w:lang w:eastAsia="zh-CN"/>
        </w:rPr>
      </w:pPr>
    </w:p>
    <w:p w14:paraId="041A7DF7">
      <w:pPr>
        <w:rPr>
          <w:rFonts w:hint="eastAsia" w:ascii="Times New Roman" w:hAnsi="Times New Roman" w:cs="Times New Roman"/>
          <w:snapToGrid/>
          <w:color w:val="auto"/>
          <w:lang w:eastAsia="zh-CN"/>
        </w:rPr>
      </w:pPr>
    </w:p>
    <w:p w14:paraId="26DF9135">
      <w:pPr>
        <w:rPr>
          <w:rFonts w:hint="eastAsia" w:ascii="Times New Roman" w:hAnsi="Times New Roman" w:cs="Times New Roman"/>
          <w:snapToGrid/>
          <w:color w:val="auto"/>
          <w:lang w:eastAsia="zh-CN"/>
        </w:rPr>
        <w:sectPr>
          <w:footerReference r:id="rId5" w:type="default"/>
          <w:pgSz w:w="11907" w:h="16839"/>
          <w:pgMar w:top="1431" w:right="1785" w:bottom="1377" w:left="1785" w:header="0" w:footer="1214" w:gutter="0"/>
          <w:pgBorders>
            <w:top w:val="none" w:sz="0" w:space="0"/>
            <w:left w:val="none" w:sz="0" w:space="0"/>
            <w:bottom w:val="none" w:sz="0" w:space="0"/>
            <w:right w:val="none" w:sz="0" w:space="0"/>
          </w:pgBorders>
          <w:pgNumType w:fmt="decimal"/>
          <w:cols w:space="720" w:num="1"/>
        </w:sectPr>
      </w:pPr>
    </w:p>
    <w:sdt>
      <w:sdtPr>
        <w:rPr>
          <w:rFonts w:ascii="宋体" w:hAnsi="宋体" w:eastAsia="宋体" w:cs="Arial"/>
          <w:snapToGrid w:val="0"/>
          <w:color w:val="auto"/>
          <w:kern w:val="0"/>
          <w:sz w:val="21"/>
          <w:szCs w:val="21"/>
          <w:lang w:val="en-US" w:eastAsia="en-US" w:bidi="ar-SA"/>
        </w:rPr>
        <w:id w:val="147470975"/>
        <w15:color w:val="DBDBDB"/>
        <w:docPartObj>
          <w:docPartGallery w:val="Table of Contents"/>
          <w:docPartUnique/>
        </w:docPartObj>
      </w:sdtPr>
      <w:sdtEndPr>
        <w:rPr>
          <w:rFonts w:hint="eastAsia" w:ascii="Arial" w:hAnsi="Arial" w:eastAsia="Arial" w:cs="Arial"/>
          <w:snapToGrid w:val="0"/>
          <w:color w:val="auto"/>
          <w:kern w:val="0"/>
          <w:sz w:val="24"/>
          <w:szCs w:val="24"/>
          <w:lang w:val="en-US" w:eastAsia="zh-CN" w:bidi="ar-SA"/>
        </w:rPr>
      </w:sdtEndPr>
      <w:sdtContent>
        <w:p w14:paraId="3F803D88">
          <w:pPr>
            <w:spacing w:before="0" w:beforeLines="0" w:after="0" w:afterLines="0" w:line="360" w:lineRule="auto"/>
            <w:ind w:left="0" w:leftChars="0" w:right="0" w:rightChars="0" w:firstLine="0" w:firstLineChars="0"/>
            <w:jc w:val="center"/>
            <w:rPr>
              <w:color w:val="auto"/>
              <w:sz w:val="24"/>
              <w:szCs w:val="24"/>
            </w:rPr>
          </w:pPr>
          <w:r>
            <w:rPr>
              <w:rFonts w:ascii="宋体" w:hAnsi="宋体" w:eastAsia="宋体"/>
              <w:color w:val="auto"/>
              <w:sz w:val="24"/>
              <w:szCs w:val="24"/>
            </w:rPr>
            <w:t>目录</w:t>
          </w:r>
        </w:p>
        <w:p w14:paraId="4EEA8966">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TOC \o "1-1" \h \u </w:instrText>
          </w:r>
          <w:r>
            <w:rPr>
              <w:rFonts w:hint="eastAsia"/>
              <w:color w:val="auto"/>
              <w:sz w:val="24"/>
              <w:szCs w:val="24"/>
              <w:lang w:eastAsia="zh-CN"/>
            </w:rPr>
            <w:fldChar w:fldCharType="separate"/>
          </w:r>
          <w:r>
            <w:rPr>
              <w:rFonts w:hint="eastAsia"/>
              <w:color w:val="auto"/>
              <w:sz w:val="24"/>
              <w:szCs w:val="24"/>
              <w:lang w:eastAsia="zh-CN"/>
            </w:rPr>
            <w:fldChar w:fldCharType="begin"/>
          </w:r>
          <w:r>
            <w:rPr>
              <w:rFonts w:hint="eastAsia"/>
              <w:color w:val="auto"/>
              <w:sz w:val="24"/>
              <w:szCs w:val="24"/>
              <w:lang w:eastAsia="zh-CN"/>
            </w:rPr>
            <w:instrText xml:space="preserve"> HYPERLINK \l _Toc9036 </w:instrText>
          </w:r>
          <w:r>
            <w:rPr>
              <w:rFonts w:hint="eastAsia"/>
              <w:color w:val="auto"/>
              <w:sz w:val="24"/>
              <w:szCs w:val="24"/>
              <w:lang w:eastAsia="zh-CN"/>
            </w:rPr>
            <w:fldChar w:fldCharType="separate"/>
          </w:r>
          <w:r>
            <w:rPr>
              <w:rFonts w:hint="eastAsia" w:ascii="黑体" w:hAnsi="黑体" w:eastAsia="黑体" w:cs="黑体"/>
              <w:bCs/>
              <w:color w:val="auto"/>
              <w:spacing w:val="1"/>
              <w:sz w:val="24"/>
              <w:szCs w:val="24"/>
            </w:rPr>
            <w:t>一、适用范围</w:t>
          </w:r>
          <w:r>
            <w:rPr>
              <w:color w:val="auto"/>
              <w:sz w:val="24"/>
              <w:szCs w:val="24"/>
            </w:rPr>
            <w:tab/>
          </w:r>
          <w:r>
            <w:rPr>
              <w:color w:val="auto"/>
              <w:sz w:val="24"/>
              <w:szCs w:val="24"/>
            </w:rPr>
            <w:fldChar w:fldCharType="begin"/>
          </w:r>
          <w:r>
            <w:rPr>
              <w:color w:val="auto"/>
              <w:sz w:val="24"/>
              <w:szCs w:val="24"/>
            </w:rPr>
            <w:instrText xml:space="preserve"> PAGEREF _Toc9036 \h </w:instrText>
          </w:r>
          <w:r>
            <w:rPr>
              <w:color w:val="auto"/>
              <w:sz w:val="24"/>
              <w:szCs w:val="24"/>
            </w:rPr>
            <w:fldChar w:fldCharType="separate"/>
          </w:r>
          <w:r>
            <w:rPr>
              <w:color w:val="auto"/>
              <w:sz w:val="24"/>
              <w:szCs w:val="24"/>
            </w:rPr>
            <w:t>1</w:t>
          </w:r>
          <w:r>
            <w:rPr>
              <w:color w:val="auto"/>
              <w:sz w:val="24"/>
              <w:szCs w:val="24"/>
            </w:rPr>
            <w:fldChar w:fldCharType="end"/>
          </w:r>
          <w:r>
            <w:rPr>
              <w:rFonts w:hint="eastAsia"/>
              <w:color w:val="auto"/>
              <w:sz w:val="24"/>
              <w:szCs w:val="24"/>
              <w:lang w:eastAsia="zh-CN"/>
            </w:rPr>
            <w:fldChar w:fldCharType="end"/>
          </w:r>
        </w:p>
        <w:p w14:paraId="290FA921">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_Toc5955 </w:instrText>
          </w:r>
          <w:r>
            <w:rPr>
              <w:rFonts w:hint="eastAsia"/>
              <w:color w:val="auto"/>
              <w:sz w:val="24"/>
              <w:szCs w:val="24"/>
              <w:lang w:eastAsia="zh-CN"/>
            </w:rPr>
            <w:fldChar w:fldCharType="separate"/>
          </w:r>
          <w:r>
            <w:rPr>
              <w:rFonts w:hint="eastAsia" w:ascii="黑体" w:hAnsi="黑体" w:eastAsia="黑体" w:cs="黑体"/>
              <w:bCs/>
              <w:color w:val="auto"/>
              <w:spacing w:val="1"/>
              <w:sz w:val="24"/>
              <w:szCs w:val="24"/>
            </w:rPr>
            <w:t>二、主要依据</w:t>
          </w:r>
          <w:r>
            <w:rPr>
              <w:color w:val="auto"/>
              <w:sz w:val="24"/>
              <w:szCs w:val="24"/>
            </w:rPr>
            <w:tab/>
          </w:r>
          <w:r>
            <w:rPr>
              <w:color w:val="auto"/>
              <w:sz w:val="24"/>
              <w:szCs w:val="24"/>
            </w:rPr>
            <w:fldChar w:fldCharType="begin"/>
          </w:r>
          <w:r>
            <w:rPr>
              <w:color w:val="auto"/>
              <w:sz w:val="24"/>
              <w:szCs w:val="24"/>
            </w:rPr>
            <w:instrText xml:space="preserve"> PAGEREF _Toc5955 \h </w:instrText>
          </w:r>
          <w:r>
            <w:rPr>
              <w:color w:val="auto"/>
              <w:sz w:val="24"/>
              <w:szCs w:val="24"/>
            </w:rPr>
            <w:fldChar w:fldCharType="separate"/>
          </w:r>
          <w:r>
            <w:rPr>
              <w:color w:val="auto"/>
              <w:sz w:val="24"/>
              <w:szCs w:val="24"/>
            </w:rPr>
            <w:t>1</w:t>
          </w:r>
          <w:r>
            <w:rPr>
              <w:color w:val="auto"/>
              <w:sz w:val="24"/>
              <w:szCs w:val="24"/>
            </w:rPr>
            <w:fldChar w:fldCharType="end"/>
          </w:r>
          <w:r>
            <w:rPr>
              <w:rFonts w:hint="eastAsia"/>
              <w:color w:val="auto"/>
              <w:sz w:val="24"/>
              <w:szCs w:val="24"/>
              <w:lang w:eastAsia="zh-CN"/>
            </w:rPr>
            <w:fldChar w:fldCharType="end"/>
          </w:r>
        </w:p>
        <w:p w14:paraId="789455AA">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_Toc18021 </w:instrText>
          </w:r>
          <w:r>
            <w:rPr>
              <w:rFonts w:hint="eastAsia"/>
              <w:color w:val="auto"/>
              <w:sz w:val="24"/>
              <w:szCs w:val="24"/>
              <w:lang w:eastAsia="zh-CN"/>
            </w:rPr>
            <w:fldChar w:fldCharType="separate"/>
          </w:r>
          <w:r>
            <w:rPr>
              <w:rFonts w:hint="eastAsia" w:ascii="黑体" w:hAnsi="黑体" w:eastAsia="黑体" w:cs="黑体"/>
              <w:bCs/>
              <w:color w:val="auto"/>
              <w:spacing w:val="1"/>
              <w:sz w:val="24"/>
              <w:szCs w:val="24"/>
            </w:rPr>
            <w:t>三、划分原则</w:t>
          </w:r>
          <w:r>
            <w:rPr>
              <w:color w:val="auto"/>
              <w:sz w:val="24"/>
              <w:szCs w:val="24"/>
            </w:rPr>
            <w:tab/>
          </w:r>
          <w:r>
            <w:rPr>
              <w:color w:val="auto"/>
              <w:sz w:val="24"/>
              <w:szCs w:val="24"/>
            </w:rPr>
            <w:fldChar w:fldCharType="begin"/>
          </w:r>
          <w:r>
            <w:rPr>
              <w:color w:val="auto"/>
              <w:sz w:val="24"/>
              <w:szCs w:val="24"/>
            </w:rPr>
            <w:instrText xml:space="preserve"> PAGEREF _Toc18021 \h </w:instrText>
          </w:r>
          <w:r>
            <w:rPr>
              <w:color w:val="auto"/>
              <w:sz w:val="24"/>
              <w:szCs w:val="24"/>
            </w:rPr>
            <w:fldChar w:fldCharType="separate"/>
          </w:r>
          <w:r>
            <w:rPr>
              <w:color w:val="auto"/>
              <w:sz w:val="24"/>
              <w:szCs w:val="24"/>
            </w:rPr>
            <w:t>2</w:t>
          </w:r>
          <w:r>
            <w:rPr>
              <w:color w:val="auto"/>
              <w:sz w:val="24"/>
              <w:szCs w:val="24"/>
            </w:rPr>
            <w:fldChar w:fldCharType="end"/>
          </w:r>
          <w:r>
            <w:rPr>
              <w:rFonts w:hint="eastAsia"/>
              <w:color w:val="auto"/>
              <w:sz w:val="24"/>
              <w:szCs w:val="24"/>
              <w:lang w:eastAsia="zh-CN"/>
            </w:rPr>
            <w:fldChar w:fldCharType="end"/>
          </w:r>
        </w:p>
        <w:p w14:paraId="24F40986">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_Toc16285 </w:instrText>
          </w:r>
          <w:r>
            <w:rPr>
              <w:rFonts w:hint="eastAsia"/>
              <w:color w:val="auto"/>
              <w:sz w:val="24"/>
              <w:szCs w:val="24"/>
              <w:lang w:eastAsia="zh-CN"/>
            </w:rPr>
            <w:fldChar w:fldCharType="separate"/>
          </w:r>
          <w:r>
            <w:rPr>
              <w:rFonts w:hint="eastAsia" w:ascii="黑体" w:hAnsi="黑体" w:eastAsia="黑体" w:cs="黑体"/>
              <w:bCs/>
              <w:color w:val="auto"/>
              <w:spacing w:val="1"/>
              <w:sz w:val="24"/>
              <w:szCs w:val="24"/>
            </w:rPr>
            <w:t>四、划定范围</w:t>
          </w:r>
          <w:r>
            <w:rPr>
              <w:color w:val="auto"/>
              <w:sz w:val="24"/>
              <w:szCs w:val="24"/>
            </w:rPr>
            <w:tab/>
          </w:r>
          <w:r>
            <w:rPr>
              <w:color w:val="auto"/>
              <w:sz w:val="24"/>
              <w:szCs w:val="24"/>
            </w:rPr>
            <w:fldChar w:fldCharType="begin"/>
          </w:r>
          <w:r>
            <w:rPr>
              <w:color w:val="auto"/>
              <w:sz w:val="24"/>
              <w:szCs w:val="24"/>
            </w:rPr>
            <w:instrText xml:space="preserve"> PAGEREF _Toc16285 \h </w:instrText>
          </w:r>
          <w:r>
            <w:rPr>
              <w:color w:val="auto"/>
              <w:sz w:val="24"/>
              <w:szCs w:val="24"/>
            </w:rPr>
            <w:fldChar w:fldCharType="separate"/>
          </w:r>
          <w:r>
            <w:rPr>
              <w:color w:val="auto"/>
              <w:sz w:val="24"/>
              <w:szCs w:val="24"/>
            </w:rPr>
            <w:t>2</w:t>
          </w:r>
          <w:r>
            <w:rPr>
              <w:color w:val="auto"/>
              <w:sz w:val="24"/>
              <w:szCs w:val="24"/>
            </w:rPr>
            <w:fldChar w:fldCharType="end"/>
          </w:r>
          <w:r>
            <w:rPr>
              <w:rFonts w:hint="eastAsia"/>
              <w:color w:val="auto"/>
              <w:sz w:val="24"/>
              <w:szCs w:val="24"/>
              <w:lang w:eastAsia="zh-CN"/>
            </w:rPr>
            <w:fldChar w:fldCharType="end"/>
          </w:r>
        </w:p>
        <w:p w14:paraId="6B700B18">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_Toc2316 </w:instrText>
          </w:r>
          <w:r>
            <w:rPr>
              <w:rFonts w:hint="eastAsia"/>
              <w:color w:val="auto"/>
              <w:sz w:val="24"/>
              <w:szCs w:val="24"/>
              <w:lang w:eastAsia="zh-CN"/>
            </w:rPr>
            <w:fldChar w:fldCharType="separate"/>
          </w:r>
          <w:r>
            <w:rPr>
              <w:rFonts w:hint="eastAsia" w:ascii="黑体" w:hAnsi="黑体" w:eastAsia="黑体" w:cs="黑体"/>
              <w:bCs/>
              <w:color w:val="auto"/>
              <w:spacing w:val="1"/>
              <w:sz w:val="24"/>
              <w:szCs w:val="24"/>
            </w:rPr>
            <w:t>五、</w:t>
          </w:r>
          <w:r>
            <w:rPr>
              <w:rFonts w:hint="default" w:ascii="Times New Roman" w:hAnsi="Times New Roman" w:eastAsia="黑体" w:cs="Times New Roman"/>
              <w:color w:val="auto"/>
              <w:kern w:val="2"/>
              <w:sz w:val="24"/>
              <w:szCs w:val="24"/>
              <w:lang w:bidi="ar-SA"/>
              <w14:ligatures w14:val="none"/>
            </w:rPr>
            <w:t>新旧划分方案的主要变化情况</w:t>
          </w:r>
          <w:r>
            <w:rPr>
              <w:color w:val="auto"/>
              <w:sz w:val="24"/>
              <w:szCs w:val="24"/>
            </w:rPr>
            <w:tab/>
          </w:r>
          <w:r>
            <w:rPr>
              <w:color w:val="auto"/>
              <w:sz w:val="24"/>
              <w:szCs w:val="24"/>
            </w:rPr>
            <w:fldChar w:fldCharType="begin"/>
          </w:r>
          <w:r>
            <w:rPr>
              <w:color w:val="auto"/>
              <w:sz w:val="24"/>
              <w:szCs w:val="24"/>
            </w:rPr>
            <w:instrText xml:space="preserve"> PAGEREF _Toc2316 \h </w:instrText>
          </w:r>
          <w:r>
            <w:rPr>
              <w:color w:val="auto"/>
              <w:sz w:val="24"/>
              <w:szCs w:val="24"/>
            </w:rPr>
            <w:fldChar w:fldCharType="separate"/>
          </w:r>
          <w:r>
            <w:rPr>
              <w:color w:val="auto"/>
              <w:sz w:val="24"/>
              <w:szCs w:val="24"/>
            </w:rPr>
            <w:t>10</w:t>
          </w:r>
          <w:r>
            <w:rPr>
              <w:color w:val="auto"/>
              <w:sz w:val="24"/>
              <w:szCs w:val="24"/>
            </w:rPr>
            <w:fldChar w:fldCharType="end"/>
          </w:r>
          <w:r>
            <w:rPr>
              <w:rFonts w:hint="eastAsia"/>
              <w:color w:val="auto"/>
              <w:sz w:val="24"/>
              <w:szCs w:val="24"/>
              <w:lang w:eastAsia="zh-CN"/>
            </w:rPr>
            <w:fldChar w:fldCharType="end"/>
          </w:r>
        </w:p>
        <w:p w14:paraId="60AE2BD2">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_Toc29354 </w:instrText>
          </w:r>
          <w:r>
            <w:rPr>
              <w:rFonts w:hint="eastAsia"/>
              <w:color w:val="auto"/>
              <w:sz w:val="24"/>
              <w:szCs w:val="24"/>
              <w:lang w:eastAsia="zh-CN"/>
            </w:rPr>
            <w:fldChar w:fldCharType="separate"/>
          </w:r>
          <w:r>
            <w:rPr>
              <w:rFonts w:hint="eastAsia" w:ascii="黑体" w:hAnsi="黑体" w:eastAsia="黑体" w:cs="黑体"/>
              <w:bCs/>
              <w:snapToGrid w:val="0"/>
              <w:color w:val="auto"/>
              <w:spacing w:val="1"/>
              <w:kern w:val="0"/>
              <w:sz w:val="24"/>
              <w:szCs w:val="24"/>
              <w:lang w:val="en-US" w:eastAsia="zh-CN" w:bidi="ar"/>
            </w:rPr>
            <w:t>六、畜禽养殖概况</w:t>
          </w:r>
          <w:r>
            <w:rPr>
              <w:color w:val="auto"/>
              <w:sz w:val="24"/>
              <w:szCs w:val="24"/>
            </w:rPr>
            <w:tab/>
          </w:r>
          <w:r>
            <w:rPr>
              <w:color w:val="auto"/>
              <w:sz w:val="24"/>
              <w:szCs w:val="24"/>
            </w:rPr>
            <w:fldChar w:fldCharType="begin"/>
          </w:r>
          <w:r>
            <w:rPr>
              <w:color w:val="auto"/>
              <w:sz w:val="24"/>
              <w:szCs w:val="24"/>
            </w:rPr>
            <w:instrText xml:space="preserve"> PAGEREF _Toc29354 \h </w:instrText>
          </w:r>
          <w:r>
            <w:rPr>
              <w:color w:val="auto"/>
              <w:sz w:val="24"/>
              <w:szCs w:val="24"/>
            </w:rPr>
            <w:fldChar w:fldCharType="separate"/>
          </w:r>
          <w:r>
            <w:rPr>
              <w:color w:val="auto"/>
              <w:sz w:val="24"/>
              <w:szCs w:val="24"/>
            </w:rPr>
            <w:t>11</w:t>
          </w:r>
          <w:r>
            <w:rPr>
              <w:color w:val="auto"/>
              <w:sz w:val="24"/>
              <w:szCs w:val="24"/>
            </w:rPr>
            <w:fldChar w:fldCharType="end"/>
          </w:r>
          <w:r>
            <w:rPr>
              <w:rFonts w:hint="eastAsia"/>
              <w:color w:val="auto"/>
              <w:sz w:val="24"/>
              <w:szCs w:val="24"/>
              <w:lang w:eastAsia="zh-CN"/>
            </w:rPr>
            <w:fldChar w:fldCharType="end"/>
          </w:r>
        </w:p>
        <w:p w14:paraId="51D76E3E">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_Toc29827 </w:instrText>
          </w:r>
          <w:r>
            <w:rPr>
              <w:rFonts w:hint="eastAsia"/>
              <w:color w:val="auto"/>
              <w:sz w:val="24"/>
              <w:szCs w:val="24"/>
              <w:lang w:eastAsia="zh-CN"/>
            </w:rPr>
            <w:fldChar w:fldCharType="separate"/>
          </w:r>
          <w:r>
            <w:rPr>
              <w:rFonts w:hint="eastAsia" w:ascii="黑体" w:hAnsi="黑体" w:eastAsia="黑体" w:cs="黑体"/>
              <w:bCs/>
              <w:snapToGrid w:val="0"/>
              <w:color w:val="auto"/>
              <w:spacing w:val="1"/>
              <w:kern w:val="0"/>
              <w:sz w:val="24"/>
              <w:szCs w:val="24"/>
              <w:lang w:val="en-US" w:eastAsia="zh-CN" w:bidi="ar"/>
            </w:rPr>
            <w:t>七、管理要求</w:t>
          </w:r>
          <w:r>
            <w:rPr>
              <w:color w:val="auto"/>
              <w:sz w:val="24"/>
              <w:szCs w:val="24"/>
            </w:rPr>
            <w:tab/>
          </w:r>
          <w:r>
            <w:rPr>
              <w:color w:val="auto"/>
              <w:sz w:val="24"/>
              <w:szCs w:val="24"/>
            </w:rPr>
            <w:fldChar w:fldCharType="begin"/>
          </w:r>
          <w:r>
            <w:rPr>
              <w:color w:val="auto"/>
              <w:sz w:val="24"/>
              <w:szCs w:val="24"/>
            </w:rPr>
            <w:instrText xml:space="preserve"> PAGEREF _Toc29827 \h </w:instrText>
          </w:r>
          <w:r>
            <w:rPr>
              <w:color w:val="auto"/>
              <w:sz w:val="24"/>
              <w:szCs w:val="24"/>
            </w:rPr>
            <w:fldChar w:fldCharType="separate"/>
          </w:r>
          <w:r>
            <w:rPr>
              <w:color w:val="auto"/>
              <w:sz w:val="24"/>
              <w:szCs w:val="24"/>
            </w:rPr>
            <w:t>11</w:t>
          </w:r>
          <w:r>
            <w:rPr>
              <w:color w:val="auto"/>
              <w:sz w:val="24"/>
              <w:szCs w:val="24"/>
            </w:rPr>
            <w:fldChar w:fldCharType="end"/>
          </w:r>
          <w:r>
            <w:rPr>
              <w:rFonts w:hint="eastAsia"/>
              <w:color w:val="auto"/>
              <w:sz w:val="24"/>
              <w:szCs w:val="24"/>
              <w:lang w:eastAsia="zh-CN"/>
            </w:rPr>
            <w:fldChar w:fldCharType="end"/>
          </w:r>
        </w:p>
        <w:p w14:paraId="76E6C5F7">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_Toc16781 </w:instrText>
          </w:r>
          <w:r>
            <w:rPr>
              <w:rFonts w:hint="eastAsia"/>
              <w:color w:val="auto"/>
              <w:sz w:val="24"/>
              <w:szCs w:val="24"/>
              <w:lang w:eastAsia="zh-CN"/>
            </w:rPr>
            <w:fldChar w:fldCharType="separate"/>
          </w:r>
          <w:r>
            <w:rPr>
              <w:rFonts w:hint="eastAsia" w:ascii="黑体" w:hAnsi="黑体" w:eastAsia="黑体" w:cs="黑体"/>
              <w:bCs/>
              <w:color w:val="auto"/>
              <w:spacing w:val="1"/>
              <w:sz w:val="24"/>
              <w:szCs w:val="24"/>
              <w:lang w:eastAsia="zh-CN"/>
            </w:rPr>
            <w:t>八</w:t>
          </w:r>
          <w:r>
            <w:rPr>
              <w:rFonts w:hint="eastAsia" w:ascii="黑体" w:hAnsi="黑体" w:eastAsia="黑体" w:cs="黑体"/>
              <w:bCs/>
              <w:color w:val="auto"/>
              <w:spacing w:val="1"/>
              <w:sz w:val="24"/>
              <w:szCs w:val="24"/>
            </w:rPr>
            <w:t>、保障措施</w:t>
          </w:r>
          <w:r>
            <w:rPr>
              <w:color w:val="auto"/>
              <w:sz w:val="24"/>
              <w:szCs w:val="24"/>
            </w:rPr>
            <w:tab/>
          </w:r>
          <w:r>
            <w:rPr>
              <w:color w:val="auto"/>
              <w:sz w:val="24"/>
              <w:szCs w:val="24"/>
            </w:rPr>
            <w:fldChar w:fldCharType="begin"/>
          </w:r>
          <w:r>
            <w:rPr>
              <w:color w:val="auto"/>
              <w:sz w:val="24"/>
              <w:szCs w:val="24"/>
            </w:rPr>
            <w:instrText xml:space="preserve"> PAGEREF _Toc16781 \h </w:instrText>
          </w:r>
          <w:r>
            <w:rPr>
              <w:color w:val="auto"/>
              <w:sz w:val="24"/>
              <w:szCs w:val="24"/>
            </w:rPr>
            <w:fldChar w:fldCharType="separate"/>
          </w:r>
          <w:r>
            <w:rPr>
              <w:color w:val="auto"/>
              <w:sz w:val="24"/>
              <w:szCs w:val="24"/>
            </w:rPr>
            <w:t>12</w:t>
          </w:r>
          <w:r>
            <w:rPr>
              <w:color w:val="auto"/>
              <w:sz w:val="24"/>
              <w:szCs w:val="24"/>
            </w:rPr>
            <w:fldChar w:fldCharType="end"/>
          </w:r>
          <w:r>
            <w:rPr>
              <w:rFonts w:hint="eastAsia"/>
              <w:color w:val="auto"/>
              <w:sz w:val="24"/>
              <w:szCs w:val="24"/>
              <w:lang w:eastAsia="zh-CN"/>
            </w:rPr>
            <w:fldChar w:fldCharType="end"/>
          </w:r>
        </w:p>
        <w:p w14:paraId="371F0B67">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_Toc30370 </w:instrText>
          </w:r>
          <w:r>
            <w:rPr>
              <w:rFonts w:hint="eastAsia"/>
              <w:color w:val="auto"/>
              <w:sz w:val="24"/>
              <w:szCs w:val="24"/>
              <w:lang w:eastAsia="zh-CN"/>
            </w:rPr>
            <w:fldChar w:fldCharType="separate"/>
          </w:r>
          <w:r>
            <w:rPr>
              <w:rFonts w:hint="eastAsia" w:ascii="黑体" w:hAnsi="黑体" w:eastAsia="黑体" w:cs="黑体"/>
              <w:bCs/>
              <w:color w:val="auto"/>
              <w:spacing w:val="1"/>
              <w:sz w:val="24"/>
              <w:szCs w:val="24"/>
              <w:lang w:eastAsia="zh-CN"/>
            </w:rPr>
            <w:t>九</w:t>
          </w:r>
          <w:r>
            <w:rPr>
              <w:rFonts w:hint="eastAsia" w:ascii="黑体" w:hAnsi="黑体" w:eastAsia="黑体" w:cs="黑体"/>
              <w:bCs/>
              <w:color w:val="auto"/>
              <w:spacing w:val="1"/>
              <w:sz w:val="24"/>
              <w:szCs w:val="24"/>
            </w:rPr>
            <w:t>、其他说明</w:t>
          </w:r>
          <w:r>
            <w:rPr>
              <w:color w:val="auto"/>
              <w:sz w:val="24"/>
              <w:szCs w:val="24"/>
            </w:rPr>
            <w:tab/>
          </w:r>
          <w:r>
            <w:rPr>
              <w:color w:val="auto"/>
              <w:sz w:val="24"/>
              <w:szCs w:val="24"/>
            </w:rPr>
            <w:fldChar w:fldCharType="begin"/>
          </w:r>
          <w:r>
            <w:rPr>
              <w:color w:val="auto"/>
              <w:sz w:val="24"/>
              <w:szCs w:val="24"/>
            </w:rPr>
            <w:instrText xml:space="preserve"> PAGEREF _Toc30370 \h </w:instrText>
          </w:r>
          <w:r>
            <w:rPr>
              <w:color w:val="auto"/>
              <w:sz w:val="24"/>
              <w:szCs w:val="24"/>
            </w:rPr>
            <w:fldChar w:fldCharType="separate"/>
          </w:r>
          <w:r>
            <w:rPr>
              <w:color w:val="auto"/>
              <w:sz w:val="24"/>
              <w:szCs w:val="24"/>
            </w:rPr>
            <w:t>12</w:t>
          </w:r>
          <w:r>
            <w:rPr>
              <w:color w:val="auto"/>
              <w:sz w:val="24"/>
              <w:szCs w:val="24"/>
            </w:rPr>
            <w:fldChar w:fldCharType="end"/>
          </w:r>
          <w:r>
            <w:rPr>
              <w:rFonts w:hint="eastAsia"/>
              <w:color w:val="auto"/>
              <w:sz w:val="24"/>
              <w:szCs w:val="24"/>
              <w:lang w:eastAsia="zh-CN"/>
            </w:rPr>
            <w:fldChar w:fldCharType="end"/>
          </w:r>
        </w:p>
        <w:p w14:paraId="61334DCC">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_Toc1784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附表1  兴宁市饮用水水源保护区</w:t>
          </w:r>
          <w:r>
            <w:rPr>
              <w:color w:val="auto"/>
              <w:sz w:val="24"/>
              <w:szCs w:val="24"/>
            </w:rPr>
            <w:tab/>
          </w:r>
          <w:r>
            <w:rPr>
              <w:color w:val="auto"/>
              <w:sz w:val="24"/>
              <w:szCs w:val="24"/>
            </w:rPr>
            <w:fldChar w:fldCharType="begin"/>
          </w:r>
          <w:r>
            <w:rPr>
              <w:color w:val="auto"/>
              <w:sz w:val="24"/>
              <w:szCs w:val="24"/>
            </w:rPr>
            <w:instrText xml:space="preserve"> PAGEREF _Toc1784 \h </w:instrText>
          </w:r>
          <w:r>
            <w:rPr>
              <w:color w:val="auto"/>
              <w:sz w:val="24"/>
              <w:szCs w:val="24"/>
            </w:rPr>
            <w:fldChar w:fldCharType="separate"/>
          </w:r>
          <w:r>
            <w:rPr>
              <w:color w:val="auto"/>
              <w:sz w:val="24"/>
              <w:szCs w:val="24"/>
            </w:rPr>
            <w:t>15</w:t>
          </w:r>
          <w:r>
            <w:rPr>
              <w:color w:val="auto"/>
              <w:sz w:val="24"/>
              <w:szCs w:val="24"/>
            </w:rPr>
            <w:fldChar w:fldCharType="end"/>
          </w:r>
          <w:r>
            <w:rPr>
              <w:rFonts w:hint="eastAsia"/>
              <w:color w:val="auto"/>
              <w:sz w:val="24"/>
              <w:szCs w:val="24"/>
              <w:lang w:eastAsia="zh-CN"/>
            </w:rPr>
            <w:fldChar w:fldCharType="end"/>
          </w:r>
        </w:p>
        <w:p w14:paraId="2EA44A5E">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_Toc31396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附表2  兴宁市自然保护地</w:t>
          </w:r>
          <w:r>
            <w:rPr>
              <w:color w:val="auto"/>
              <w:sz w:val="24"/>
              <w:szCs w:val="24"/>
            </w:rPr>
            <w:tab/>
          </w:r>
          <w:r>
            <w:rPr>
              <w:color w:val="auto"/>
              <w:sz w:val="24"/>
              <w:szCs w:val="24"/>
            </w:rPr>
            <w:fldChar w:fldCharType="begin"/>
          </w:r>
          <w:r>
            <w:rPr>
              <w:color w:val="auto"/>
              <w:sz w:val="24"/>
              <w:szCs w:val="24"/>
            </w:rPr>
            <w:instrText xml:space="preserve"> PAGEREF _Toc31396 \h </w:instrText>
          </w:r>
          <w:r>
            <w:rPr>
              <w:color w:val="auto"/>
              <w:sz w:val="24"/>
              <w:szCs w:val="24"/>
            </w:rPr>
            <w:fldChar w:fldCharType="separate"/>
          </w:r>
          <w:r>
            <w:rPr>
              <w:color w:val="auto"/>
              <w:sz w:val="24"/>
              <w:szCs w:val="24"/>
            </w:rPr>
            <w:t>20</w:t>
          </w:r>
          <w:r>
            <w:rPr>
              <w:color w:val="auto"/>
              <w:sz w:val="24"/>
              <w:szCs w:val="24"/>
            </w:rPr>
            <w:fldChar w:fldCharType="end"/>
          </w:r>
          <w:r>
            <w:rPr>
              <w:rFonts w:hint="eastAsia"/>
              <w:color w:val="auto"/>
              <w:sz w:val="24"/>
              <w:szCs w:val="24"/>
              <w:lang w:eastAsia="zh-CN"/>
            </w:rPr>
            <w:fldChar w:fldCharType="end"/>
          </w:r>
        </w:p>
        <w:p w14:paraId="131626E7">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_Toc22344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附表3  兴宁市重要地表水体功能区</w:t>
          </w:r>
          <w:r>
            <w:rPr>
              <w:color w:val="auto"/>
              <w:sz w:val="24"/>
              <w:szCs w:val="24"/>
            </w:rPr>
            <w:tab/>
          </w:r>
          <w:r>
            <w:rPr>
              <w:color w:val="auto"/>
              <w:sz w:val="24"/>
              <w:szCs w:val="24"/>
            </w:rPr>
            <w:fldChar w:fldCharType="begin"/>
          </w:r>
          <w:r>
            <w:rPr>
              <w:color w:val="auto"/>
              <w:sz w:val="24"/>
              <w:szCs w:val="24"/>
            </w:rPr>
            <w:instrText xml:space="preserve"> PAGEREF _Toc22344 \h </w:instrText>
          </w:r>
          <w:r>
            <w:rPr>
              <w:color w:val="auto"/>
              <w:sz w:val="24"/>
              <w:szCs w:val="24"/>
            </w:rPr>
            <w:fldChar w:fldCharType="separate"/>
          </w:r>
          <w:r>
            <w:rPr>
              <w:color w:val="auto"/>
              <w:sz w:val="24"/>
              <w:szCs w:val="24"/>
            </w:rPr>
            <w:t>21</w:t>
          </w:r>
          <w:r>
            <w:rPr>
              <w:color w:val="auto"/>
              <w:sz w:val="24"/>
              <w:szCs w:val="24"/>
            </w:rPr>
            <w:fldChar w:fldCharType="end"/>
          </w:r>
          <w:r>
            <w:rPr>
              <w:rFonts w:hint="eastAsia"/>
              <w:color w:val="auto"/>
              <w:sz w:val="24"/>
              <w:szCs w:val="24"/>
              <w:lang w:eastAsia="zh-CN"/>
            </w:rPr>
            <w:fldChar w:fldCharType="end"/>
          </w:r>
        </w:p>
        <w:p w14:paraId="0FF4C9BE">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_Toc26965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附表4  兴宁市主要工业园区</w:t>
          </w:r>
          <w:r>
            <w:rPr>
              <w:color w:val="auto"/>
              <w:sz w:val="24"/>
              <w:szCs w:val="24"/>
            </w:rPr>
            <w:tab/>
          </w:r>
          <w:r>
            <w:rPr>
              <w:color w:val="auto"/>
              <w:sz w:val="24"/>
              <w:szCs w:val="24"/>
            </w:rPr>
            <w:fldChar w:fldCharType="begin"/>
          </w:r>
          <w:r>
            <w:rPr>
              <w:color w:val="auto"/>
              <w:sz w:val="24"/>
              <w:szCs w:val="24"/>
            </w:rPr>
            <w:instrText xml:space="preserve"> PAGEREF _Toc26965 \h </w:instrText>
          </w:r>
          <w:r>
            <w:rPr>
              <w:color w:val="auto"/>
              <w:sz w:val="24"/>
              <w:szCs w:val="24"/>
            </w:rPr>
            <w:fldChar w:fldCharType="separate"/>
          </w:r>
          <w:r>
            <w:rPr>
              <w:color w:val="auto"/>
              <w:sz w:val="24"/>
              <w:szCs w:val="24"/>
            </w:rPr>
            <w:t>22</w:t>
          </w:r>
          <w:r>
            <w:rPr>
              <w:color w:val="auto"/>
              <w:sz w:val="24"/>
              <w:szCs w:val="24"/>
            </w:rPr>
            <w:fldChar w:fldCharType="end"/>
          </w:r>
          <w:r>
            <w:rPr>
              <w:rFonts w:hint="eastAsia"/>
              <w:color w:val="auto"/>
              <w:sz w:val="24"/>
              <w:szCs w:val="24"/>
              <w:lang w:eastAsia="zh-CN"/>
            </w:rPr>
            <w:fldChar w:fldCharType="end"/>
          </w:r>
        </w:p>
        <w:p w14:paraId="2CC391D4">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_Toc3694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附表5  兴宁市主要交通路网</w:t>
          </w:r>
          <w:r>
            <w:rPr>
              <w:color w:val="auto"/>
              <w:sz w:val="24"/>
              <w:szCs w:val="24"/>
            </w:rPr>
            <w:tab/>
          </w:r>
          <w:r>
            <w:rPr>
              <w:color w:val="auto"/>
              <w:sz w:val="24"/>
              <w:szCs w:val="24"/>
            </w:rPr>
            <w:fldChar w:fldCharType="begin"/>
          </w:r>
          <w:r>
            <w:rPr>
              <w:color w:val="auto"/>
              <w:sz w:val="24"/>
              <w:szCs w:val="24"/>
            </w:rPr>
            <w:instrText xml:space="preserve"> PAGEREF _Toc3694 \h </w:instrText>
          </w:r>
          <w:r>
            <w:rPr>
              <w:color w:val="auto"/>
              <w:sz w:val="24"/>
              <w:szCs w:val="24"/>
            </w:rPr>
            <w:fldChar w:fldCharType="separate"/>
          </w:r>
          <w:r>
            <w:rPr>
              <w:color w:val="auto"/>
              <w:sz w:val="24"/>
              <w:szCs w:val="24"/>
            </w:rPr>
            <w:t>23</w:t>
          </w:r>
          <w:r>
            <w:rPr>
              <w:color w:val="auto"/>
              <w:sz w:val="24"/>
              <w:szCs w:val="24"/>
            </w:rPr>
            <w:fldChar w:fldCharType="end"/>
          </w:r>
          <w:r>
            <w:rPr>
              <w:rFonts w:hint="eastAsia"/>
              <w:color w:val="auto"/>
              <w:sz w:val="24"/>
              <w:szCs w:val="24"/>
              <w:lang w:eastAsia="zh-CN"/>
            </w:rPr>
            <w:fldChar w:fldCharType="end"/>
          </w:r>
        </w:p>
        <w:p w14:paraId="4148AAA9">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_Toc21463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附表6  兴宁市县级以上文物保护单位名单</w:t>
          </w:r>
          <w:r>
            <w:rPr>
              <w:color w:val="auto"/>
              <w:sz w:val="24"/>
              <w:szCs w:val="24"/>
            </w:rPr>
            <w:tab/>
          </w:r>
          <w:r>
            <w:rPr>
              <w:color w:val="auto"/>
              <w:sz w:val="24"/>
              <w:szCs w:val="24"/>
            </w:rPr>
            <w:fldChar w:fldCharType="begin"/>
          </w:r>
          <w:r>
            <w:rPr>
              <w:color w:val="auto"/>
              <w:sz w:val="24"/>
              <w:szCs w:val="24"/>
            </w:rPr>
            <w:instrText xml:space="preserve"> PAGEREF _Toc21463 \h </w:instrText>
          </w:r>
          <w:r>
            <w:rPr>
              <w:color w:val="auto"/>
              <w:sz w:val="24"/>
              <w:szCs w:val="24"/>
            </w:rPr>
            <w:fldChar w:fldCharType="separate"/>
          </w:r>
          <w:r>
            <w:rPr>
              <w:color w:val="auto"/>
              <w:sz w:val="24"/>
              <w:szCs w:val="24"/>
            </w:rPr>
            <w:t>24</w:t>
          </w:r>
          <w:r>
            <w:rPr>
              <w:color w:val="auto"/>
              <w:sz w:val="24"/>
              <w:szCs w:val="24"/>
            </w:rPr>
            <w:fldChar w:fldCharType="end"/>
          </w:r>
          <w:r>
            <w:rPr>
              <w:rFonts w:hint="eastAsia"/>
              <w:color w:val="auto"/>
              <w:sz w:val="24"/>
              <w:szCs w:val="24"/>
              <w:lang w:eastAsia="zh-CN"/>
            </w:rPr>
            <w:fldChar w:fldCharType="end"/>
          </w:r>
        </w:p>
        <w:p w14:paraId="17740AB7">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_Toc21042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附表7  兴宁市畜禽养殖禁养区划分方案（2025版）调整前后禁养区变化情况对比表</w:t>
          </w:r>
          <w:r>
            <w:rPr>
              <w:color w:val="auto"/>
              <w:sz w:val="24"/>
              <w:szCs w:val="24"/>
            </w:rPr>
            <w:tab/>
          </w:r>
          <w:r>
            <w:rPr>
              <w:color w:val="auto"/>
              <w:sz w:val="24"/>
              <w:szCs w:val="24"/>
            </w:rPr>
            <w:fldChar w:fldCharType="begin"/>
          </w:r>
          <w:r>
            <w:rPr>
              <w:color w:val="auto"/>
              <w:sz w:val="24"/>
              <w:szCs w:val="24"/>
            </w:rPr>
            <w:instrText xml:space="preserve"> PAGEREF _Toc21042 \h </w:instrText>
          </w:r>
          <w:r>
            <w:rPr>
              <w:color w:val="auto"/>
              <w:sz w:val="24"/>
              <w:szCs w:val="24"/>
            </w:rPr>
            <w:fldChar w:fldCharType="separate"/>
          </w:r>
          <w:r>
            <w:rPr>
              <w:color w:val="auto"/>
              <w:sz w:val="24"/>
              <w:szCs w:val="24"/>
            </w:rPr>
            <w:t>28</w:t>
          </w:r>
          <w:r>
            <w:rPr>
              <w:color w:val="auto"/>
              <w:sz w:val="24"/>
              <w:szCs w:val="24"/>
            </w:rPr>
            <w:fldChar w:fldCharType="end"/>
          </w:r>
          <w:r>
            <w:rPr>
              <w:rFonts w:hint="eastAsia"/>
              <w:color w:val="auto"/>
              <w:sz w:val="24"/>
              <w:szCs w:val="24"/>
              <w:lang w:eastAsia="zh-CN"/>
            </w:rPr>
            <w:fldChar w:fldCharType="end"/>
          </w:r>
        </w:p>
        <w:p w14:paraId="22B6165A">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_Toc25935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 兴宁市饮用水水源保护区分布图</w:t>
          </w:r>
          <w:r>
            <w:rPr>
              <w:color w:val="auto"/>
              <w:sz w:val="24"/>
              <w:szCs w:val="24"/>
            </w:rPr>
            <w:tab/>
          </w:r>
          <w:r>
            <w:rPr>
              <w:color w:val="auto"/>
              <w:sz w:val="24"/>
              <w:szCs w:val="24"/>
            </w:rPr>
            <w:fldChar w:fldCharType="begin"/>
          </w:r>
          <w:r>
            <w:rPr>
              <w:color w:val="auto"/>
              <w:sz w:val="24"/>
              <w:szCs w:val="24"/>
            </w:rPr>
            <w:instrText xml:space="preserve"> PAGEREF _Toc25935 \h </w:instrText>
          </w:r>
          <w:r>
            <w:rPr>
              <w:color w:val="auto"/>
              <w:sz w:val="24"/>
              <w:szCs w:val="24"/>
            </w:rPr>
            <w:fldChar w:fldCharType="separate"/>
          </w:r>
          <w:r>
            <w:rPr>
              <w:color w:val="auto"/>
              <w:sz w:val="24"/>
              <w:szCs w:val="24"/>
            </w:rPr>
            <w:t>30</w:t>
          </w:r>
          <w:r>
            <w:rPr>
              <w:color w:val="auto"/>
              <w:sz w:val="24"/>
              <w:szCs w:val="24"/>
            </w:rPr>
            <w:fldChar w:fldCharType="end"/>
          </w:r>
          <w:r>
            <w:rPr>
              <w:rFonts w:hint="eastAsia"/>
              <w:color w:val="auto"/>
              <w:sz w:val="24"/>
              <w:szCs w:val="24"/>
              <w:lang w:eastAsia="zh-CN"/>
            </w:rPr>
            <w:fldChar w:fldCharType="end"/>
          </w:r>
        </w:p>
        <w:p w14:paraId="3DDD94A5">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_Toc21404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 兴宁市自然保护地分布图</w:t>
          </w:r>
          <w:r>
            <w:rPr>
              <w:color w:val="auto"/>
              <w:sz w:val="24"/>
              <w:szCs w:val="24"/>
            </w:rPr>
            <w:tab/>
          </w:r>
          <w:r>
            <w:rPr>
              <w:color w:val="auto"/>
              <w:sz w:val="24"/>
              <w:szCs w:val="24"/>
            </w:rPr>
            <w:fldChar w:fldCharType="begin"/>
          </w:r>
          <w:r>
            <w:rPr>
              <w:color w:val="auto"/>
              <w:sz w:val="24"/>
              <w:szCs w:val="24"/>
            </w:rPr>
            <w:instrText xml:space="preserve"> PAGEREF _Toc21404 \h </w:instrText>
          </w:r>
          <w:r>
            <w:rPr>
              <w:color w:val="auto"/>
              <w:sz w:val="24"/>
              <w:szCs w:val="24"/>
            </w:rPr>
            <w:fldChar w:fldCharType="separate"/>
          </w:r>
          <w:r>
            <w:rPr>
              <w:color w:val="auto"/>
              <w:sz w:val="24"/>
              <w:szCs w:val="24"/>
            </w:rPr>
            <w:t>31</w:t>
          </w:r>
          <w:r>
            <w:rPr>
              <w:color w:val="auto"/>
              <w:sz w:val="24"/>
              <w:szCs w:val="24"/>
            </w:rPr>
            <w:fldChar w:fldCharType="end"/>
          </w:r>
          <w:r>
            <w:rPr>
              <w:rFonts w:hint="eastAsia"/>
              <w:color w:val="auto"/>
              <w:sz w:val="24"/>
              <w:szCs w:val="24"/>
              <w:lang w:eastAsia="zh-CN"/>
            </w:rPr>
            <w:fldChar w:fldCharType="end"/>
          </w:r>
        </w:p>
        <w:p w14:paraId="1702C0BD">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_Toc23355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附图3 兴宁市重要地表水体功能区分布图</w:t>
          </w:r>
          <w:r>
            <w:rPr>
              <w:color w:val="auto"/>
              <w:sz w:val="24"/>
              <w:szCs w:val="24"/>
            </w:rPr>
            <w:tab/>
          </w:r>
          <w:r>
            <w:rPr>
              <w:color w:val="auto"/>
              <w:sz w:val="24"/>
              <w:szCs w:val="24"/>
            </w:rPr>
            <w:fldChar w:fldCharType="begin"/>
          </w:r>
          <w:r>
            <w:rPr>
              <w:color w:val="auto"/>
              <w:sz w:val="24"/>
              <w:szCs w:val="24"/>
            </w:rPr>
            <w:instrText xml:space="preserve"> PAGEREF _Toc23355 \h </w:instrText>
          </w:r>
          <w:r>
            <w:rPr>
              <w:color w:val="auto"/>
              <w:sz w:val="24"/>
              <w:szCs w:val="24"/>
            </w:rPr>
            <w:fldChar w:fldCharType="separate"/>
          </w:r>
          <w:r>
            <w:rPr>
              <w:color w:val="auto"/>
              <w:sz w:val="24"/>
              <w:szCs w:val="24"/>
            </w:rPr>
            <w:t>32</w:t>
          </w:r>
          <w:r>
            <w:rPr>
              <w:color w:val="auto"/>
              <w:sz w:val="24"/>
              <w:szCs w:val="24"/>
            </w:rPr>
            <w:fldChar w:fldCharType="end"/>
          </w:r>
          <w:r>
            <w:rPr>
              <w:rFonts w:hint="eastAsia"/>
              <w:color w:val="auto"/>
              <w:sz w:val="24"/>
              <w:szCs w:val="24"/>
              <w:lang w:eastAsia="zh-CN"/>
            </w:rPr>
            <w:fldChar w:fldCharType="end"/>
          </w:r>
        </w:p>
        <w:p w14:paraId="26BF8DDF">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_Toc12414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附图4 兴宁市城镇开发边界分布图</w:t>
          </w:r>
          <w:r>
            <w:rPr>
              <w:color w:val="auto"/>
              <w:sz w:val="24"/>
              <w:szCs w:val="24"/>
            </w:rPr>
            <w:tab/>
          </w:r>
          <w:r>
            <w:rPr>
              <w:color w:val="auto"/>
              <w:sz w:val="24"/>
              <w:szCs w:val="24"/>
            </w:rPr>
            <w:fldChar w:fldCharType="begin"/>
          </w:r>
          <w:r>
            <w:rPr>
              <w:color w:val="auto"/>
              <w:sz w:val="24"/>
              <w:szCs w:val="24"/>
            </w:rPr>
            <w:instrText xml:space="preserve"> PAGEREF _Toc12414 \h </w:instrText>
          </w:r>
          <w:r>
            <w:rPr>
              <w:color w:val="auto"/>
              <w:sz w:val="24"/>
              <w:szCs w:val="24"/>
            </w:rPr>
            <w:fldChar w:fldCharType="separate"/>
          </w:r>
          <w:r>
            <w:rPr>
              <w:color w:val="auto"/>
              <w:sz w:val="24"/>
              <w:szCs w:val="24"/>
            </w:rPr>
            <w:t>33</w:t>
          </w:r>
          <w:r>
            <w:rPr>
              <w:color w:val="auto"/>
              <w:sz w:val="24"/>
              <w:szCs w:val="24"/>
            </w:rPr>
            <w:fldChar w:fldCharType="end"/>
          </w:r>
          <w:r>
            <w:rPr>
              <w:rFonts w:hint="eastAsia"/>
              <w:color w:val="auto"/>
              <w:sz w:val="24"/>
              <w:szCs w:val="24"/>
              <w:lang w:eastAsia="zh-CN"/>
            </w:rPr>
            <w:fldChar w:fldCharType="end"/>
          </w:r>
        </w:p>
        <w:p w14:paraId="4E8F83DF">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_Toc324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附图5 兴宁市主要工业园区分布图</w:t>
          </w:r>
          <w:r>
            <w:rPr>
              <w:color w:val="auto"/>
              <w:sz w:val="24"/>
              <w:szCs w:val="24"/>
            </w:rPr>
            <w:tab/>
          </w:r>
          <w:r>
            <w:rPr>
              <w:color w:val="auto"/>
              <w:sz w:val="24"/>
              <w:szCs w:val="24"/>
            </w:rPr>
            <w:fldChar w:fldCharType="begin"/>
          </w:r>
          <w:r>
            <w:rPr>
              <w:color w:val="auto"/>
              <w:sz w:val="24"/>
              <w:szCs w:val="24"/>
            </w:rPr>
            <w:instrText xml:space="preserve"> PAGEREF _Toc324 \h </w:instrText>
          </w:r>
          <w:r>
            <w:rPr>
              <w:color w:val="auto"/>
              <w:sz w:val="24"/>
              <w:szCs w:val="24"/>
            </w:rPr>
            <w:fldChar w:fldCharType="separate"/>
          </w:r>
          <w:r>
            <w:rPr>
              <w:color w:val="auto"/>
              <w:sz w:val="24"/>
              <w:szCs w:val="24"/>
            </w:rPr>
            <w:t>34</w:t>
          </w:r>
          <w:r>
            <w:rPr>
              <w:color w:val="auto"/>
              <w:sz w:val="24"/>
              <w:szCs w:val="24"/>
            </w:rPr>
            <w:fldChar w:fldCharType="end"/>
          </w:r>
          <w:r>
            <w:rPr>
              <w:rFonts w:hint="eastAsia"/>
              <w:color w:val="auto"/>
              <w:sz w:val="24"/>
              <w:szCs w:val="24"/>
              <w:lang w:eastAsia="zh-CN"/>
            </w:rPr>
            <w:fldChar w:fldCharType="end"/>
          </w:r>
        </w:p>
        <w:p w14:paraId="6DA638CB">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_Toc7798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附图6 兴宁市永久基本农田保护区分布图</w:t>
          </w:r>
          <w:r>
            <w:rPr>
              <w:color w:val="auto"/>
              <w:sz w:val="24"/>
              <w:szCs w:val="24"/>
            </w:rPr>
            <w:tab/>
          </w:r>
          <w:r>
            <w:rPr>
              <w:color w:val="auto"/>
              <w:sz w:val="24"/>
              <w:szCs w:val="24"/>
            </w:rPr>
            <w:fldChar w:fldCharType="begin"/>
          </w:r>
          <w:r>
            <w:rPr>
              <w:color w:val="auto"/>
              <w:sz w:val="24"/>
              <w:szCs w:val="24"/>
            </w:rPr>
            <w:instrText xml:space="preserve"> PAGEREF _Toc7798 \h </w:instrText>
          </w:r>
          <w:r>
            <w:rPr>
              <w:color w:val="auto"/>
              <w:sz w:val="24"/>
              <w:szCs w:val="24"/>
            </w:rPr>
            <w:fldChar w:fldCharType="separate"/>
          </w:r>
          <w:r>
            <w:rPr>
              <w:color w:val="auto"/>
              <w:sz w:val="24"/>
              <w:szCs w:val="24"/>
            </w:rPr>
            <w:t>35</w:t>
          </w:r>
          <w:r>
            <w:rPr>
              <w:color w:val="auto"/>
              <w:sz w:val="24"/>
              <w:szCs w:val="24"/>
            </w:rPr>
            <w:fldChar w:fldCharType="end"/>
          </w:r>
          <w:r>
            <w:rPr>
              <w:rFonts w:hint="eastAsia"/>
              <w:color w:val="auto"/>
              <w:sz w:val="24"/>
              <w:szCs w:val="24"/>
              <w:lang w:eastAsia="zh-CN"/>
            </w:rPr>
            <w:fldChar w:fldCharType="end"/>
          </w:r>
        </w:p>
        <w:p w14:paraId="181535D4">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_Toc21698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附图7 兴宁市主要交通路网分布图</w:t>
          </w:r>
          <w:r>
            <w:rPr>
              <w:color w:val="auto"/>
              <w:sz w:val="24"/>
              <w:szCs w:val="24"/>
            </w:rPr>
            <w:tab/>
          </w:r>
          <w:r>
            <w:rPr>
              <w:color w:val="auto"/>
              <w:sz w:val="24"/>
              <w:szCs w:val="24"/>
            </w:rPr>
            <w:fldChar w:fldCharType="begin"/>
          </w:r>
          <w:r>
            <w:rPr>
              <w:color w:val="auto"/>
              <w:sz w:val="24"/>
              <w:szCs w:val="24"/>
            </w:rPr>
            <w:instrText xml:space="preserve"> PAGEREF _Toc21698 \h </w:instrText>
          </w:r>
          <w:r>
            <w:rPr>
              <w:color w:val="auto"/>
              <w:sz w:val="24"/>
              <w:szCs w:val="24"/>
            </w:rPr>
            <w:fldChar w:fldCharType="separate"/>
          </w:r>
          <w:r>
            <w:rPr>
              <w:color w:val="auto"/>
              <w:sz w:val="24"/>
              <w:szCs w:val="24"/>
            </w:rPr>
            <w:t>36</w:t>
          </w:r>
          <w:r>
            <w:rPr>
              <w:color w:val="auto"/>
              <w:sz w:val="24"/>
              <w:szCs w:val="24"/>
            </w:rPr>
            <w:fldChar w:fldCharType="end"/>
          </w:r>
          <w:r>
            <w:rPr>
              <w:rFonts w:hint="eastAsia"/>
              <w:color w:val="auto"/>
              <w:sz w:val="24"/>
              <w:szCs w:val="24"/>
              <w:lang w:eastAsia="zh-CN"/>
            </w:rPr>
            <w:fldChar w:fldCharType="end"/>
          </w:r>
        </w:p>
        <w:p w14:paraId="4100DB13">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_Toc4838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附图8 兴宁市县级以上文物保护单位分布图</w:t>
          </w:r>
          <w:r>
            <w:rPr>
              <w:color w:val="auto"/>
              <w:sz w:val="24"/>
              <w:szCs w:val="24"/>
            </w:rPr>
            <w:tab/>
          </w:r>
          <w:r>
            <w:rPr>
              <w:color w:val="auto"/>
              <w:sz w:val="24"/>
              <w:szCs w:val="24"/>
            </w:rPr>
            <w:fldChar w:fldCharType="begin"/>
          </w:r>
          <w:r>
            <w:rPr>
              <w:color w:val="auto"/>
              <w:sz w:val="24"/>
              <w:szCs w:val="24"/>
            </w:rPr>
            <w:instrText xml:space="preserve"> PAGEREF _Toc4838 \h </w:instrText>
          </w:r>
          <w:r>
            <w:rPr>
              <w:color w:val="auto"/>
              <w:sz w:val="24"/>
              <w:szCs w:val="24"/>
            </w:rPr>
            <w:fldChar w:fldCharType="separate"/>
          </w:r>
          <w:r>
            <w:rPr>
              <w:color w:val="auto"/>
              <w:sz w:val="24"/>
              <w:szCs w:val="24"/>
            </w:rPr>
            <w:t>37</w:t>
          </w:r>
          <w:r>
            <w:rPr>
              <w:color w:val="auto"/>
              <w:sz w:val="24"/>
              <w:szCs w:val="24"/>
            </w:rPr>
            <w:fldChar w:fldCharType="end"/>
          </w:r>
          <w:r>
            <w:rPr>
              <w:rFonts w:hint="eastAsia"/>
              <w:color w:val="auto"/>
              <w:sz w:val="24"/>
              <w:szCs w:val="24"/>
              <w:lang w:eastAsia="zh-CN"/>
            </w:rPr>
            <w:fldChar w:fldCharType="end"/>
          </w:r>
        </w:p>
        <w:p w14:paraId="1AD8AA2F">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_Toc21844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附图9原兴宁市畜禽养殖禁养区分布图（2020版）</w:t>
          </w:r>
          <w:r>
            <w:rPr>
              <w:color w:val="auto"/>
              <w:sz w:val="24"/>
              <w:szCs w:val="24"/>
            </w:rPr>
            <w:tab/>
          </w:r>
          <w:r>
            <w:rPr>
              <w:color w:val="auto"/>
              <w:sz w:val="24"/>
              <w:szCs w:val="24"/>
            </w:rPr>
            <w:fldChar w:fldCharType="begin"/>
          </w:r>
          <w:r>
            <w:rPr>
              <w:color w:val="auto"/>
              <w:sz w:val="24"/>
              <w:szCs w:val="24"/>
            </w:rPr>
            <w:instrText xml:space="preserve"> PAGEREF _Toc21844 \h </w:instrText>
          </w:r>
          <w:r>
            <w:rPr>
              <w:color w:val="auto"/>
              <w:sz w:val="24"/>
              <w:szCs w:val="24"/>
            </w:rPr>
            <w:fldChar w:fldCharType="separate"/>
          </w:r>
          <w:r>
            <w:rPr>
              <w:color w:val="auto"/>
              <w:sz w:val="24"/>
              <w:szCs w:val="24"/>
            </w:rPr>
            <w:t>38</w:t>
          </w:r>
          <w:r>
            <w:rPr>
              <w:color w:val="auto"/>
              <w:sz w:val="24"/>
              <w:szCs w:val="24"/>
            </w:rPr>
            <w:fldChar w:fldCharType="end"/>
          </w:r>
          <w:r>
            <w:rPr>
              <w:rFonts w:hint="eastAsia"/>
              <w:color w:val="auto"/>
              <w:sz w:val="24"/>
              <w:szCs w:val="24"/>
              <w:lang w:eastAsia="zh-CN"/>
            </w:rPr>
            <w:fldChar w:fldCharType="end"/>
          </w:r>
        </w:p>
        <w:p w14:paraId="43536549">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_Toc30634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附图10 兴宁市畜禽养殖禁养区分布图</w:t>
          </w:r>
          <w:r>
            <w:rPr>
              <w:color w:val="auto"/>
              <w:sz w:val="24"/>
              <w:szCs w:val="24"/>
            </w:rPr>
            <w:tab/>
          </w:r>
          <w:r>
            <w:rPr>
              <w:color w:val="auto"/>
              <w:sz w:val="24"/>
              <w:szCs w:val="24"/>
            </w:rPr>
            <w:fldChar w:fldCharType="begin"/>
          </w:r>
          <w:r>
            <w:rPr>
              <w:color w:val="auto"/>
              <w:sz w:val="24"/>
              <w:szCs w:val="24"/>
            </w:rPr>
            <w:instrText xml:space="preserve"> PAGEREF _Toc30634 \h </w:instrText>
          </w:r>
          <w:r>
            <w:rPr>
              <w:color w:val="auto"/>
              <w:sz w:val="24"/>
              <w:szCs w:val="24"/>
            </w:rPr>
            <w:fldChar w:fldCharType="separate"/>
          </w:r>
          <w:r>
            <w:rPr>
              <w:color w:val="auto"/>
              <w:sz w:val="24"/>
              <w:szCs w:val="24"/>
            </w:rPr>
            <w:t>39</w:t>
          </w:r>
          <w:r>
            <w:rPr>
              <w:color w:val="auto"/>
              <w:sz w:val="24"/>
              <w:szCs w:val="24"/>
            </w:rPr>
            <w:fldChar w:fldCharType="end"/>
          </w:r>
          <w:r>
            <w:rPr>
              <w:rFonts w:hint="eastAsia"/>
              <w:color w:val="auto"/>
              <w:sz w:val="24"/>
              <w:szCs w:val="24"/>
              <w:lang w:eastAsia="zh-CN"/>
            </w:rPr>
            <w:fldChar w:fldCharType="end"/>
          </w:r>
        </w:p>
        <w:p w14:paraId="0BC59EE3">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_Toc29493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附图11 兴田街道畜禽养殖禁养区分布图</w:t>
          </w:r>
          <w:r>
            <w:rPr>
              <w:color w:val="auto"/>
              <w:sz w:val="24"/>
              <w:szCs w:val="24"/>
            </w:rPr>
            <w:tab/>
          </w:r>
          <w:r>
            <w:rPr>
              <w:color w:val="auto"/>
              <w:sz w:val="24"/>
              <w:szCs w:val="24"/>
            </w:rPr>
            <w:fldChar w:fldCharType="begin"/>
          </w:r>
          <w:r>
            <w:rPr>
              <w:color w:val="auto"/>
              <w:sz w:val="24"/>
              <w:szCs w:val="24"/>
            </w:rPr>
            <w:instrText xml:space="preserve"> PAGEREF _Toc29493 \h </w:instrText>
          </w:r>
          <w:r>
            <w:rPr>
              <w:color w:val="auto"/>
              <w:sz w:val="24"/>
              <w:szCs w:val="24"/>
            </w:rPr>
            <w:fldChar w:fldCharType="separate"/>
          </w:r>
          <w:r>
            <w:rPr>
              <w:color w:val="auto"/>
              <w:sz w:val="24"/>
              <w:szCs w:val="24"/>
            </w:rPr>
            <w:t>40</w:t>
          </w:r>
          <w:r>
            <w:rPr>
              <w:color w:val="auto"/>
              <w:sz w:val="24"/>
              <w:szCs w:val="24"/>
            </w:rPr>
            <w:fldChar w:fldCharType="end"/>
          </w:r>
          <w:r>
            <w:rPr>
              <w:rFonts w:hint="eastAsia"/>
              <w:color w:val="auto"/>
              <w:sz w:val="24"/>
              <w:szCs w:val="24"/>
              <w:lang w:eastAsia="zh-CN"/>
            </w:rPr>
            <w:fldChar w:fldCharType="end"/>
          </w:r>
        </w:p>
        <w:p w14:paraId="70DBAAD2">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_Toc15007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附图12 福兴街道畜禽养殖禁养区分布图</w:t>
          </w:r>
          <w:r>
            <w:rPr>
              <w:color w:val="auto"/>
              <w:sz w:val="24"/>
              <w:szCs w:val="24"/>
            </w:rPr>
            <w:tab/>
          </w:r>
          <w:r>
            <w:rPr>
              <w:color w:val="auto"/>
              <w:sz w:val="24"/>
              <w:szCs w:val="24"/>
            </w:rPr>
            <w:fldChar w:fldCharType="begin"/>
          </w:r>
          <w:r>
            <w:rPr>
              <w:color w:val="auto"/>
              <w:sz w:val="24"/>
              <w:szCs w:val="24"/>
            </w:rPr>
            <w:instrText xml:space="preserve"> PAGEREF _Toc15007 \h </w:instrText>
          </w:r>
          <w:r>
            <w:rPr>
              <w:color w:val="auto"/>
              <w:sz w:val="24"/>
              <w:szCs w:val="24"/>
            </w:rPr>
            <w:fldChar w:fldCharType="separate"/>
          </w:r>
          <w:r>
            <w:rPr>
              <w:color w:val="auto"/>
              <w:sz w:val="24"/>
              <w:szCs w:val="24"/>
            </w:rPr>
            <w:t>41</w:t>
          </w:r>
          <w:r>
            <w:rPr>
              <w:color w:val="auto"/>
              <w:sz w:val="24"/>
              <w:szCs w:val="24"/>
            </w:rPr>
            <w:fldChar w:fldCharType="end"/>
          </w:r>
          <w:r>
            <w:rPr>
              <w:rFonts w:hint="eastAsia"/>
              <w:color w:val="auto"/>
              <w:sz w:val="24"/>
              <w:szCs w:val="24"/>
              <w:lang w:eastAsia="zh-CN"/>
            </w:rPr>
            <w:fldChar w:fldCharType="end"/>
          </w:r>
        </w:p>
        <w:p w14:paraId="738624EC">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_Toc20787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附图13 宁新街道畜禽养殖禁养区分布图</w:t>
          </w:r>
          <w:r>
            <w:rPr>
              <w:color w:val="auto"/>
              <w:sz w:val="24"/>
              <w:szCs w:val="24"/>
            </w:rPr>
            <w:tab/>
          </w:r>
          <w:r>
            <w:rPr>
              <w:color w:val="auto"/>
              <w:sz w:val="24"/>
              <w:szCs w:val="24"/>
            </w:rPr>
            <w:fldChar w:fldCharType="begin"/>
          </w:r>
          <w:r>
            <w:rPr>
              <w:color w:val="auto"/>
              <w:sz w:val="24"/>
              <w:szCs w:val="24"/>
            </w:rPr>
            <w:instrText xml:space="preserve"> PAGEREF _Toc20787 \h </w:instrText>
          </w:r>
          <w:r>
            <w:rPr>
              <w:color w:val="auto"/>
              <w:sz w:val="24"/>
              <w:szCs w:val="24"/>
            </w:rPr>
            <w:fldChar w:fldCharType="separate"/>
          </w:r>
          <w:r>
            <w:rPr>
              <w:color w:val="auto"/>
              <w:sz w:val="24"/>
              <w:szCs w:val="24"/>
            </w:rPr>
            <w:t>42</w:t>
          </w:r>
          <w:r>
            <w:rPr>
              <w:color w:val="auto"/>
              <w:sz w:val="24"/>
              <w:szCs w:val="24"/>
            </w:rPr>
            <w:fldChar w:fldCharType="end"/>
          </w:r>
          <w:r>
            <w:rPr>
              <w:rFonts w:hint="eastAsia"/>
              <w:color w:val="auto"/>
              <w:sz w:val="24"/>
              <w:szCs w:val="24"/>
              <w:lang w:eastAsia="zh-CN"/>
            </w:rPr>
            <w:fldChar w:fldCharType="end"/>
          </w:r>
        </w:p>
        <w:p w14:paraId="4B7EDCF8">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_Toc13873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附图14 永和镇畜禽养殖禁养区分布图</w:t>
          </w:r>
          <w:r>
            <w:rPr>
              <w:color w:val="auto"/>
              <w:sz w:val="24"/>
              <w:szCs w:val="24"/>
            </w:rPr>
            <w:tab/>
          </w:r>
          <w:r>
            <w:rPr>
              <w:color w:val="auto"/>
              <w:sz w:val="24"/>
              <w:szCs w:val="24"/>
            </w:rPr>
            <w:fldChar w:fldCharType="begin"/>
          </w:r>
          <w:r>
            <w:rPr>
              <w:color w:val="auto"/>
              <w:sz w:val="24"/>
              <w:szCs w:val="24"/>
            </w:rPr>
            <w:instrText xml:space="preserve"> PAGEREF _Toc13873 \h </w:instrText>
          </w:r>
          <w:r>
            <w:rPr>
              <w:color w:val="auto"/>
              <w:sz w:val="24"/>
              <w:szCs w:val="24"/>
            </w:rPr>
            <w:fldChar w:fldCharType="separate"/>
          </w:r>
          <w:r>
            <w:rPr>
              <w:color w:val="auto"/>
              <w:sz w:val="24"/>
              <w:szCs w:val="24"/>
            </w:rPr>
            <w:t>43</w:t>
          </w:r>
          <w:r>
            <w:rPr>
              <w:color w:val="auto"/>
              <w:sz w:val="24"/>
              <w:szCs w:val="24"/>
            </w:rPr>
            <w:fldChar w:fldCharType="end"/>
          </w:r>
          <w:r>
            <w:rPr>
              <w:rFonts w:hint="eastAsia"/>
              <w:color w:val="auto"/>
              <w:sz w:val="24"/>
              <w:szCs w:val="24"/>
              <w:lang w:eastAsia="zh-CN"/>
            </w:rPr>
            <w:fldChar w:fldCharType="end"/>
          </w:r>
        </w:p>
        <w:p w14:paraId="5990DC30">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_Toc32632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附图15 新圩镇畜禽养殖禁养区分布图</w:t>
          </w:r>
          <w:r>
            <w:rPr>
              <w:color w:val="auto"/>
              <w:sz w:val="24"/>
              <w:szCs w:val="24"/>
            </w:rPr>
            <w:tab/>
          </w:r>
          <w:r>
            <w:rPr>
              <w:color w:val="auto"/>
              <w:sz w:val="24"/>
              <w:szCs w:val="24"/>
            </w:rPr>
            <w:fldChar w:fldCharType="begin"/>
          </w:r>
          <w:r>
            <w:rPr>
              <w:color w:val="auto"/>
              <w:sz w:val="24"/>
              <w:szCs w:val="24"/>
            </w:rPr>
            <w:instrText xml:space="preserve"> PAGEREF _Toc32632 \h </w:instrText>
          </w:r>
          <w:r>
            <w:rPr>
              <w:color w:val="auto"/>
              <w:sz w:val="24"/>
              <w:szCs w:val="24"/>
            </w:rPr>
            <w:fldChar w:fldCharType="separate"/>
          </w:r>
          <w:r>
            <w:rPr>
              <w:color w:val="auto"/>
              <w:sz w:val="24"/>
              <w:szCs w:val="24"/>
            </w:rPr>
            <w:t>44</w:t>
          </w:r>
          <w:r>
            <w:rPr>
              <w:color w:val="auto"/>
              <w:sz w:val="24"/>
              <w:szCs w:val="24"/>
            </w:rPr>
            <w:fldChar w:fldCharType="end"/>
          </w:r>
          <w:r>
            <w:rPr>
              <w:rFonts w:hint="eastAsia"/>
              <w:color w:val="auto"/>
              <w:sz w:val="24"/>
              <w:szCs w:val="24"/>
              <w:lang w:eastAsia="zh-CN"/>
            </w:rPr>
            <w:fldChar w:fldCharType="end"/>
          </w:r>
        </w:p>
        <w:p w14:paraId="4660E104">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_Toc9100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附图16 罗浮镇畜禽养殖禁养区分布图</w:t>
          </w:r>
          <w:r>
            <w:rPr>
              <w:color w:val="auto"/>
              <w:sz w:val="24"/>
              <w:szCs w:val="24"/>
            </w:rPr>
            <w:tab/>
          </w:r>
          <w:r>
            <w:rPr>
              <w:color w:val="auto"/>
              <w:sz w:val="24"/>
              <w:szCs w:val="24"/>
            </w:rPr>
            <w:fldChar w:fldCharType="begin"/>
          </w:r>
          <w:r>
            <w:rPr>
              <w:color w:val="auto"/>
              <w:sz w:val="24"/>
              <w:szCs w:val="24"/>
            </w:rPr>
            <w:instrText xml:space="preserve"> PAGEREF _Toc9100 \h </w:instrText>
          </w:r>
          <w:r>
            <w:rPr>
              <w:color w:val="auto"/>
              <w:sz w:val="24"/>
              <w:szCs w:val="24"/>
            </w:rPr>
            <w:fldChar w:fldCharType="separate"/>
          </w:r>
          <w:r>
            <w:rPr>
              <w:color w:val="auto"/>
              <w:sz w:val="24"/>
              <w:szCs w:val="24"/>
            </w:rPr>
            <w:t>45</w:t>
          </w:r>
          <w:r>
            <w:rPr>
              <w:color w:val="auto"/>
              <w:sz w:val="24"/>
              <w:szCs w:val="24"/>
            </w:rPr>
            <w:fldChar w:fldCharType="end"/>
          </w:r>
          <w:r>
            <w:rPr>
              <w:rFonts w:hint="eastAsia"/>
              <w:color w:val="auto"/>
              <w:sz w:val="24"/>
              <w:szCs w:val="24"/>
              <w:lang w:eastAsia="zh-CN"/>
            </w:rPr>
            <w:fldChar w:fldCharType="end"/>
          </w:r>
        </w:p>
        <w:p w14:paraId="0A76F2B7">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_Toc15751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附图17 罗岗镇畜禽养殖禁养区分布图</w:t>
          </w:r>
          <w:r>
            <w:rPr>
              <w:color w:val="auto"/>
              <w:sz w:val="24"/>
              <w:szCs w:val="24"/>
            </w:rPr>
            <w:tab/>
          </w:r>
          <w:r>
            <w:rPr>
              <w:color w:val="auto"/>
              <w:sz w:val="24"/>
              <w:szCs w:val="24"/>
            </w:rPr>
            <w:fldChar w:fldCharType="begin"/>
          </w:r>
          <w:r>
            <w:rPr>
              <w:color w:val="auto"/>
              <w:sz w:val="24"/>
              <w:szCs w:val="24"/>
            </w:rPr>
            <w:instrText xml:space="preserve"> PAGEREF _Toc15751 \h </w:instrText>
          </w:r>
          <w:r>
            <w:rPr>
              <w:color w:val="auto"/>
              <w:sz w:val="24"/>
              <w:szCs w:val="24"/>
            </w:rPr>
            <w:fldChar w:fldCharType="separate"/>
          </w:r>
          <w:r>
            <w:rPr>
              <w:color w:val="auto"/>
              <w:sz w:val="24"/>
              <w:szCs w:val="24"/>
            </w:rPr>
            <w:t>46</w:t>
          </w:r>
          <w:r>
            <w:rPr>
              <w:color w:val="auto"/>
              <w:sz w:val="24"/>
              <w:szCs w:val="24"/>
            </w:rPr>
            <w:fldChar w:fldCharType="end"/>
          </w:r>
          <w:r>
            <w:rPr>
              <w:rFonts w:hint="eastAsia"/>
              <w:color w:val="auto"/>
              <w:sz w:val="24"/>
              <w:szCs w:val="24"/>
              <w:lang w:eastAsia="zh-CN"/>
            </w:rPr>
            <w:fldChar w:fldCharType="end"/>
          </w:r>
        </w:p>
        <w:p w14:paraId="15F042B9">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_Toc2852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附图18 黄槐镇畜禽养殖禁养区分布图</w:t>
          </w:r>
          <w:r>
            <w:rPr>
              <w:color w:val="auto"/>
              <w:sz w:val="24"/>
              <w:szCs w:val="24"/>
            </w:rPr>
            <w:tab/>
          </w:r>
          <w:r>
            <w:rPr>
              <w:color w:val="auto"/>
              <w:sz w:val="24"/>
              <w:szCs w:val="24"/>
            </w:rPr>
            <w:fldChar w:fldCharType="begin"/>
          </w:r>
          <w:r>
            <w:rPr>
              <w:color w:val="auto"/>
              <w:sz w:val="24"/>
              <w:szCs w:val="24"/>
            </w:rPr>
            <w:instrText xml:space="preserve"> PAGEREF _Toc2852 \h </w:instrText>
          </w:r>
          <w:r>
            <w:rPr>
              <w:color w:val="auto"/>
              <w:sz w:val="24"/>
              <w:szCs w:val="24"/>
            </w:rPr>
            <w:fldChar w:fldCharType="separate"/>
          </w:r>
          <w:r>
            <w:rPr>
              <w:color w:val="auto"/>
              <w:sz w:val="24"/>
              <w:szCs w:val="24"/>
            </w:rPr>
            <w:t>47</w:t>
          </w:r>
          <w:r>
            <w:rPr>
              <w:color w:val="auto"/>
              <w:sz w:val="24"/>
              <w:szCs w:val="24"/>
            </w:rPr>
            <w:fldChar w:fldCharType="end"/>
          </w:r>
          <w:r>
            <w:rPr>
              <w:rFonts w:hint="eastAsia"/>
              <w:color w:val="auto"/>
              <w:sz w:val="24"/>
              <w:szCs w:val="24"/>
              <w:lang w:eastAsia="zh-CN"/>
            </w:rPr>
            <w:fldChar w:fldCharType="end"/>
          </w:r>
        </w:p>
        <w:p w14:paraId="1D14FEEC">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_Toc1296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附图19 龙田镇畜禽养殖禁养区分布图</w:t>
          </w:r>
          <w:r>
            <w:rPr>
              <w:color w:val="auto"/>
              <w:sz w:val="24"/>
              <w:szCs w:val="24"/>
            </w:rPr>
            <w:tab/>
          </w:r>
          <w:r>
            <w:rPr>
              <w:color w:val="auto"/>
              <w:sz w:val="24"/>
              <w:szCs w:val="24"/>
            </w:rPr>
            <w:fldChar w:fldCharType="begin"/>
          </w:r>
          <w:r>
            <w:rPr>
              <w:color w:val="auto"/>
              <w:sz w:val="24"/>
              <w:szCs w:val="24"/>
            </w:rPr>
            <w:instrText xml:space="preserve"> PAGEREF _Toc1296 \h </w:instrText>
          </w:r>
          <w:r>
            <w:rPr>
              <w:color w:val="auto"/>
              <w:sz w:val="24"/>
              <w:szCs w:val="24"/>
            </w:rPr>
            <w:fldChar w:fldCharType="separate"/>
          </w:r>
          <w:r>
            <w:rPr>
              <w:color w:val="auto"/>
              <w:sz w:val="24"/>
              <w:szCs w:val="24"/>
            </w:rPr>
            <w:t>48</w:t>
          </w:r>
          <w:r>
            <w:rPr>
              <w:color w:val="auto"/>
              <w:sz w:val="24"/>
              <w:szCs w:val="24"/>
            </w:rPr>
            <w:fldChar w:fldCharType="end"/>
          </w:r>
          <w:r>
            <w:rPr>
              <w:rFonts w:hint="eastAsia"/>
              <w:color w:val="auto"/>
              <w:sz w:val="24"/>
              <w:szCs w:val="24"/>
              <w:lang w:eastAsia="zh-CN"/>
            </w:rPr>
            <w:fldChar w:fldCharType="end"/>
          </w:r>
        </w:p>
        <w:p w14:paraId="15FC514D">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_Toc3762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附图20 石马镇畜禽养殖禁养区分布图</w:t>
          </w:r>
          <w:r>
            <w:rPr>
              <w:color w:val="auto"/>
              <w:sz w:val="24"/>
              <w:szCs w:val="24"/>
            </w:rPr>
            <w:tab/>
          </w:r>
          <w:r>
            <w:rPr>
              <w:color w:val="auto"/>
              <w:sz w:val="24"/>
              <w:szCs w:val="24"/>
            </w:rPr>
            <w:fldChar w:fldCharType="begin"/>
          </w:r>
          <w:r>
            <w:rPr>
              <w:color w:val="auto"/>
              <w:sz w:val="24"/>
              <w:szCs w:val="24"/>
            </w:rPr>
            <w:instrText xml:space="preserve"> PAGEREF _Toc3762 \h </w:instrText>
          </w:r>
          <w:r>
            <w:rPr>
              <w:color w:val="auto"/>
              <w:sz w:val="24"/>
              <w:szCs w:val="24"/>
            </w:rPr>
            <w:fldChar w:fldCharType="separate"/>
          </w:r>
          <w:r>
            <w:rPr>
              <w:color w:val="auto"/>
              <w:sz w:val="24"/>
              <w:szCs w:val="24"/>
            </w:rPr>
            <w:t>49</w:t>
          </w:r>
          <w:r>
            <w:rPr>
              <w:color w:val="auto"/>
              <w:sz w:val="24"/>
              <w:szCs w:val="24"/>
            </w:rPr>
            <w:fldChar w:fldCharType="end"/>
          </w:r>
          <w:r>
            <w:rPr>
              <w:rFonts w:hint="eastAsia"/>
              <w:color w:val="auto"/>
              <w:sz w:val="24"/>
              <w:szCs w:val="24"/>
              <w:lang w:eastAsia="zh-CN"/>
            </w:rPr>
            <w:fldChar w:fldCharType="end"/>
          </w:r>
        </w:p>
        <w:p w14:paraId="27070398">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_Toc27793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附图21 宁中镇畜禽养殖禁养区分布图</w:t>
          </w:r>
          <w:r>
            <w:rPr>
              <w:color w:val="auto"/>
              <w:sz w:val="24"/>
              <w:szCs w:val="24"/>
            </w:rPr>
            <w:tab/>
          </w:r>
          <w:r>
            <w:rPr>
              <w:color w:val="auto"/>
              <w:sz w:val="24"/>
              <w:szCs w:val="24"/>
            </w:rPr>
            <w:fldChar w:fldCharType="begin"/>
          </w:r>
          <w:r>
            <w:rPr>
              <w:color w:val="auto"/>
              <w:sz w:val="24"/>
              <w:szCs w:val="24"/>
            </w:rPr>
            <w:instrText xml:space="preserve"> PAGEREF _Toc27793 \h </w:instrText>
          </w:r>
          <w:r>
            <w:rPr>
              <w:color w:val="auto"/>
              <w:sz w:val="24"/>
              <w:szCs w:val="24"/>
            </w:rPr>
            <w:fldChar w:fldCharType="separate"/>
          </w:r>
          <w:r>
            <w:rPr>
              <w:color w:val="auto"/>
              <w:sz w:val="24"/>
              <w:szCs w:val="24"/>
            </w:rPr>
            <w:t>50</w:t>
          </w:r>
          <w:r>
            <w:rPr>
              <w:color w:val="auto"/>
              <w:sz w:val="24"/>
              <w:szCs w:val="24"/>
            </w:rPr>
            <w:fldChar w:fldCharType="end"/>
          </w:r>
          <w:r>
            <w:rPr>
              <w:rFonts w:hint="eastAsia"/>
              <w:color w:val="auto"/>
              <w:sz w:val="24"/>
              <w:szCs w:val="24"/>
              <w:lang w:eastAsia="zh-CN"/>
            </w:rPr>
            <w:fldChar w:fldCharType="end"/>
          </w:r>
        </w:p>
        <w:p w14:paraId="24F2FA3C">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_Toc32722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附图22 径南镇畜禽养殖禁养区分布图</w:t>
          </w:r>
          <w:r>
            <w:rPr>
              <w:color w:val="auto"/>
              <w:sz w:val="24"/>
              <w:szCs w:val="24"/>
            </w:rPr>
            <w:tab/>
          </w:r>
          <w:r>
            <w:rPr>
              <w:color w:val="auto"/>
              <w:sz w:val="24"/>
              <w:szCs w:val="24"/>
            </w:rPr>
            <w:fldChar w:fldCharType="begin"/>
          </w:r>
          <w:r>
            <w:rPr>
              <w:color w:val="auto"/>
              <w:sz w:val="24"/>
              <w:szCs w:val="24"/>
            </w:rPr>
            <w:instrText xml:space="preserve"> PAGEREF _Toc32722 \h </w:instrText>
          </w:r>
          <w:r>
            <w:rPr>
              <w:color w:val="auto"/>
              <w:sz w:val="24"/>
              <w:szCs w:val="24"/>
            </w:rPr>
            <w:fldChar w:fldCharType="separate"/>
          </w:r>
          <w:r>
            <w:rPr>
              <w:color w:val="auto"/>
              <w:sz w:val="24"/>
              <w:szCs w:val="24"/>
            </w:rPr>
            <w:t>51</w:t>
          </w:r>
          <w:r>
            <w:rPr>
              <w:color w:val="auto"/>
              <w:sz w:val="24"/>
              <w:szCs w:val="24"/>
            </w:rPr>
            <w:fldChar w:fldCharType="end"/>
          </w:r>
          <w:r>
            <w:rPr>
              <w:rFonts w:hint="eastAsia"/>
              <w:color w:val="auto"/>
              <w:sz w:val="24"/>
              <w:szCs w:val="24"/>
              <w:lang w:eastAsia="zh-CN"/>
            </w:rPr>
            <w:fldChar w:fldCharType="end"/>
          </w:r>
        </w:p>
        <w:p w14:paraId="0458BF68">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_Toc10210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附图23 坭陂镇畜禽养殖禁养区分布图</w:t>
          </w:r>
          <w:r>
            <w:rPr>
              <w:color w:val="auto"/>
              <w:sz w:val="24"/>
              <w:szCs w:val="24"/>
            </w:rPr>
            <w:tab/>
          </w:r>
          <w:r>
            <w:rPr>
              <w:color w:val="auto"/>
              <w:sz w:val="24"/>
              <w:szCs w:val="24"/>
            </w:rPr>
            <w:fldChar w:fldCharType="begin"/>
          </w:r>
          <w:r>
            <w:rPr>
              <w:color w:val="auto"/>
              <w:sz w:val="24"/>
              <w:szCs w:val="24"/>
            </w:rPr>
            <w:instrText xml:space="preserve"> PAGEREF _Toc10210 \h </w:instrText>
          </w:r>
          <w:r>
            <w:rPr>
              <w:color w:val="auto"/>
              <w:sz w:val="24"/>
              <w:szCs w:val="24"/>
            </w:rPr>
            <w:fldChar w:fldCharType="separate"/>
          </w:r>
          <w:r>
            <w:rPr>
              <w:color w:val="auto"/>
              <w:sz w:val="24"/>
              <w:szCs w:val="24"/>
            </w:rPr>
            <w:t>52</w:t>
          </w:r>
          <w:r>
            <w:rPr>
              <w:color w:val="auto"/>
              <w:sz w:val="24"/>
              <w:szCs w:val="24"/>
            </w:rPr>
            <w:fldChar w:fldCharType="end"/>
          </w:r>
          <w:r>
            <w:rPr>
              <w:rFonts w:hint="eastAsia"/>
              <w:color w:val="auto"/>
              <w:sz w:val="24"/>
              <w:szCs w:val="24"/>
              <w:lang w:eastAsia="zh-CN"/>
            </w:rPr>
            <w:fldChar w:fldCharType="end"/>
          </w:r>
        </w:p>
        <w:p w14:paraId="713DF684">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_Toc4332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附图24 水口镇畜禽养殖禁养区分布图</w:t>
          </w:r>
          <w:r>
            <w:rPr>
              <w:color w:val="auto"/>
              <w:sz w:val="24"/>
              <w:szCs w:val="24"/>
            </w:rPr>
            <w:tab/>
          </w:r>
          <w:r>
            <w:rPr>
              <w:color w:val="auto"/>
              <w:sz w:val="24"/>
              <w:szCs w:val="24"/>
            </w:rPr>
            <w:fldChar w:fldCharType="begin"/>
          </w:r>
          <w:r>
            <w:rPr>
              <w:color w:val="auto"/>
              <w:sz w:val="24"/>
              <w:szCs w:val="24"/>
            </w:rPr>
            <w:instrText xml:space="preserve"> PAGEREF _Toc4332 \h </w:instrText>
          </w:r>
          <w:r>
            <w:rPr>
              <w:color w:val="auto"/>
              <w:sz w:val="24"/>
              <w:szCs w:val="24"/>
            </w:rPr>
            <w:fldChar w:fldCharType="separate"/>
          </w:r>
          <w:r>
            <w:rPr>
              <w:color w:val="auto"/>
              <w:sz w:val="24"/>
              <w:szCs w:val="24"/>
            </w:rPr>
            <w:t>53</w:t>
          </w:r>
          <w:r>
            <w:rPr>
              <w:color w:val="auto"/>
              <w:sz w:val="24"/>
              <w:szCs w:val="24"/>
            </w:rPr>
            <w:fldChar w:fldCharType="end"/>
          </w:r>
          <w:r>
            <w:rPr>
              <w:rFonts w:hint="eastAsia"/>
              <w:color w:val="auto"/>
              <w:sz w:val="24"/>
              <w:szCs w:val="24"/>
              <w:lang w:eastAsia="zh-CN"/>
            </w:rPr>
            <w:fldChar w:fldCharType="end"/>
          </w:r>
        </w:p>
        <w:p w14:paraId="3ED2E5C2">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_Toc24080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附图25 黄陂镇畜禽养殖禁养区分布图</w:t>
          </w:r>
          <w:r>
            <w:rPr>
              <w:color w:val="auto"/>
              <w:sz w:val="24"/>
              <w:szCs w:val="24"/>
            </w:rPr>
            <w:tab/>
          </w:r>
          <w:r>
            <w:rPr>
              <w:color w:val="auto"/>
              <w:sz w:val="24"/>
              <w:szCs w:val="24"/>
            </w:rPr>
            <w:fldChar w:fldCharType="begin"/>
          </w:r>
          <w:r>
            <w:rPr>
              <w:color w:val="auto"/>
              <w:sz w:val="24"/>
              <w:szCs w:val="24"/>
            </w:rPr>
            <w:instrText xml:space="preserve"> PAGEREF _Toc24080 \h </w:instrText>
          </w:r>
          <w:r>
            <w:rPr>
              <w:color w:val="auto"/>
              <w:sz w:val="24"/>
              <w:szCs w:val="24"/>
            </w:rPr>
            <w:fldChar w:fldCharType="separate"/>
          </w:r>
          <w:r>
            <w:rPr>
              <w:color w:val="auto"/>
              <w:sz w:val="24"/>
              <w:szCs w:val="24"/>
            </w:rPr>
            <w:t>54</w:t>
          </w:r>
          <w:r>
            <w:rPr>
              <w:color w:val="auto"/>
              <w:sz w:val="24"/>
              <w:szCs w:val="24"/>
            </w:rPr>
            <w:fldChar w:fldCharType="end"/>
          </w:r>
          <w:r>
            <w:rPr>
              <w:rFonts w:hint="eastAsia"/>
              <w:color w:val="auto"/>
              <w:sz w:val="24"/>
              <w:szCs w:val="24"/>
              <w:lang w:eastAsia="zh-CN"/>
            </w:rPr>
            <w:fldChar w:fldCharType="end"/>
          </w:r>
        </w:p>
        <w:p w14:paraId="21FDAFCD">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_Toc6671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附图26 合水镇畜禽养殖禁养区分布图</w:t>
          </w:r>
          <w:r>
            <w:rPr>
              <w:color w:val="auto"/>
              <w:sz w:val="24"/>
              <w:szCs w:val="24"/>
            </w:rPr>
            <w:tab/>
          </w:r>
          <w:r>
            <w:rPr>
              <w:color w:val="auto"/>
              <w:sz w:val="24"/>
              <w:szCs w:val="24"/>
            </w:rPr>
            <w:fldChar w:fldCharType="begin"/>
          </w:r>
          <w:r>
            <w:rPr>
              <w:color w:val="auto"/>
              <w:sz w:val="24"/>
              <w:szCs w:val="24"/>
            </w:rPr>
            <w:instrText xml:space="preserve"> PAGEREF _Toc6671 \h </w:instrText>
          </w:r>
          <w:r>
            <w:rPr>
              <w:color w:val="auto"/>
              <w:sz w:val="24"/>
              <w:szCs w:val="24"/>
            </w:rPr>
            <w:fldChar w:fldCharType="separate"/>
          </w:r>
          <w:r>
            <w:rPr>
              <w:color w:val="auto"/>
              <w:sz w:val="24"/>
              <w:szCs w:val="24"/>
            </w:rPr>
            <w:t>55</w:t>
          </w:r>
          <w:r>
            <w:rPr>
              <w:color w:val="auto"/>
              <w:sz w:val="24"/>
              <w:szCs w:val="24"/>
            </w:rPr>
            <w:fldChar w:fldCharType="end"/>
          </w:r>
          <w:r>
            <w:rPr>
              <w:rFonts w:hint="eastAsia"/>
              <w:color w:val="auto"/>
              <w:sz w:val="24"/>
              <w:szCs w:val="24"/>
              <w:lang w:eastAsia="zh-CN"/>
            </w:rPr>
            <w:fldChar w:fldCharType="end"/>
          </w:r>
        </w:p>
        <w:p w14:paraId="2468F0E5">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_Toc1853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附图27 大坪镇畜禽养殖禁养区分布图</w:t>
          </w:r>
          <w:r>
            <w:rPr>
              <w:color w:val="auto"/>
              <w:sz w:val="24"/>
              <w:szCs w:val="24"/>
            </w:rPr>
            <w:tab/>
          </w:r>
          <w:r>
            <w:rPr>
              <w:color w:val="auto"/>
              <w:sz w:val="24"/>
              <w:szCs w:val="24"/>
            </w:rPr>
            <w:fldChar w:fldCharType="begin"/>
          </w:r>
          <w:r>
            <w:rPr>
              <w:color w:val="auto"/>
              <w:sz w:val="24"/>
              <w:szCs w:val="24"/>
            </w:rPr>
            <w:instrText xml:space="preserve"> PAGEREF _Toc1853 \h </w:instrText>
          </w:r>
          <w:r>
            <w:rPr>
              <w:color w:val="auto"/>
              <w:sz w:val="24"/>
              <w:szCs w:val="24"/>
            </w:rPr>
            <w:fldChar w:fldCharType="separate"/>
          </w:r>
          <w:r>
            <w:rPr>
              <w:color w:val="auto"/>
              <w:sz w:val="24"/>
              <w:szCs w:val="24"/>
            </w:rPr>
            <w:t>56</w:t>
          </w:r>
          <w:r>
            <w:rPr>
              <w:color w:val="auto"/>
              <w:sz w:val="24"/>
              <w:szCs w:val="24"/>
            </w:rPr>
            <w:fldChar w:fldCharType="end"/>
          </w:r>
          <w:r>
            <w:rPr>
              <w:rFonts w:hint="eastAsia"/>
              <w:color w:val="auto"/>
              <w:sz w:val="24"/>
              <w:szCs w:val="24"/>
              <w:lang w:eastAsia="zh-CN"/>
            </w:rPr>
            <w:fldChar w:fldCharType="end"/>
          </w:r>
        </w:p>
        <w:p w14:paraId="1B59E8AE">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_Toc31199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附图28 叶塘镇畜禽养殖禁养区分布图</w:t>
          </w:r>
          <w:r>
            <w:rPr>
              <w:color w:val="auto"/>
              <w:sz w:val="24"/>
              <w:szCs w:val="24"/>
            </w:rPr>
            <w:tab/>
          </w:r>
          <w:r>
            <w:rPr>
              <w:color w:val="auto"/>
              <w:sz w:val="24"/>
              <w:szCs w:val="24"/>
            </w:rPr>
            <w:fldChar w:fldCharType="begin"/>
          </w:r>
          <w:r>
            <w:rPr>
              <w:color w:val="auto"/>
              <w:sz w:val="24"/>
              <w:szCs w:val="24"/>
            </w:rPr>
            <w:instrText xml:space="preserve"> PAGEREF _Toc31199 \h </w:instrText>
          </w:r>
          <w:r>
            <w:rPr>
              <w:color w:val="auto"/>
              <w:sz w:val="24"/>
              <w:szCs w:val="24"/>
            </w:rPr>
            <w:fldChar w:fldCharType="separate"/>
          </w:r>
          <w:r>
            <w:rPr>
              <w:color w:val="auto"/>
              <w:sz w:val="24"/>
              <w:szCs w:val="24"/>
            </w:rPr>
            <w:t>57</w:t>
          </w:r>
          <w:r>
            <w:rPr>
              <w:color w:val="auto"/>
              <w:sz w:val="24"/>
              <w:szCs w:val="24"/>
            </w:rPr>
            <w:fldChar w:fldCharType="end"/>
          </w:r>
          <w:r>
            <w:rPr>
              <w:rFonts w:hint="eastAsia"/>
              <w:color w:val="auto"/>
              <w:sz w:val="24"/>
              <w:szCs w:val="24"/>
              <w:lang w:eastAsia="zh-CN"/>
            </w:rPr>
            <w:fldChar w:fldCharType="end"/>
          </w:r>
        </w:p>
        <w:p w14:paraId="265EC4DD">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_Toc23138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附图29 新陂镇畜禽养殖禁养区分布图</w:t>
          </w:r>
          <w:r>
            <w:rPr>
              <w:color w:val="auto"/>
              <w:sz w:val="24"/>
              <w:szCs w:val="24"/>
            </w:rPr>
            <w:tab/>
          </w:r>
          <w:r>
            <w:rPr>
              <w:color w:val="auto"/>
              <w:sz w:val="24"/>
              <w:szCs w:val="24"/>
            </w:rPr>
            <w:fldChar w:fldCharType="begin"/>
          </w:r>
          <w:r>
            <w:rPr>
              <w:color w:val="auto"/>
              <w:sz w:val="24"/>
              <w:szCs w:val="24"/>
            </w:rPr>
            <w:instrText xml:space="preserve"> PAGEREF _Toc23138 \h </w:instrText>
          </w:r>
          <w:r>
            <w:rPr>
              <w:color w:val="auto"/>
              <w:sz w:val="24"/>
              <w:szCs w:val="24"/>
            </w:rPr>
            <w:fldChar w:fldCharType="separate"/>
          </w:r>
          <w:r>
            <w:rPr>
              <w:color w:val="auto"/>
              <w:sz w:val="24"/>
              <w:szCs w:val="24"/>
            </w:rPr>
            <w:t>58</w:t>
          </w:r>
          <w:r>
            <w:rPr>
              <w:color w:val="auto"/>
              <w:sz w:val="24"/>
              <w:szCs w:val="24"/>
            </w:rPr>
            <w:fldChar w:fldCharType="end"/>
          </w:r>
          <w:r>
            <w:rPr>
              <w:rFonts w:hint="eastAsia"/>
              <w:color w:val="auto"/>
              <w:sz w:val="24"/>
              <w:szCs w:val="24"/>
              <w:lang w:eastAsia="zh-CN"/>
            </w:rPr>
            <w:fldChar w:fldCharType="end"/>
          </w:r>
        </w:p>
        <w:p w14:paraId="04EE2727">
          <w:pPr>
            <w:pStyle w:val="8"/>
            <w:tabs>
              <w:tab w:val="right" w:leader="dot" w:pos="8337"/>
            </w:tabs>
            <w:spacing w:line="360" w:lineRule="auto"/>
            <w:rPr>
              <w:color w:val="auto"/>
              <w:sz w:val="24"/>
              <w:szCs w:val="24"/>
            </w:rPr>
          </w:pPr>
          <w:r>
            <w:rPr>
              <w:rFonts w:hint="eastAsia"/>
              <w:color w:val="auto"/>
              <w:sz w:val="24"/>
              <w:szCs w:val="24"/>
              <w:lang w:eastAsia="zh-CN"/>
            </w:rPr>
            <w:fldChar w:fldCharType="begin"/>
          </w:r>
          <w:r>
            <w:rPr>
              <w:rFonts w:hint="eastAsia"/>
              <w:color w:val="auto"/>
              <w:sz w:val="24"/>
              <w:szCs w:val="24"/>
              <w:lang w:eastAsia="zh-CN"/>
            </w:rPr>
            <w:instrText xml:space="preserve"> HYPERLINK \l _Toc6863 </w:instrText>
          </w:r>
          <w:r>
            <w:rPr>
              <w:rFonts w:hint="eastAsia"/>
              <w:color w:val="auto"/>
              <w:sz w:val="24"/>
              <w:szCs w:val="24"/>
              <w:lang w:eastAsia="zh-CN"/>
            </w:rPr>
            <w:fldChar w:fldCharType="separate"/>
          </w:r>
          <w:r>
            <w:rPr>
              <w:rFonts w:hint="eastAsia" w:ascii="Times New Roman" w:hAnsi="Times New Roman" w:eastAsia="仿宋_GB2312" w:cs="Times New Roman"/>
              <w:snapToGrid/>
              <w:color w:val="auto"/>
              <w:kern w:val="2"/>
              <w:sz w:val="24"/>
              <w:szCs w:val="24"/>
              <w:lang w:val="en-US" w:eastAsia="zh-CN" w:bidi="ar-SA"/>
            </w:rPr>
            <w:t>附图30 刁坊镇畜禽养殖禁养区分布图</w:t>
          </w:r>
          <w:r>
            <w:rPr>
              <w:color w:val="auto"/>
              <w:sz w:val="24"/>
              <w:szCs w:val="24"/>
            </w:rPr>
            <w:tab/>
          </w:r>
          <w:r>
            <w:rPr>
              <w:color w:val="auto"/>
              <w:sz w:val="24"/>
              <w:szCs w:val="24"/>
            </w:rPr>
            <w:fldChar w:fldCharType="begin"/>
          </w:r>
          <w:r>
            <w:rPr>
              <w:color w:val="auto"/>
              <w:sz w:val="24"/>
              <w:szCs w:val="24"/>
            </w:rPr>
            <w:instrText xml:space="preserve"> PAGEREF _Toc6863 \h </w:instrText>
          </w:r>
          <w:r>
            <w:rPr>
              <w:color w:val="auto"/>
              <w:sz w:val="24"/>
              <w:szCs w:val="24"/>
            </w:rPr>
            <w:fldChar w:fldCharType="separate"/>
          </w:r>
          <w:r>
            <w:rPr>
              <w:color w:val="auto"/>
              <w:sz w:val="24"/>
              <w:szCs w:val="24"/>
            </w:rPr>
            <w:t>59</w:t>
          </w:r>
          <w:r>
            <w:rPr>
              <w:color w:val="auto"/>
              <w:sz w:val="24"/>
              <w:szCs w:val="24"/>
            </w:rPr>
            <w:fldChar w:fldCharType="end"/>
          </w:r>
          <w:r>
            <w:rPr>
              <w:rFonts w:hint="eastAsia"/>
              <w:color w:val="auto"/>
              <w:sz w:val="24"/>
              <w:szCs w:val="24"/>
              <w:lang w:eastAsia="zh-CN"/>
            </w:rPr>
            <w:fldChar w:fldCharType="end"/>
          </w:r>
        </w:p>
        <w:p w14:paraId="47F806E0">
          <w:pPr>
            <w:spacing w:line="360" w:lineRule="auto"/>
            <w:rPr>
              <w:rFonts w:hint="eastAsia" w:ascii="Arial" w:hAnsi="Arial" w:eastAsia="Arial" w:cs="Arial"/>
              <w:snapToGrid w:val="0"/>
              <w:color w:val="auto"/>
              <w:kern w:val="0"/>
              <w:sz w:val="24"/>
              <w:szCs w:val="24"/>
              <w:lang w:val="en-US" w:eastAsia="zh-CN" w:bidi="ar-SA"/>
            </w:rPr>
          </w:pPr>
          <w:r>
            <w:rPr>
              <w:rFonts w:hint="eastAsia"/>
              <w:color w:val="auto"/>
              <w:sz w:val="24"/>
              <w:szCs w:val="24"/>
              <w:lang w:eastAsia="zh-CN"/>
            </w:rPr>
            <w:fldChar w:fldCharType="end"/>
          </w:r>
        </w:p>
      </w:sdtContent>
    </w:sdt>
    <w:p w14:paraId="0EB452B3">
      <w:pPr>
        <w:spacing w:line="360" w:lineRule="auto"/>
        <w:rPr>
          <w:rFonts w:hint="eastAsia" w:ascii="Arial" w:hAnsi="Arial" w:eastAsia="Arial" w:cs="Arial"/>
          <w:snapToGrid w:val="0"/>
          <w:color w:val="auto"/>
          <w:kern w:val="0"/>
          <w:sz w:val="24"/>
          <w:szCs w:val="24"/>
          <w:lang w:val="en-US" w:eastAsia="zh-CN" w:bidi="ar-SA"/>
        </w:rPr>
        <w:sectPr>
          <w:footerReference r:id="rId6" w:type="default"/>
          <w:pgSz w:w="11907" w:h="16839"/>
          <w:pgMar w:top="1431" w:right="1785" w:bottom="1377" w:left="1785" w:header="0" w:footer="1214" w:gutter="0"/>
          <w:pgBorders>
            <w:top w:val="none" w:sz="0" w:space="0"/>
            <w:left w:val="none" w:sz="0" w:space="0"/>
            <w:bottom w:val="none" w:sz="0" w:space="0"/>
            <w:right w:val="none" w:sz="0" w:space="0"/>
          </w:pgBorders>
          <w:pgNumType w:fmt="decimal" w:start="1"/>
          <w:cols w:space="720" w:num="1"/>
        </w:sectPr>
      </w:pPr>
    </w:p>
    <w:p w14:paraId="31056351">
      <w:pPr>
        <w:pStyle w:val="20"/>
        <w:keepNext w:val="0"/>
        <w:keepLines w:val="0"/>
        <w:pageBreakBefore w:val="0"/>
        <w:widowControl/>
        <w:kinsoku/>
        <w:wordWrap/>
        <w:overflowPunct/>
        <w:topLinePunct w:val="0"/>
        <w:autoSpaceDE/>
        <w:autoSpaceDN/>
        <w:bidi w:val="0"/>
        <w:adjustRightInd/>
        <w:snapToGrid/>
        <w:spacing w:line="360" w:lineRule="auto"/>
        <w:ind w:firstLine="694"/>
        <w:textAlignment w:val="auto"/>
        <w:rPr>
          <w:rFonts w:hint="eastAsia" w:ascii="Times New Roman" w:hAnsi="Times New Roman" w:eastAsia="仿宋_GB2312" w:cs="Times New Roman"/>
          <w:color w:val="auto"/>
          <w:kern w:val="2"/>
          <w:sz w:val="28"/>
          <w:szCs w:val="22"/>
          <w:lang w:val="en-US" w:eastAsia="zh-CN" w:bidi="ar-SA"/>
          <w14:ligatures w14:val="none"/>
        </w:rPr>
      </w:pPr>
      <w:r>
        <w:rPr>
          <w:rFonts w:hint="eastAsia"/>
          <w:color w:val="auto"/>
          <w:sz w:val="28"/>
          <w:szCs w:val="21"/>
        </w:rPr>
        <w:t>为贯彻落实国家及广东省的最</w:t>
      </w:r>
      <w:r>
        <w:rPr>
          <w:rFonts w:hint="eastAsia"/>
          <w:color w:val="auto"/>
          <w:sz w:val="28"/>
          <w:szCs w:val="21"/>
          <w:lang w:eastAsia="zh-CN"/>
        </w:rPr>
        <w:t>新</w:t>
      </w:r>
      <w:r>
        <w:rPr>
          <w:rFonts w:hint="eastAsia"/>
          <w:color w:val="auto"/>
          <w:sz w:val="28"/>
          <w:szCs w:val="21"/>
        </w:rPr>
        <w:t>政策要求，进一步规范畜禽养殖禁养区的划定和管理，促进畜禽养殖污染防治工作，改善农村生态环</w:t>
      </w:r>
      <w:r>
        <w:rPr>
          <w:rFonts w:hint="eastAsia"/>
          <w:color w:val="auto"/>
          <w:sz w:val="28"/>
          <w:szCs w:val="21"/>
          <w:lang w:val="en-US" w:eastAsia="zh-CN"/>
        </w:rPr>
        <w:t xml:space="preserve"> </w:t>
      </w:r>
      <w:r>
        <w:rPr>
          <w:rFonts w:hint="eastAsia"/>
          <w:color w:val="auto"/>
          <w:sz w:val="28"/>
          <w:szCs w:val="21"/>
        </w:rPr>
        <w:t>境，</w:t>
      </w:r>
      <w:r>
        <w:rPr>
          <w:rFonts w:hint="eastAsia"/>
          <w:color w:val="auto"/>
          <w:sz w:val="28"/>
          <w:szCs w:val="21"/>
          <w:lang w:eastAsia="zh-CN"/>
        </w:rPr>
        <w:t>兴宁市</w:t>
      </w:r>
      <w:r>
        <w:rPr>
          <w:rFonts w:hint="eastAsia"/>
          <w:color w:val="auto"/>
          <w:sz w:val="28"/>
          <w:szCs w:val="21"/>
        </w:rPr>
        <w:t>人民政府办公室于</w:t>
      </w:r>
      <w:r>
        <w:rPr>
          <w:rFonts w:hint="eastAsia" w:ascii="宋体" w:hAnsi="宋体" w:eastAsia="宋体" w:cs="宋体"/>
          <w:i w:val="0"/>
          <w:iCs w:val="0"/>
          <w:caps w:val="0"/>
          <w:color w:val="auto"/>
          <w:spacing w:val="0"/>
          <w:sz w:val="27"/>
          <w:szCs w:val="27"/>
          <w:shd w:val="clear" w:fill="FFFFFF"/>
        </w:rPr>
        <w:t>2010年11月</w:t>
      </w:r>
      <w:r>
        <w:rPr>
          <w:rFonts w:hint="eastAsia"/>
          <w:color w:val="auto"/>
          <w:sz w:val="28"/>
          <w:szCs w:val="21"/>
        </w:rPr>
        <w:t>发布实施</w:t>
      </w:r>
      <w:r>
        <w:rPr>
          <w:rFonts w:hint="eastAsia"/>
          <w:color w:val="auto"/>
          <w:sz w:val="28"/>
          <w:szCs w:val="21"/>
          <w:lang w:eastAsia="zh-CN"/>
        </w:rPr>
        <w:t>，并于</w:t>
      </w:r>
      <w:r>
        <w:rPr>
          <w:rFonts w:hint="eastAsia"/>
          <w:color w:val="auto"/>
          <w:sz w:val="28"/>
          <w:szCs w:val="21"/>
        </w:rPr>
        <w:t>2020年</w:t>
      </w:r>
      <w:r>
        <w:rPr>
          <w:rFonts w:hint="eastAsia"/>
          <w:color w:val="auto"/>
          <w:sz w:val="28"/>
          <w:szCs w:val="21"/>
          <w:lang w:val="en-US" w:eastAsia="zh-CN"/>
        </w:rPr>
        <w:t>2</w:t>
      </w:r>
      <w:r>
        <w:rPr>
          <w:rFonts w:hint="eastAsia"/>
          <w:color w:val="auto"/>
          <w:sz w:val="28"/>
          <w:szCs w:val="21"/>
        </w:rPr>
        <w:t>月修订《</w:t>
      </w:r>
      <w:r>
        <w:rPr>
          <w:rFonts w:hint="eastAsia"/>
          <w:color w:val="auto"/>
          <w:sz w:val="28"/>
          <w:szCs w:val="21"/>
          <w:lang w:eastAsia="zh-CN"/>
        </w:rPr>
        <w:t>兴宁市</w:t>
      </w:r>
      <w:r>
        <w:rPr>
          <w:rFonts w:hint="eastAsia"/>
          <w:color w:val="auto"/>
          <w:sz w:val="28"/>
          <w:szCs w:val="21"/>
        </w:rPr>
        <w:t>畜禽养殖禁养区划分方案》</w:t>
      </w:r>
      <w:r>
        <w:rPr>
          <w:rFonts w:hint="eastAsia"/>
          <w:color w:val="auto"/>
          <w:sz w:val="28"/>
          <w:szCs w:val="21"/>
          <w:lang w:eastAsia="zh-CN"/>
        </w:rPr>
        <w:t>，</w:t>
      </w:r>
      <w:r>
        <w:rPr>
          <w:rFonts w:hint="eastAsia"/>
          <w:color w:val="auto"/>
          <w:sz w:val="28"/>
          <w:szCs w:val="21"/>
        </w:rPr>
        <w:t>方案实施至今，</w:t>
      </w:r>
      <w:r>
        <w:rPr>
          <w:rFonts w:hint="eastAsia" w:ascii="Times New Roman" w:hAnsi="Times New Roman" w:eastAsia="仿宋_GB2312" w:cs="Times New Roman"/>
          <w:color w:val="auto"/>
          <w:kern w:val="2"/>
          <w:sz w:val="28"/>
          <w:szCs w:val="22"/>
          <w:lang w:val="en-US" w:eastAsia="zh-CN" w:bidi="ar-SA"/>
          <w14:ligatures w14:val="none"/>
        </w:rPr>
        <w:t>为引导兴宁市畜禽养殖产业合理布局、畜禽养殖场规范建设和污染防治提供了重要依据。优化了我市畜禽养殖场的空间布局，有效控制畜禽养殖污染，畜禽养殖污染防控取得一定成效，促进了畜禽养殖与生态环境保护的协调发展。</w:t>
      </w:r>
    </w:p>
    <w:p w14:paraId="01998646">
      <w:pPr>
        <w:pStyle w:val="20"/>
        <w:keepNext w:val="0"/>
        <w:keepLines w:val="0"/>
        <w:pageBreakBefore w:val="0"/>
        <w:widowControl/>
        <w:kinsoku/>
        <w:wordWrap/>
        <w:overflowPunct/>
        <w:topLinePunct w:val="0"/>
        <w:autoSpaceDE/>
        <w:autoSpaceDN/>
        <w:bidi w:val="0"/>
        <w:adjustRightInd/>
        <w:snapToGrid/>
        <w:spacing w:line="360" w:lineRule="auto"/>
        <w:ind w:firstLine="694"/>
        <w:textAlignment w:val="auto"/>
        <w:rPr>
          <w:rFonts w:hint="eastAsia" w:ascii="Times New Roman" w:hAnsi="Times New Roman" w:eastAsia="仿宋_GB2312" w:cs="Times New Roman"/>
          <w:color w:val="auto"/>
          <w:kern w:val="2"/>
          <w:sz w:val="28"/>
          <w:szCs w:val="22"/>
          <w:lang w:val="en-US" w:eastAsia="zh-CN" w:bidi="ar-SA"/>
          <w14:ligatures w14:val="none"/>
        </w:rPr>
      </w:pPr>
      <w:r>
        <w:rPr>
          <w:rFonts w:hint="eastAsia" w:ascii="Times New Roman" w:hAnsi="Times New Roman" w:eastAsia="仿宋_GB2312" w:cs="Times New Roman"/>
          <w:color w:val="auto"/>
          <w:kern w:val="2"/>
          <w:sz w:val="28"/>
          <w:szCs w:val="22"/>
          <w:lang w:val="en-US" w:eastAsia="zh-CN" w:bidi="ar-SA"/>
          <w14:ligatures w14:val="none"/>
        </w:rPr>
        <w:t>现行的畜禽养殖禁养区划分方案已</w:t>
      </w:r>
      <w:r>
        <w:rPr>
          <w:rFonts w:hint="eastAsia" w:eastAsia="仿宋_GB2312" w:cs="Times New Roman"/>
          <w:color w:val="auto"/>
          <w:kern w:val="2"/>
          <w:sz w:val="28"/>
          <w:szCs w:val="22"/>
          <w:lang w:val="en-US" w:eastAsia="zh-CN" w:bidi="ar-SA"/>
          <w14:ligatures w14:val="none"/>
        </w:rPr>
        <w:t>到</w:t>
      </w:r>
      <w:r>
        <w:rPr>
          <w:rFonts w:hint="eastAsia" w:ascii="Times New Roman" w:hAnsi="Times New Roman" w:eastAsia="仿宋_GB2312" w:cs="Times New Roman"/>
          <w:color w:val="auto"/>
          <w:kern w:val="2"/>
          <w:sz w:val="28"/>
          <w:szCs w:val="22"/>
          <w:lang w:val="en-US" w:eastAsia="zh-CN" w:bidi="ar-SA"/>
          <w14:ligatures w14:val="none"/>
        </w:rPr>
        <w:t>期，</w:t>
      </w:r>
      <w:r>
        <w:rPr>
          <w:rFonts w:hint="eastAsia" w:eastAsia="仿宋_GB2312" w:cs="Times New Roman"/>
          <w:color w:val="auto"/>
          <w:kern w:val="2"/>
          <w:sz w:val="28"/>
          <w:szCs w:val="22"/>
          <w:lang w:val="en-US" w:eastAsia="zh-CN" w:bidi="ar-SA"/>
          <w14:ligatures w14:val="none"/>
        </w:rPr>
        <w:t>以及</w:t>
      </w:r>
      <w:r>
        <w:rPr>
          <w:rFonts w:hint="eastAsia" w:ascii="Times New Roman" w:hAnsi="Times New Roman" w:eastAsia="仿宋_GB2312" w:cs="Times New Roman"/>
          <w:color w:val="auto"/>
          <w:kern w:val="2"/>
          <w:sz w:val="28"/>
          <w:szCs w:val="22"/>
          <w:lang w:val="en-US" w:eastAsia="zh-CN" w:bidi="ar-SA"/>
          <w14:ligatures w14:val="none"/>
        </w:rPr>
        <w:t>《兴宁市国土空间总体规划（2021</w:t>
      </w:r>
      <w:r>
        <w:rPr>
          <w:rFonts w:hint="eastAsia" w:eastAsia="仿宋_GB2312" w:cs="Times New Roman"/>
          <w:color w:val="auto"/>
          <w:kern w:val="2"/>
          <w:sz w:val="28"/>
          <w:szCs w:val="22"/>
          <w:lang w:val="en-US" w:eastAsia="zh-CN" w:bidi="ar-SA"/>
          <w14:ligatures w14:val="none"/>
        </w:rPr>
        <w:t>—</w:t>
      </w:r>
      <w:r>
        <w:rPr>
          <w:rFonts w:hint="eastAsia" w:ascii="Times New Roman" w:hAnsi="Times New Roman" w:eastAsia="仿宋_GB2312" w:cs="Times New Roman"/>
          <w:color w:val="auto"/>
          <w:kern w:val="2"/>
          <w:sz w:val="28"/>
          <w:szCs w:val="22"/>
          <w:lang w:val="en-US" w:eastAsia="zh-CN" w:bidi="ar-SA"/>
          <w14:ligatures w14:val="none"/>
        </w:rPr>
        <w:t>2035年）</w:t>
      </w:r>
      <w:r>
        <w:rPr>
          <w:rFonts w:hint="eastAsia" w:eastAsia="仿宋_GB2312" w:cs="Times New Roman"/>
          <w:color w:val="auto"/>
          <w:kern w:val="2"/>
          <w:sz w:val="28"/>
          <w:szCs w:val="22"/>
          <w:lang w:val="en-US" w:eastAsia="zh-CN" w:bidi="ar-SA"/>
          <w14:ligatures w14:val="none"/>
        </w:rPr>
        <w:t>》《</w:t>
      </w:r>
      <w:r>
        <w:rPr>
          <w:rFonts w:hint="eastAsia" w:ascii="Times New Roman" w:hAnsi="Times New Roman" w:eastAsia="仿宋_GB2312" w:cs="Times New Roman"/>
          <w:color w:val="auto"/>
          <w:kern w:val="2"/>
          <w:sz w:val="28"/>
          <w:szCs w:val="22"/>
          <w:lang w:val="en-US" w:eastAsia="zh-CN" w:bidi="ar-SA"/>
          <w14:ligatures w14:val="none"/>
        </w:rPr>
        <w:t>兴宁市自然保护地整合优化方案》、饮用水水源保护区的优化调整、永久基本农田保护区和城镇开发边界范围的变化等因素</w:t>
      </w:r>
      <w:r>
        <w:rPr>
          <w:rFonts w:hint="eastAsia" w:eastAsia="仿宋_GB2312" w:cs="Times New Roman"/>
          <w:color w:val="auto"/>
          <w:kern w:val="2"/>
          <w:sz w:val="28"/>
          <w:szCs w:val="22"/>
          <w:lang w:val="en-US" w:eastAsia="zh-CN" w:bidi="ar-SA"/>
          <w14:ligatures w14:val="none"/>
        </w:rPr>
        <w:t>以及</w:t>
      </w:r>
      <w:r>
        <w:rPr>
          <w:rFonts w:hint="eastAsia" w:ascii="Times New Roman" w:hAnsi="Times New Roman" w:eastAsia="仿宋_GB2312" w:cs="Times New Roman"/>
          <w:color w:val="auto"/>
          <w:kern w:val="2"/>
          <w:sz w:val="28"/>
          <w:szCs w:val="22"/>
          <w:lang w:val="en-US" w:eastAsia="zh-CN" w:bidi="ar-SA"/>
          <w14:ligatures w14:val="none"/>
        </w:rPr>
        <w:t>相关文件更新，实际划入禁养区的环境敏感区发生变化，涉禁养区的矢量数据滞后，且兴宁市环境敏感区经过多年发展已发生较大变化，现行</w:t>
      </w:r>
      <w:r>
        <w:rPr>
          <w:rFonts w:hint="eastAsia" w:eastAsia="仿宋_GB2312" w:cs="Times New Roman"/>
          <w:color w:val="auto"/>
          <w:kern w:val="2"/>
          <w:sz w:val="28"/>
          <w:szCs w:val="22"/>
          <w:lang w:val="en-US" w:eastAsia="zh-CN" w:bidi="ar-SA"/>
          <w14:ligatures w14:val="none"/>
        </w:rPr>
        <w:t>划分</w:t>
      </w:r>
      <w:r>
        <w:rPr>
          <w:rFonts w:hint="eastAsia" w:ascii="Times New Roman" w:hAnsi="Times New Roman" w:eastAsia="仿宋_GB2312" w:cs="Times New Roman"/>
          <w:color w:val="auto"/>
          <w:kern w:val="2"/>
          <w:sz w:val="28"/>
          <w:szCs w:val="22"/>
          <w:lang w:val="en-US" w:eastAsia="zh-CN" w:bidi="ar-SA"/>
          <w14:ligatures w14:val="none"/>
        </w:rPr>
        <w:t>方案已无法满足畜禽养殖污染防治的管理要求</w:t>
      </w:r>
      <w:r>
        <w:rPr>
          <w:rFonts w:hint="eastAsia" w:eastAsia="仿宋_GB2312" w:cs="Times New Roman"/>
          <w:color w:val="auto"/>
          <w:kern w:val="2"/>
          <w:sz w:val="28"/>
          <w:szCs w:val="22"/>
          <w:lang w:val="en-US" w:eastAsia="zh-CN" w:bidi="ar-SA"/>
          <w14:ligatures w14:val="none"/>
        </w:rPr>
        <w:t>。</w:t>
      </w:r>
      <w:r>
        <w:rPr>
          <w:rFonts w:hint="eastAsia" w:ascii="Times New Roman" w:hAnsi="Times New Roman" w:eastAsia="仿宋_GB2312" w:cs="Times New Roman"/>
          <w:color w:val="auto"/>
          <w:kern w:val="2"/>
          <w:sz w:val="28"/>
          <w:szCs w:val="22"/>
          <w:lang w:val="en-US" w:eastAsia="zh-CN" w:bidi="ar-SA"/>
          <w14:ligatures w14:val="none"/>
        </w:rPr>
        <w:t>为进一步规范畜禽养殖禁养区管理，科学规划养殖用地，促进兴宁市畜禽养殖业转型升级和高质量发展，亟需对现行畜禽养殖禁养区进行</w:t>
      </w:r>
      <w:r>
        <w:rPr>
          <w:rFonts w:hint="eastAsia" w:eastAsia="仿宋_GB2312" w:cs="Times New Roman"/>
          <w:color w:val="auto"/>
          <w:kern w:val="2"/>
          <w:sz w:val="28"/>
          <w:szCs w:val="22"/>
          <w:lang w:val="en-US" w:eastAsia="zh-CN" w:bidi="ar-SA"/>
          <w14:ligatures w14:val="none"/>
        </w:rPr>
        <w:t>更新调整</w:t>
      </w:r>
      <w:r>
        <w:rPr>
          <w:rFonts w:hint="eastAsia" w:ascii="Times New Roman" w:hAnsi="Times New Roman" w:eastAsia="仿宋_GB2312" w:cs="Times New Roman"/>
          <w:color w:val="auto"/>
          <w:kern w:val="2"/>
          <w:sz w:val="28"/>
          <w:szCs w:val="22"/>
          <w:lang w:val="en-US" w:eastAsia="zh-CN" w:bidi="ar-SA"/>
          <w14:ligatures w14:val="none"/>
        </w:rPr>
        <w:t>。</w:t>
      </w:r>
    </w:p>
    <w:p w14:paraId="23C01AAA">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40" w:firstLine="560" w:firstLineChars="200"/>
        <w:textAlignment w:val="baseline"/>
        <w:outlineLvl w:val="9"/>
        <w:rPr>
          <w:rFonts w:hint="eastAsia"/>
          <w:color w:val="auto"/>
          <w:sz w:val="28"/>
          <w:szCs w:val="21"/>
          <w:lang w:val="en-US" w:eastAsia="zh-CN"/>
        </w:rPr>
      </w:pPr>
      <w:r>
        <w:rPr>
          <w:rFonts w:hint="eastAsia" w:ascii="Times New Roman" w:hAnsi="Times New Roman"/>
          <w:color w:val="auto"/>
          <w:sz w:val="28"/>
          <w:szCs w:val="21"/>
          <w:lang w:val="en-US" w:eastAsia="zh-CN"/>
        </w:rPr>
        <w:t>通过前期摸底调查</w:t>
      </w:r>
      <w:r>
        <w:rPr>
          <w:rFonts w:hint="eastAsia"/>
          <w:color w:val="auto"/>
          <w:sz w:val="28"/>
          <w:szCs w:val="21"/>
          <w:lang w:val="en-US" w:eastAsia="zh-CN"/>
        </w:rPr>
        <w:t>了解</w:t>
      </w:r>
      <w:r>
        <w:rPr>
          <w:rFonts w:hint="eastAsia" w:ascii="Times New Roman" w:hAnsi="Times New Roman"/>
          <w:color w:val="auto"/>
          <w:sz w:val="28"/>
          <w:szCs w:val="21"/>
          <w:lang w:val="en-US" w:eastAsia="zh-CN"/>
        </w:rPr>
        <w:t>、资料收集整理、方案编写，</w:t>
      </w:r>
      <w:bookmarkStart w:id="48" w:name="_GoBack"/>
      <w:bookmarkEnd w:id="48"/>
      <w:r>
        <w:rPr>
          <w:rFonts w:hint="eastAsia" w:ascii="Times New Roman" w:hAnsi="Times New Roman"/>
          <w:color w:val="auto"/>
          <w:sz w:val="28"/>
          <w:szCs w:val="21"/>
          <w:lang w:val="en-US" w:eastAsia="zh-CN"/>
        </w:rPr>
        <w:t>修订编制</w:t>
      </w:r>
      <w:r>
        <w:rPr>
          <w:rFonts w:hint="eastAsia"/>
          <w:color w:val="auto"/>
          <w:sz w:val="28"/>
          <w:szCs w:val="21"/>
          <w:lang w:val="en-US" w:eastAsia="zh-CN"/>
        </w:rPr>
        <w:t>形成</w:t>
      </w:r>
      <w:r>
        <w:rPr>
          <w:rFonts w:hint="eastAsia" w:ascii="Times New Roman" w:hAnsi="Times New Roman"/>
          <w:color w:val="auto"/>
          <w:sz w:val="28"/>
          <w:szCs w:val="21"/>
          <w:lang w:val="en-US" w:eastAsia="zh-CN"/>
        </w:rPr>
        <w:t>《</w:t>
      </w:r>
      <w:r>
        <w:rPr>
          <w:rFonts w:hint="eastAsia"/>
          <w:color w:val="auto"/>
          <w:sz w:val="28"/>
          <w:szCs w:val="21"/>
          <w:lang w:val="en-US" w:eastAsia="zh-CN"/>
        </w:rPr>
        <w:t>兴宁市畜禽养殖禁养区划分方案</w:t>
      </w:r>
      <w:r>
        <w:rPr>
          <w:rFonts w:hint="eastAsia" w:ascii="Times New Roman" w:hAnsi="Times New Roman"/>
          <w:color w:val="auto"/>
          <w:sz w:val="28"/>
          <w:szCs w:val="21"/>
          <w:lang w:val="en-US" w:eastAsia="zh-CN"/>
        </w:rPr>
        <w:t>（</w:t>
      </w:r>
      <w:r>
        <w:rPr>
          <w:rFonts w:hint="eastAsia"/>
          <w:color w:val="auto"/>
          <w:sz w:val="28"/>
          <w:szCs w:val="21"/>
          <w:lang w:val="en-US" w:eastAsia="zh-CN"/>
        </w:rPr>
        <w:t>2025版</w:t>
      </w:r>
      <w:r>
        <w:rPr>
          <w:rFonts w:hint="eastAsia" w:ascii="Times New Roman" w:hAnsi="Times New Roman"/>
          <w:color w:val="auto"/>
          <w:sz w:val="28"/>
          <w:szCs w:val="21"/>
          <w:lang w:val="en-US" w:eastAsia="zh-CN"/>
        </w:rPr>
        <w:t>）（征求意见稿）》</w:t>
      </w:r>
      <w:r>
        <w:rPr>
          <w:rFonts w:hint="eastAsia"/>
          <w:color w:val="auto"/>
          <w:sz w:val="28"/>
          <w:szCs w:val="21"/>
          <w:lang w:val="en-US" w:eastAsia="zh-CN"/>
        </w:rPr>
        <w:t>。</w:t>
      </w:r>
    </w:p>
    <w:p w14:paraId="4BCCE19A">
      <w:pPr>
        <w:pStyle w:val="5"/>
        <w:keepNext w:val="0"/>
        <w:keepLines w:val="0"/>
        <w:pageBreakBefore w:val="0"/>
        <w:widowControl/>
        <w:overflowPunct/>
        <w:bidi w:val="0"/>
        <w:adjustRightInd w:val="0"/>
        <w:snapToGrid w:val="0"/>
        <w:spacing w:line="360" w:lineRule="auto"/>
        <w:ind w:left="40"/>
        <w:textAlignment w:val="baseline"/>
        <w:outlineLvl w:val="0"/>
        <w:rPr>
          <w:rFonts w:hint="eastAsia" w:ascii="黑体" w:hAnsi="黑体" w:eastAsia="黑体" w:cs="黑体"/>
          <w:color w:val="auto"/>
          <w:sz w:val="30"/>
          <w:szCs w:val="30"/>
        </w:rPr>
      </w:pPr>
      <w:bookmarkStart w:id="0" w:name="_Toc9036"/>
      <w:r>
        <w:rPr>
          <w:rFonts w:hint="eastAsia" w:ascii="黑体" w:hAnsi="黑体" w:eastAsia="黑体" w:cs="黑体"/>
          <w:b/>
          <w:bCs/>
          <w:color w:val="auto"/>
          <w:spacing w:val="1"/>
          <w:sz w:val="30"/>
          <w:szCs w:val="30"/>
        </w:rPr>
        <w:t>一、适用范围</w:t>
      </w:r>
      <w:bookmarkEnd w:id="0"/>
    </w:p>
    <w:p w14:paraId="6ED2B4DE">
      <w:pPr>
        <w:pStyle w:val="5"/>
        <w:keepNext w:val="0"/>
        <w:keepLines w:val="0"/>
        <w:pageBreakBefore w:val="0"/>
        <w:widowControl/>
        <w:overflowPunct/>
        <w:bidi w:val="0"/>
        <w:adjustRightInd w:val="0"/>
        <w:snapToGrid w:val="0"/>
        <w:spacing w:line="360" w:lineRule="auto"/>
        <w:ind w:left="53" w:right="106" w:firstLine="623"/>
        <w:textAlignment w:val="baseline"/>
        <w:rPr>
          <w:color w:val="auto"/>
        </w:rPr>
      </w:pPr>
      <w:r>
        <w:rPr>
          <w:rFonts w:ascii="Times New Roman" w:hAnsi="Times New Roman" w:eastAsia="仿宋_GB2312" w:cs="Times New Roman"/>
          <w:snapToGrid/>
          <w:color w:val="auto"/>
          <w:kern w:val="2"/>
          <w:sz w:val="28"/>
          <w:szCs w:val="22"/>
          <w:lang w:val="en-US" w:eastAsia="zh-CN" w:bidi="ar-SA"/>
        </w:rPr>
        <w:t>本</w:t>
      </w:r>
      <w:r>
        <w:rPr>
          <w:rFonts w:hint="eastAsia" w:ascii="Times New Roman" w:hAnsi="Times New Roman" w:eastAsia="仿宋_GB2312" w:cs="Times New Roman"/>
          <w:snapToGrid/>
          <w:color w:val="auto"/>
          <w:kern w:val="2"/>
          <w:sz w:val="28"/>
          <w:szCs w:val="22"/>
          <w:lang w:val="en-US" w:eastAsia="zh-CN" w:bidi="ar-SA"/>
        </w:rPr>
        <w:t>划分方案</w:t>
      </w:r>
      <w:r>
        <w:rPr>
          <w:rFonts w:ascii="Times New Roman" w:hAnsi="Times New Roman" w:eastAsia="仿宋_GB2312" w:cs="Times New Roman"/>
          <w:snapToGrid/>
          <w:color w:val="auto"/>
          <w:kern w:val="2"/>
          <w:sz w:val="28"/>
          <w:szCs w:val="22"/>
          <w:lang w:val="en-US" w:eastAsia="zh-CN" w:bidi="ar-SA"/>
        </w:rPr>
        <w:t>适用于</w:t>
      </w:r>
      <w:r>
        <w:rPr>
          <w:rFonts w:hint="eastAsia" w:ascii="Times New Roman" w:hAnsi="Times New Roman" w:eastAsia="仿宋_GB2312" w:cs="Times New Roman"/>
          <w:snapToGrid/>
          <w:color w:val="auto"/>
          <w:kern w:val="2"/>
          <w:sz w:val="28"/>
          <w:szCs w:val="22"/>
          <w:lang w:val="en-US" w:eastAsia="zh-CN" w:bidi="ar-SA"/>
        </w:rPr>
        <w:t>兴宁市</w:t>
      </w:r>
      <w:r>
        <w:rPr>
          <w:rFonts w:ascii="Times New Roman" w:hAnsi="Times New Roman" w:eastAsia="仿宋_GB2312" w:cs="Times New Roman"/>
          <w:snapToGrid/>
          <w:color w:val="auto"/>
          <w:kern w:val="2"/>
          <w:sz w:val="28"/>
          <w:szCs w:val="22"/>
          <w:lang w:val="en-US" w:eastAsia="zh-CN" w:bidi="ar-SA"/>
        </w:rPr>
        <w:t>行政区域内畜禽养殖禁养区的划</w:t>
      </w:r>
      <w:r>
        <w:rPr>
          <w:rFonts w:hint="eastAsia" w:ascii="Times New Roman" w:hAnsi="Times New Roman" w:eastAsia="仿宋_GB2312" w:cs="Times New Roman"/>
          <w:snapToGrid/>
          <w:color w:val="auto"/>
          <w:kern w:val="2"/>
          <w:sz w:val="28"/>
          <w:szCs w:val="22"/>
          <w:lang w:val="en-US" w:eastAsia="zh-CN" w:bidi="ar-SA"/>
        </w:rPr>
        <w:t>定</w:t>
      </w:r>
      <w:r>
        <w:rPr>
          <w:rFonts w:ascii="Times New Roman" w:hAnsi="Times New Roman" w:eastAsia="仿宋_GB2312" w:cs="Times New Roman"/>
          <w:snapToGrid/>
          <w:color w:val="auto"/>
          <w:kern w:val="2"/>
          <w:sz w:val="28"/>
          <w:szCs w:val="22"/>
          <w:lang w:val="en-US" w:eastAsia="zh-CN" w:bidi="ar-SA"/>
        </w:rPr>
        <w:t>和养殖污染防治。</w:t>
      </w:r>
    </w:p>
    <w:p w14:paraId="10AC5623">
      <w:pPr>
        <w:pStyle w:val="5"/>
        <w:keepNext w:val="0"/>
        <w:keepLines w:val="0"/>
        <w:pageBreakBefore w:val="0"/>
        <w:widowControl/>
        <w:overflowPunct/>
        <w:bidi w:val="0"/>
        <w:adjustRightInd w:val="0"/>
        <w:snapToGrid w:val="0"/>
        <w:spacing w:line="360" w:lineRule="auto"/>
        <w:ind w:left="40"/>
        <w:textAlignment w:val="baseline"/>
        <w:outlineLvl w:val="0"/>
        <w:rPr>
          <w:rFonts w:hint="eastAsia" w:ascii="黑体" w:hAnsi="黑体" w:eastAsia="黑体" w:cs="黑体"/>
          <w:b/>
          <w:bCs/>
          <w:color w:val="auto"/>
          <w:spacing w:val="1"/>
          <w:sz w:val="30"/>
          <w:szCs w:val="30"/>
        </w:rPr>
      </w:pPr>
      <w:bookmarkStart w:id="1" w:name="_Toc5955"/>
      <w:r>
        <w:rPr>
          <w:rFonts w:hint="eastAsia" w:ascii="黑体" w:hAnsi="黑体" w:eastAsia="黑体" w:cs="黑体"/>
          <w:b/>
          <w:bCs/>
          <w:color w:val="auto"/>
          <w:spacing w:val="1"/>
          <w:sz w:val="30"/>
          <w:szCs w:val="30"/>
        </w:rPr>
        <w:t>二、主要依据</w:t>
      </w:r>
      <w:bookmarkEnd w:id="1"/>
    </w:p>
    <w:p w14:paraId="49C589E5">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45" w:firstLine="560" w:firstLineChars="200"/>
        <w:textAlignment w:val="baseline"/>
        <w:outlineLvl w:val="9"/>
        <w:rPr>
          <w:rFonts w:ascii="Times New Roman" w:hAnsi="Times New Roman" w:eastAsia="仿宋_GB2312" w:cs="Times New Roman"/>
          <w:snapToGrid/>
          <w:color w:val="auto"/>
          <w:kern w:val="2"/>
          <w:sz w:val="28"/>
          <w:szCs w:val="22"/>
          <w:lang w:val="en-US" w:eastAsia="zh-CN" w:bidi="ar-SA"/>
        </w:rPr>
      </w:pPr>
      <w:r>
        <w:rPr>
          <w:rFonts w:ascii="Times New Roman" w:hAnsi="Times New Roman" w:eastAsia="仿宋_GB2312" w:cs="Times New Roman"/>
          <w:snapToGrid/>
          <w:color w:val="auto"/>
          <w:kern w:val="2"/>
          <w:sz w:val="28"/>
          <w:szCs w:val="22"/>
          <w:lang w:val="en-US" w:eastAsia="zh-CN" w:bidi="ar-SA"/>
        </w:rPr>
        <w:t>《中华人民共和国环境保护法</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中华人民共和国畜牧法</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中华人民共和国水污染防治法</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中华人民共和国大气污染防治法</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中华人民共和国动物防疫法</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中华人民共和国公路法</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中华人民共和国文物保护法</w:t>
      </w:r>
      <w:r>
        <w:rPr>
          <w:rFonts w:hint="eastAsia" w:ascii="Times New Roman" w:hAnsi="Times New Roman" w:eastAsia="仿宋_GB2312" w:cs="Times New Roman"/>
          <w:snapToGrid/>
          <w:color w:val="auto"/>
          <w:kern w:val="2"/>
          <w:sz w:val="28"/>
          <w:szCs w:val="22"/>
          <w:lang w:val="en-US" w:eastAsia="zh-CN" w:bidi="ar-SA"/>
        </w:rPr>
        <w:t>》</w:t>
      </w:r>
      <w:r>
        <w:rPr>
          <w:rFonts w:hint="eastAsia" w:ascii="Times New Roman" w:hAnsi="Times New Roman" w:eastAsia="仿宋_GB2312" w:cs="Times New Roman"/>
          <w:color w:val="auto"/>
          <w:kern w:val="2"/>
          <w:sz w:val="28"/>
          <w:szCs w:val="22"/>
          <w:lang w:val="en-US" w:eastAsia="zh-CN" w:bidi="ar-SA"/>
          <w14:ligatures w14:val="none"/>
        </w:rPr>
        <w:t>《中华人民共和国湿地保护法》《中华人民共和国自然保护区条例》</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畜禽规模养殖污染防治条例</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基本农田保护条例</w:t>
      </w:r>
      <w:r>
        <w:rPr>
          <w:rFonts w:hint="eastAsia" w:ascii="Times New Roman" w:hAnsi="Times New Roman" w:eastAsia="仿宋_GB2312" w:cs="Times New Roman"/>
          <w:snapToGrid/>
          <w:color w:val="auto"/>
          <w:kern w:val="2"/>
          <w:sz w:val="28"/>
          <w:szCs w:val="22"/>
          <w:lang w:val="en-US" w:eastAsia="zh-CN" w:bidi="ar-SA"/>
        </w:rPr>
        <w:t>》</w:t>
      </w:r>
      <w:r>
        <w:rPr>
          <w:rFonts w:hint="eastAsia" w:ascii="Times New Roman" w:hAnsi="Times New Roman" w:eastAsia="仿宋_GB2312" w:cs="Times New Roman"/>
          <w:color w:val="auto"/>
          <w:kern w:val="2"/>
          <w:sz w:val="28"/>
          <w:szCs w:val="22"/>
          <w:lang w:val="en-US" w:eastAsia="zh-CN" w:bidi="ar-SA"/>
          <w14:ligatures w14:val="none"/>
        </w:rPr>
        <w:t>《公路安全保护条例》《铁路安全管理条例》</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水污染防治行动计划</w:t>
      </w:r>
      <w:r>
        <w:rPr>
          <w:rFonts w:hint="eastAsia" w:ascii="Times New Roman" w:hAnsi="Times New Roman" w:eastAsia="仿宋_GB2312" w:cs="Times New Roman"/>
          <w:snapToGrid/>
          <w:color w:val="auto"/>
          <w:kern w:val="2"/>
          <w:sz w:val="28"/>
          <w:szCs w:val="22"/>
          <w:lang w:val="en-US" w:eastAsia="zh-CN" w:bidi="ar-SA"/>
        </w:rPr>
        <w:t>》</w:t>
      </w:r>
      <w:r>
        <w:rPr>
          <w:rFonts w:ascii="Times New Roman" w:hAnsi="Times New Roman" w:eastAsia="仿宋_GB2312" w:cs="Times New Roman"/>
          <w:snapToGrid/>
          <w:color w:val="auto"/>
          <w:kern w:val="2"/>
          <w:sz w:val="28"/>
          <w:szCs w:val="22"/>
          <w:lang w:val="en-US" w:eastAsia="zh-CN" w:bidi="ar-SA"/>
        </w:rPr>
        <w:t>《畜禽养殖禁养区划定技术指南》等以及其他有关法律法规和技术规范。</w:t>
      </w:r>
    </w:p>
    <w:p w14:paraId="0D87AA98">
      <w:pPr>
        <w:pStyle w:val="5"/>
        <w:keepNext w:val="0"/>
        <w:keepLines w:val="0"/>
        <w:pageBreakBefore w:val="0"/>
        <w:widowControl/>
        <w:overflowPunct/>
        <w:bidi w:val="0"/>
        <w:adjustRightInd w:val="0"/>
        <w:snapToGrid w:val="0"/>
        <w:spacing w:line="360" w:lineRule="auto"/>
        <w:ind w:left="44"/>
        <w:textAlignment w:val="baseline"/>
        <w:outlineLvl w:val="0"/>
        <w:rPr>
          <w:rFonts w:hint="eastAsia" w:ascii="黑体" w:hAnsi="黑体" w:eastAsia="黑体" w:cs="黑体"/>
          <w:b/>
          <w:bCs/>
          <w:color w:val="auto"/>
          <w:spacing w:val="1"/>
          <w:sz w:val="30"/>
          <w:szCs w:val="30"/>
        </w:rPr>
      </w:pPr>
      <w:bookmarkStart w:id="2" w:name="_Toc18021"/>
      <w:r>
        <w:rPr>
          <w:rFonts w:hint="eastAsia" w:ascii="黑体" w:hAnsi="黑体" w:eastAsia="黑体" w:cs="黑体"/>
          <w:b/>
          <w:bCs/>
          <w:color w:val="auto"/>
          <w:spacing w:val="1"/>
          <w:sz w:val="30"/>
          <w:szCs w:val="30"/>
        </w:rPr>
        <w:t>三、划分原则</w:t>
      </w:r>
      <w:bookmarkEnd w:id="2"/>
    </w:p>
    <w:p w14:paraId="5748A2AF">
      <w:pPr>
        <w:pStyle w:val="5"/>
        <w:keepNext w:val="0"/>
        <w:keepLines w:val="0"/>
        <w:pageBreakBefore w:val="0"/>
        <w:widowControl/>
        <w:overflowPunct/>
        <w:bidi w:val="0"/>
        <w:adjustRightInd w:val="0"/>
        <w:snapToGrid w:val="0"/>
        <w:spacing w:line="360" w:lineRule="auto"/>
        <w:ind w:left="34" w:right="272" w:firstLine="674"/>
        <w:jc w:val="both"/>
        <w:textAlignment w:val="baseline"/>
        <w:rPr>
          <w:color w:val="auto"/>
        </w:rPr>
      </w:pPr>
      <w:r>
        <w:rPr>
          <w:rFonts w:ascii="Times New Roman" w:hAnsi="Times New Roman" w:eastAsia="仿宋_GB2312" w:cs="Times New Roman"/>
          <w:snapToGrid/>
          <w:color w:val="auto"/>
          <w:kern w:val="2"/>
          <w:sz w:val="28"/>
          <w:szCs w:val="22"/>
          <w:lang w:val="en-US" w:eastAsia="zh-CN" w:bidi="ar-SA"/>
        </w:rPr>
        <w:t>以区域环境容量及环境保护为前提，因地制宜，综合考虑各区域主体功能定位及生态功能重要性，以饮用水水源保护区、自然保护</w:t>
      </w:r>
      <w:r>
        <w:rPr>
          <w:rFonts w:hint="eastAsia" w:ascii="Times New Roman" w:hAnsi="Times New Roman" w:eastAsia="仿宋_GB2312" w:cs="Times New Roman"/>
          <w:snapToGrid/>
          <w:color w:val="auto"/>
          <w:kern w:val="2"/>
          <w:sz w:val="28"/>
          <w:szCs w:val="22"/>
          <w:lang w:val="en-US" w:eastAsia="zh-CN" w:bidi="ar-SA"/>
        </w:rPr>
        <w:t>地</w:t>
      </w:r>
      <w:r>
        <w:rPr>
          <w:rFonts w:ascii="Times New Roman" w:hAnsi="Times New Roman" w:eastAsia="仿宋_GB2312" w:cs="Times New Roman"/>
          <w:snapToGrid/>
          <w:color w:val="auto"/>
          <w:kern w:val="2"/>
          <w:sz w:val="28"/>
          <w:szCs w:val="22"/>
          <w:lang w:val="en-US" w:eastAsia="zh-CN" w:bidi="ar-SA"/>
        </w:rPr>
        <w:t>、风景名胜区、城镇居民区和文化教育科学研究区和永久基本农田保护区为重点，结合其他法律法规规定的禁养区域，科学合理划定禁养区范围，合理规划养殖布局</w:t>
      </w:r>
      <w:r>
        <w:rPr>
          <w:rFonts w:hint="eastAsia" w:ascii="Times New Roman" w:hAnsi="Times New Roman" w:eastAsia="仿宋_GB2312" w:cs="Times New Roman"/>
          <w:snapToGrid/>
          <w:color w:val="auto"/>
          <w:kern w:val="2"/>
          <w:sz w:val="28"/>
          <w:szCs w:val="22"/>
          <w:lang w:val="en-US" w:eastAsia="zh-CN" w:bidi="ar-SA"/>
        </w:rPr>
        <w:t>。</w:t>
      </w:r>
    </w:p>
    <w:p w14:paraId="625B99C8">
      <w:pPr>
        <w:pStyle w:val="5"/>
        <w:keepNext w:val="0"/>
        <w:keepLines w:val="0"/>
        <w:pageBreakBefore w:val="0"/>
        <w:widowControl/>
        <w:overflowPunct/>
        <w:bidi w:val="0"/>
        <w:adjustRightInd w:val="0"/>
        <w:snapToGrid w:val="0"/>
        <w:spacing w:line="360" w:lineRule="auto"/>
        <w:ind w:left="44"/>
        <w:textAlignment w:val="baseline"/>
        <w:outlineLvl w:val="0"/>
        <w:rPr>
          <w:rFonts w:hint="eastAsia" w:ascii="黑体" w:hAnsi="黑体" w:eastAsia="黑体" w:cs="黑体"/>
          <w:b/>
          <w:bCs/>
          <w:color w:val="auto"/>
          <w:spacing w:val="1"/>
          <w:sz w:val="30"/>
          <w:szCs w:val="30"/>
        </w:rPr>
      </w:pPr>
      <w:bookmarkStart w:id="3" w:name="_Toc16285"/>
      <w:r>
        <w:rPr>
          <w:rFonts w:hint="eastAsia" w:ascii="黑体" w:hAnsi="黑体" w:eastAsia="黑体" w:cs="黑体"/>
          <w:b/>
          <w:bCs/>
          <w:color w:val="auto"/>
          <w:spacing w:val="1"/>
          <w:sz w:val="30"/>
          <w:szCs w:val="30"/>
        </w:rPr>
        <w:t>四、划定范围</w:t>
      </w:r>
      <w:bookmarkEnd w:id="3"/>
    </w:p>
    <w:p w14:paraId="6E723DD5">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b/>
          <w:bCs/>
          <w:snapToGrid/>
          <w:color w:val="auto"/>
          <w:kern w:val="2"/>
          <w:sz w:val="28"/>
          <w:szCs w:val="22"/>
          <w:lang w:val="en-US" w:eastAsia="zh-CN" w:bidi="ar-SA"/>
        </w:rPr>
      </w:pPr>
      <w:r>
        <w:rPr>
          <w:rFonts w:hint="eastAsia" w:ascii="Times New Roman" w:hAnsi="Times New Roman" w:eastAsia="仿宋_GB2312" w:cs="Times New Roman"/>
          <w:b/>
          <w:bCs/>
          <w:snapToGrid/>
          <w:color w:val="auto"/>
          <w:kern w:val="2"/>
          <w:sz w:val="28"/>
          <w:szCs w:val="22"/>
          <w:lang w:val="en-US" w:eastAsia="zh-CN" w:bidi="ar-SA"/>
        </w:rPr>
        <w:t>1、饮用水水源保护区</w:t>
      </w:r>
    </w:p>
    <w:p w14:paraId="7D0ACEB5">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根据《关于梅州市生活饮用水地表水源保护区划分方案的批复》（粤府函〔1999〕42号）、《关于调整兴宁市区饮用水源保护区陆域范围的批复》（粤府函〔2001〕469号）、《广东省人民政府关于印发部分市乡镇集中式饮用水源保护区划分方案的通知》（粤府函〔2015〕17号）、《广东省人民政府关于调整梅州市部分饮用水水源保护区的批复》（粤府函〔2018〕428号）、《梅州市人民政府关于印发梅州市“千吨万人”乡镇及以下饮用水水源保护区调整划定方案的通知》（梅市府函〔2020〕254号），将兴宁市当前已划定的27个饮用水水源保护区（含在兴宁范围内的梅县区畲江镇饮用水源保护区）的一级和二级保护区划入畜禽养殖禁养区</w:t>
      </w:r>
      <w:r>
        <w:rPr>
          <w:rFonts w:ascii="Times New Roman" w:hAnsi="Times New Roman" w:eastAsia="仿宋_GB2312" w:cs="Times New Roman"/>
          <w:snapToGrid/>
          <w:color w:val="auto"/>
          <w:kern w:val="2"/>
          <w:sz w:val="28"/>
          <w:szCs w:val="22"/>
          <w:lang w:val="en-US" w:eastAsia="zh-CN" w:bidi="ar-SA"/>
        </w:rPr>
        <w:t>。饮用水水源保护区名单详见附表1</w:t>
      </w:r>
      <w:r>
        <w:rPr>
          <w:rFonts w:hint="eastAsia" w:ascii="Times New Roman" w:hAnsi="Times New Roman" w:eastAsia="仿宋_GB2312" w:cs="Times New Roman"/>
          <w:snapToGrid/>
          <w:color w:val="auto"/>
          <w:kern w:val="2"/>
          <w:sz w:val="28"/>
          <w:szCs w:val="22"/>
          <w:lang w:val="en-US" w:eastAsia="zh-CN" w:bidi="ar-SA"/>
        </w:rPr>
        <w:t>，饮用水水源保护区分布见附图1</w:t>
      </w:r>
      <w:r>
        <w:rPr>
          <w:rFonts w:ascii="Times New Roman" w:hAnsi="Times New Roman" w:eastAsia="仿宋_GB2312" w:cs="Times New Roman"/>
          <w:snapToGrid/>
          <w:color w:val="auto"/>
          <w:kern w:val="2"/>
          <w:sz w:val="28"/>
          <w:szCs w:val="22"/>
          <w:lang w:val="en-US" w:eastAsia="zh-CN" w:bidi="ar-SA"/>
        </w:rPr>
        <w:t>。</w:t>
      </w:r>
    </w:p>
    <w:p w14:paraId="307C56D9">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划定依据：</w:t>
      </w:r>
    </w:p>
    <w:p w14:paraId="57B4E601">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①根据《畜禽养殖禁养区划定技术指南》畜禽养殖禁养区划定范围：包括饮用水水源一级保护区和二级保护区的陆域范围。已经完成饮用水水源保护区划分的，按照现有陆域边界范围执行；未完成饮用水水源保护区划分的，参照《饮用水水源保护区划分技术规范》（</w:t>
      </w:r>
      <w:r>
        <w:rPr>
          <w:rFonts w:hint="default" w:ascii="Times New Roman" w:hAnsi="Times New Roman" w:eastAsia="仿宋_GB2312" w:cs="Times New Roman"/>
          <w:snapToGrid/>
          <w:color w:val="auto"/>
          <w:kern w:val="2"/>
          <w:sz w:val="28"/>
          <w:szCs w:val="22"/>
          <w:lang w:val="en-US" w:eastAsia="zh-CN" w:bidi="ar-SA"/>
        </w:rPr>
        <w:t>HJ/T 338-20</w:t>
      </w:r>
      <w:r>
        <w:rPr>
          <w:rFonts w:hint="eastAsia" w:ascii="Times New Roman" w:hAnsi="Times New Roman" w:eastAsia="仿宋_GB2312" w:cs="Times New Roman"/>
          <w:snapToGrid/>
          <w:color w:val="auto"/>
          <w:kern w:val="2"/>
          <w:sz w:val="28"/>
          <w:szCs w:val="22"/>
          <w:lang w:val="en-US" w:eastAsia="zh-CN" w:bidi="ar-SA"/>
        </w:rPr>
        <w:t>18）中各类型饮用水水源保护区划分方法确定。其中，饮水水源一级保护区内禁止建设养殖场。饮用水水源二级保护区禁止建设有污染物排放的养殖场（注：畜禽粪便、养殖废水、沼渣、沼液等经过无害化处理用作肥料还田，符合法律法规要求以及国家和地方相关标准不造成环境污染的，不属于排放污染物）。</w:t>
      </w:r>
    </w:p>
    <w:p w14:paraId="378E1C02">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②根据《中华人民共和国水污染防治法》：“第六十五条 禁止在饮用水水源一级保护区内新建、改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第六十六条 禁止在饮用水水源二级保护区内新建、改建、扩建排放污染物的建设项目；已建成的排放污染物的建设项目，由县级以上人民政府责令拆除或者关闭。”</w:t>
      </w:r>
    </w:p>
    <w:p w14:paraId="7AA3202D">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③根据《关于答复全国集中式饮用水水源地环境保护专项行动有关问题的函》（环办环监函〔</w:t>
      </w:r>
      <w:r>
        <w:rPr>
          <w:rFonts w:hint="default" w:ascii="Times New Roman" w:hAnsi="Times New Roman" w:eastAsia="仿宋_GB2312" w:cs="Times New Roman"/>
          <w:snapToGrid/>
          <w:color w:val="auto"/>
          <w:kern w:val="2"/>
          <w:sz w:val="28"/>
          <w:szCs w:val="22"/>
          <w:lang w:val="en-US" w:eastAsia="zh-CN" w:bidi="ar-SA"/>
        </w:rPr>
        <w:t>2018</w:t>
      </w:r>
      <w:r>
        <w:rPr>
          <w:rFonts w:hint="eastAsia" w:ascii="Times New Roman" w:hAnsi="Times New Roman" w:eastAsia="仿宋_GB2312" w:cs="Times New Roman"/>
          <w:snapToGrid/>
          <w:color w:val="auto"/>
          <w:kern w:val="2"/>
          <w:sz w:val="28"/>
          <w:szCs w:val="22"/>
          <w:lang w:val="en-US" w:eastAsia="zh-CN" w:bidi="ar-SA"/>
        </w:rPr>
        <w:t>〕</w:t>
      </w:r>
      <w:r>
        <w:rPr>
          <w:rFonts w:hint="default" w:ascii="Times New Roman" w:hAnsi="Times New Roman" w:eastAsia="仿宋_GB2312" w:cs="Times New Roman"/>
          <w:snapToGrid/>
          <w:color w:val="auto"/>
          <w:kern w:val="2"/>
          <w:sz w:val="28"/>
          <w:szCs w:val="22"/>
          <w:lang w:val="en-US" w:eastAsia="zh-CN" w:bidi="ar-SA"/>
        </w:rPr>
        <w:t>767</w:t>
      </w:r>
      <w:r>
        <w:rPr>
          <w:rFonts w:hint="eastAsia" w:ascii="Times New Roman" w:hAnsi="Times New Roman" w:eastAsia="仿宋_GB2312" w:cs="Times New Roman"/>
          <w:snapToGrid/>
          <w:color w:val="auto"/>
          <w:kern w:val="2"/>
          <w:sz w:val="28"/>
          <w:szCs w:val="22"/>
          <w:lang w:val="en-US" w:eastAsia="zh-CN" w:bidi="ar-SA"/>
        </w:rPr>
        <w:t>号）：饮用水源一级保护区内所有经营性的畜禽养殖活动应取缔，养殖设施应拆除。二级保护区内排放污染物的规模化养殖场应拆除或关闭；分散式畜禽养殖圈舍应做到养殖废物全部资源化利用，且尽量远离取水口，不得向水体直接倾倒畜禽粪便和排放养殖废水。</w:t>
      </w:r>
    </w:p>
    <w:p w14:paraId="00179476">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ascii="Times New Roman" w:hAnsi="Times New Roman" w:eastAsia="Times New Roman" w:cs="Times New Roman"/>
          <w:color w:val="auto"/>
        </w:rPr>
      </w:pPr>
      <w:r>
        <w:rPr>
          <w:rFonts w:hint="eastAsia" w:ascii="Times New Roman" w:hAnsi="Times New Roman" w:eastAsia="仿宋_GB2312" w:cs="Times New Roman"/>
          <w:snapToGrid/>
          <w:color w:val="auto"/>
          <w:kern w:val="2"/>
          <w:sz w:val="28"/>
          <w:szCs w:val="22"/>
          <w:lang w:val="en-US" w:eastAsia="zh-CN" w:bidi="ar-SA"/>
        </w:rPr>
        <w:t>④根据《广东省环境保护条例》：第五十一条 各级人民政府应当加强饮用水水源保护，保障饮用水的安全、清洁。禁止在水库等饮用水水源保护区设置排污口和从事采矿、采石、取土等可能污染饮用水水体的活动。畜禽养殖和水产养殖应当采取措施避免污染水体。禁止在饮用水水源一级保护区内放养畜禽和从事网箱养殖等可能污染饮用水水体的活动。</w:t>
      </w:r>
    </w:p>
    <w:p w14:paraId="1A21C71E">
      <w:pPr>
        <w:pStyle w:val="5"/>
        <w:keepNext w:val="0"/>
        <w:keepLines w:val="0"/>
        <w:pageBreakBefore w:val="0"/>
        <w:widowControl/>
        <w:overflowPunct/>
        <w:bidi w:val="0"/>
        <w:adjustRightInd w:val="0"/>
        <w:snapToGrid w:val="0"/>
        <w:spacing w:line="360" w:lineRule="auto"/>
        <w:ind w:left="665"/>
        <w:textAlignment w:val="baseline"/>
        <w:rPr>
          <w:color w:val="auto"/>
        </w:rPr>
      </w:pPr>
      <w:r>
        <w:rPr>
          <w:rFonts w:hint="eastAsia" w:ascii="Times New Roman" w:hAnsi="Times New Roman" w:eastAsia="仿宋_GB2312" w:cs="Times New Roman"/>
          <w:b/>
          <w:bCs/>
          <w:snapToGrid/>
          <w:color w:val="auto"/>
          <w:kern w:val="2"/>
          <w:sz w:val="28"/>
          <w:szCs w:val="22"/>
          <w:lang w:val="en-US" w:eastAsia="zh-CN" w:bidi="ar-SA"/>
        </w:rPr>
        <w:t>2、自然保护地</w:t>
      </w:r>
    </w:p>
    <w:p w14:paraId="257C0ECA">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将《兴宁市国土空间总体规划（2021-2035年）》以及《兴宁市自然保护地整合优化方案》划定的兴宁市4个自然保护区的核心保护区、7个森林公园的边界范围、1个湿地公园的边界范围划入畜禽养殖禁养区。自然保护地列表详见附表2，自然保护地分布见附图2。</w:t>
      </w:r>
    </w:p>
    <w:p w14:paraId="4E0C51FB">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划定依据：</w:t>
      </w:r>
    </w:p>
    <w:p w14:paraId="28062DDC">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①根据《畜禽养殖禁养区划定技术指南》畜禽养殖禁养区划定范围：包括国家级和地方级自然保护区的核心区和缓冲区，按照各级人民政府公布的自然保护区范围执行。自然保护区核心区和缓冲区范围内，禁止建设养殖场。</w:t>
      </w:r>
    </w:p>
    <w:p w14:paraId="1A523FD5">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default"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②根据《中华人民共和国自然保护区条例》</w:t>
      </w:r>
      <w:r>
        <w:rPr>
          <w:rFonts w:hint="eastAsia" w:ascii="Times New Roman" w:hAnsi="Times New Roman" w:eastAsia="仿宋_GB2312" w:cs="Times New Roman"/>
          <w:i w:val="0"/>
          <w:iCs w:val="0"/>
          <w:caps w:val="0"/>
          <w:snapToGrid/>
          <w:color w:val="auto"/>
          <w:spacing w:val="0"/>
          <w:kern w:val="2"/>
          <w:sz w:val="28"/>
          <w:szCs w:val="22"/>
          <w:shd w:val="clear"/>
          <w:lang w:val="en-US" w:eastAsia="zh-CN"/>
        </w:rPr>
        <w:t>第三十二条：</w:t>
      </w:r>
      <w:r>
        <w:rPr>
          <w:rFonts w:hint="eastAsia" w:ascii="Times New Roman" w:hAnsi="Times New Roman" w:eastAsia="仿宋_GB2312" w:cs="Times New Roman"/>
          <w:i w:val="0"/>
          <w:iCs w:val="0"/>
          <w:caps w:val="0"/>
          <w:snapToGrid/>
          <w:color w:val="auto"/>
          <w:spacing w:val="0"/>
          <w:kern w:val="2"/>
          <w:sz w:val="28"/>
          <w:szCs w:val="22"/>
          <w:shd w:val="clear"/>
          <w:lang w:eastAsia="zh-CN"/>
        </w:rPr>
        <w:t>在自然保护区的核心区和缓冲区内，不得建设任何生产设施。在自然保护区的实验区内，不得建设污染环境、破坏资源或者景观的生产设施；建设其他项目，其污染物排放不得超过国家和地方规定的污染物排放标准。在自然保护区的实验区内已经建成的设施，其污染物排放超过国家和地方规定的排放标准的，应当限期治理；造成损害的，必须采取补救措施。</w:t>
      </w:r>
    </w:p>
    <w:p w14:paraId="6D5C2108">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③根据《中华人民共和国湿地保护法》</w:t>
      </w:r>
      <w:r>
        <w:rPr>
          <w:rFonts w:hint="default" w:ascii="Times New Roman" w:hAnsi="Times New Roman" w:eastAsia="仿宋_GB2312" w:cs="Times New Roman"/>
          <w:snapToGrid/>
          <w:color w:val="auto"/>
          <w:kern w:val="2"/>
          <w:sz w:val="28"/>
          <w:szCs w:val="22"/>
          <w:lang w:val="en-US" w:eastAsia="zh-CN" w:bidi="ar-SA"/>
        </w:rPr>
        <w:t>第二十五条</w:t>
      </w:r>
      <w:r>
        <w:rPr>
          <w:rFonts w:hint="eastAsia" w:ascii="Times New Roman" w:hAnsi="Times New Roman" w:eastAsia="仿宋_GB2312" w:cs="Times New Roman"/>
          <w:snapToGrid/>
          <w:color w:val="auto"/>
          <w:kern w:val="2"/>
          <w:sz w:val="28"/>
          <w:szCs w:val="22"/>
          <w:lang w:val="en-US" w:eastAsia="zh-CN" w:bidi="ar-SA"/>
        </w:rPr>
        <w:t>：</w:t>
      </w:r>
      <w:r>
        <w:rPr>
          <w:rFonts w:hint="default" w:ascii="Times New Roman" w:hAnsi="Times New Roman" w:eastAsia="仿宋_GB2312" w:cs="Times New Roman"/>
          <w:snapToGrid/>
          <w:color w:val="auto"/>
          <w:kern w:val="2"/>
          <w:sz w:val="28"/>
          <w:szCs w:val="22"/>
          <w:lang w:val="en-US" w:eastAsia="zh-CN" w:bidi="ar-SA"/>
        </w:rPr>
        <w:t>地方各级人民政府及其有关部门应当采取措施，预防和控制人为活动对湿地及其生物多样性的不利影响，加强湿地污染防治，减缓人为因素和自然因素导致的湿地退化，维护湿地生态功能稳定。在湿地范围内从事旅游、种植、畜牧、水产养殖、航运等利用活动，应当避免改变湿地的自然状况，并采取措施减轻对湿地生态功能的不利影响。</w:t>
      </w:r>
    </w:p>
    <w:p w14:paraId="134BDEBE">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④根据《广东省森林公园管理条例》：第十七条 森林公园内不得建设破坏森林资源和景观、妨碍游览、污染环境的工程设施，不得设立各类开发区；森林公园生态保护区和游览区内不得建设宾馆、招待所、培训中心、疗养院以及与森林风景资源保护无关的其他建筑物。已经建设的，应当按照森林公园总体规划逐步迁出。《广东省环境保护条例》：第四十六条 各级人民政府在城乡建设和改造过程中，应当保护和规划各类重要生态用地，严格保护江河源头区、重要水源涵养区、饮用水水源保护区、江河洪水调蓄区、重点湿地、农业生态保护区、水土保持重点区域和重要渔业水域、自然保护区、森林公园、风景名胜区等区域内的自然生态系统，防止生态环境破坏和生态功能退化。第四十七条 森林公园除必要的保护设施和附属设施外，禁止从事与资源保护无关的任何生产建设活动；禁止随意占用、征用、征收和转让林地；禁止种植掠夺水土资源、破坏土壤结构的劣质树种。第四十九条 除法律法规规定的禁止养殖区域外，县级以上人民政府有关主管部门可以根据当地环境承载能力和污染物排放总量控制要求，划定畜禽禁养区和限养区，报同级人民政府批准后实施，并向社会公布。</w:t>
      </w:r>
    </w:p>
    <w:p w14:paraId="6E84E0A0">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宋体" w:hAnsi="宋体" w:eastAsia="宋体" w:cs="宋体"/>
          <w:snapToGrid/>
          <w:color w:val="auto"/>
          <w:kern w:val="2"/>
          <w:sz w:val="28"/>
          <w:szCs w:val="22"/>
          <w:lang w:val="en-US" w:eastAsia="zh-CN" w:bidi="ar-SA"/>
        </w:rPr>
        <w:t>⑤</w:t>
      </w:r>
      <w:r>
        <w:rPr>
          <w:rFonts w:hint="eastAsia" w:ascii="Times New Roman" w:hAnsi="Times New Roman" w:eastAsia="仿宋_GB2312" w:cs="Times New Roman"/>
          <w:snapToGrid/>
          <w:color w:val="auto"/>
          <w:kern w:val="2"/>
          <w:sz w:val="28"/>
          <w:szCs w:val="22"/>
          <w:lang w:val="en-US" w:eastAsia="zh-CN" w:bidi="ar-SA"/>
        </w:rPr>
        <w:t>根据《广东省湿地保护条例》第二十六条：禁止在湿地范围内从事下列活动：（一）围垦、开垦、填埋自然湿地；（二）排干自然湿地或者永久性截断自然湿地水源；（三）擅自挖塘、挖砂、采砂、采矿、取土、取水、烧荒；（四）直接排放未经处理或者排放不达标的污水，倾倒、储存、堆放有毒有害物质、废弃物、垃圾，投放可能危害水体、水生以及湿生生物的化学物品；（五）破坏鱼类等水生生物洄游通道，采用电鱼、炸鱼、毒鱼、绝户网等灭绝性方式捕捞鱼类以及其他水生生物；（六）破坏野生动植物的繁殖区、栖息地、原生地和迁徙通道，滥采滥捕野生动植物；（七）引进、放生外来物种；（八）过度放牧、捕捞；（九）采伐林木，采集国家或者省重点保护的野生植物；（十）猎捕保护的野生动物，在以水鸟为保护对象的自然保护地及其他重要栖息地捡拾掏取鸟蛋；（十一）其他破坏湿地及其生态功能的活动。</w:t>
      </w:r>
    </w:p>
    <w:p w14:paraId="4384432C">
      <w:pPr>
        <w:pStyle w:val="5"/>
        <w:keepNext w:val="0"/>
        <w:keepLines w:val="0"/>
        <w:pageBreakBefore w:val="0"/>
        <w:widowControl/>
        <w:overflowPunct/>
        <w:bidi w:val="0"/>
        <w:adjustRightInd w:val="0"/>
        <w:snapToGrid w:val="0"/>
        <w:spacing w:line="360" w:lineRule="auto"/>
        <w:ind w:left="665"/>
        <w:textAlignment w:val="baseline"/>
        <w:rPr>
          <w:color w:val="auto"/>
        </w:rPr>
      </w:pPr>
      <w:r>
        <w:rPr>
          <w:rFonts w:hint="eastAsia" w:ascii="Times New Roman" w:hAnsi="Times New Roman" w:eastAsia="仿宋_GB2312" w:cs="Times New Roman"/>
          <w:b/>
          <w:bCs/>
          <w:snapToGrid/>
          <w:color w:val="auto"/>
          <w:kern w:val="2"/>
          <w:sz w:val="28"/>
          <w:szCs w:val="22"/>
          <w:lang w:val="en-US" w:eastAsia="zh-CN" w:bidi="ar-SA"/>
        </w:rPr>
        <w:t>3、重要地表水体功能区</w:t>
      </w:r>
    </w:p>
    <w:p w14:paraId="5F58161F">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将兴宁市境内梅江、宁江、东江（罗浮水）、黄陂水和罗岗河的河道管理范围，以及大、中型水库（合水水库、石壁水库、和山岩水库、温公水库）管理范围划入畜禽养殖禁养区。重要地表水体功能区名单详见附表3，重要地表水体功能区分布见附图3。</w:t>
      </w:r>
    </w:p>
    <w:p w14:paraId="78CB14ED">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划定依据：</w:t>
      </w:r>
    </w:p>
    <w:p w14:paraId="43160BB5">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①根据《中华人民共和国河道管理条例》第二十四条 在河道管理范围内，禁止修建围堤、阻水渠道、阻水道路；种植高秆农作物、芦苇、杞柳、荻柴和树木（堤防防护林除外）；设置拦河渔具；弃置矿渣、石渣、煤灰、泥土、垃圾等。在堤防和护堤地，禁止建房、放牧、开渠、打井、挖窖、葬坟、晒粮、存放物料、开采地下资源、进行考古发掘以及开展集市贸易活动。</w:t>
      </w:r>
    </w:p>
    <w:p w14:paraId="506CCC6D">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②根据《畜禽养殖禁养区划定技术指南》：畜禽养殖禁养区划定范围兼顾江河源头区、重要河流岸带、重要湖库周边等对水环境影响较大的区域。</w:t>
      </w:r>
    </w:p>
    <w:p w14:paraId="25F30874">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③根据《广东省环境保护条例》：第四十六条 各级人民政府在城乡建设和改造过程中，应当保护和规划各类重要生态用地，严格保护江河源头区、重要水源涵养区、饮用水水源保护区、江河洪水调蓄区、重点湿地、农业生态保护区、水土保持重点区域和重要渔业水域、自然保护区、森林公园、风景名胜区等区域内的自然生态系统，防止生态环境破坏和生态功能退化。第四十九条 除法律法规规定的禁止养殖区域外，县级以上人民政府有关主管部门可以根据当地环境承载能力和污染物排放总量控制要求，划定畜禽禁养区和限养区，报同级人民政府批准后实施，并向社会公布。</w:t>
      </w:r>
    </w:p>
    <w:p w14:paraId="016EFB2B">
      <w:pPr>
        <w:pStyle w:val="5"/>
        <w:keepNext w:val="0"/>
        <w:keepLines w:val="0"/>
        <w:pageBreakBefore w:val="0"/>
        <w:widowControl/>
        <w:overflowPunct/>
        <w:bidi w:val="0"/>
        <w:adjustRightInd w:val="0"/>
        <w:snapToGrid w:val="0"/>
        <w:spacing w:line="360" w:lineRule="auto"/>
        <w:ind w:left="34" w:right="272" w:firstLine="674"/>
        <w:jc w:val="both"/>
        <w:textAlignment w:val="baseline"/>
        <w:rPr>
          <w:color w:val="auto"/>
        </w:rPr>
      </w:pPr>
      <w:r>
        <w:rPr>
          <w:rFonts w:hint="eastAsia" w:ascii="Times New Roman" w:hAnsi="Times New Roman" w:eastAsia="仿宋_GB2312" w:cs="Times New Roman"/>
          <w:snapToGrid/>
          <w:color w:val="auto"/>
          <w:kern w:val="2"/>
          <w:sz w:val="28"/>
          <w:szCs w:val="22"/>
          <w:lang w:val="en-US" w:eastAsia="zh-CN" w:bidi="ar-SA"/>
        </w:rPr>
        <w:t>④根据《广东省河道管理条例》：第十八条 在河道管理范围内，禁止下列活动：（一）建设房屋等妨碍行洪的建筑物、构筑物；（二）修建围堤、阻水渠道、阻水道路；（三）在行洪河道内种植阻碍行洪的林木和高秆作物；（四）设置拦河渔具；（五）弃置、堆放矿渣、石渣、煤灰、泥土、垃圾和其他阻碍行洪或者污染水体的物体；（六）从事影响河势稳定、危害河岸堤防安全和妨碍河道行洪的活动；（七）法律、法规规定的其他禁止行为。在堤防和护堤地，禁止建房、放牧、开渠、打井、挖窖、葬坟、晒粮、存放与防汛抢险无关的物料、开采地下资源、进行考古发掘以及开展集市贸易活动。</w:t>
      </w:r>
    </w:p>
    <w:p w14:paraId="6734D581">
      <w:pPr>
        <w:pStyle w:val="5"/>
        <w:keepNext w:val="0"/>
        <w:keepLines w:val="0"/>
        <w:pageBreakBefore w:val="0"/>
        <w:widowControl/>
        <w:overflowPunct/>
        <w:bidi w:val="0"/>
        <w:adjustRightInd w:val="0"/>
        <w:snapToGrid w:val="0"/>
        <w:spacing w:line="360" w:lineRule="auto"/>
        <w:ind w:left="665"/>
        <w:textAlignment w:val="baseline"/>
        <w:rPr>
          <w:rFonts w:hint="eastAsia" w:ascii="Times New Roman" w:hAnsi="Times New Roman" w:eastAsia="仿宋_GB2312" w:cs="Times New Roman"/>
          <w:b/>
          <w:bCs/>
          <w:snapToGrid/>
          <w:color w:val="auto"/>
          <w:kern w:val="2"/>
          <w:sz w:val="28"/>
          <w:szCs w:val="22"/>
          <w:lang w:val="en-US" w:eastAsia="zh-CN" w:bidi="ar-SA"/>
        </w:rPr>
      </w:pPr>
      <w:r>
        <w:rPr>
          <w:rFonts w:hint="eastAsia" w:ascii="Times New Roman" w:hAnsi="Times New Roman" w:eastAsia="仿宋_GB2312" w:cs="Times New Roman"/>
          <w:b/>
          <w:bCs/>
          <w:snapToGrid/>
          <w:color w:val="auto"/>
          <w:kern w:val="2"/>
          <w:sz w:val="28"/>
          <w:szCs w:val="22"/>
          <w:lang w:val="en-US" w:eastAsia="zh-CN" w:bidi="ar-SA"/>
        </w:rPr>
        <w:t>4、城镇居民区和文化教育科学研究区</w:t>
      </w:r>
    </w:p>
    <w:p w14:paraId="3904336F">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将《兴宁市国土空间总体规划（2021—2035年）》划定的城镇开发边界和兴宁市主要工业园区（包括广州（梅州）产业转移工业园、广东兴宁产业转移工业园区南区、广东兴宁产业转移工业园区北区、中伟新能源、永和工业园、望江老工业区、华丰工业园、丰江水混和创强砼）划入畜禽养殖禁养区。主要工业园区名单详见附表4，兴宁市城镇开发边界分布见附图4，主要工业园区分布见附图5。</w:t>
      </w:r>
    </w:p>
    <w:p w14:paraId="2CF3772F">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划定依据：</w:t>
      </w:r>
    </w:p>
    <w:p w14:paraId="4006FC2B">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①根据《畜禽养殖禁养区划定技术指南》：畜禽养殖禁养区划定范围包括城镇居民区和文化教育科学研究区。根据城镇现行总体规划，动物防疫条件、卫生防护和环境保护要求等，因地制宜，兼顾城镇发展，科学设置边界范围。边界范围内，禁止建设养殖场。</w:t>
      </w:r>
    </w:p>
    <w:p w14:paraId="4AC069E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②根据《畜禽养殖业污染防治技术规范》（HJ/T 81-2001）：禁止在城市和城镇居民区建设畜禽养殖场，包括文教科研区、医疗区、商业区、工业区、游览区等人口集中地区。</w:t>
      </w:r>
    </w:p>
    <w:p w14:paraId="45281981">
      <w:pPr>
        <w:pStyle w:val="5"/>
        <w:keepNext w:val="0"/>
        <w:keepLines w:val="0"/>
        <w:pageBreakBefore w:val="0"/>
        <w:widowControl/>
        <w:overflowPunct/>
        <w:bidi w:val="0"/>
        <w:adjustRightInd w:val="0"/>
        <w:snapToGrid w:val="0"/>
        <w:spacing w:line="360" w:lineRule="auto"/>
        <w:ind w:left="668"/>
        <w:textAlignment w:val="baseline"/>
        <w:rPr>
          <w:color w:val="auto"/>
        </w:rPr>
      </w:pPr>
      <w:r>
        <w:rPr>
          <w:rFonts w:hint="eastAsia" w:ascii="Times New Roman" w:hAnsi="Times New Roman" w:eastAsia="仿宋_GB2312" w:cs="Times New Roman"/>
          <w:b/>
          <w:bCs/>
          <w:snapToGrid/>
          <w:color w:val="auto"/>
          <w:kern w:val="2"/>
          <w:sz w:val="28"/>
          <w:szCs w:val="22"/>
          <w:lang w:val="en-US" w:eastAsia="zh-CN" w:bidi="ar-SA"/>
        </w:rPr>
        <w:t>5、法律法规规定的其他禁止建设养殖场的区域</w:t>
      </w:r>
    </w:p>
    <w:p w14:paraId="432F654E">
      <w:pPr>
        <w:pStyle w:val="5"/>
        <w:keepNext w:val="0"/>
        <w:keepLines w:val="0"/>
        <w:pageBreakBefore w:val="0"/>
        <w:widowControl/>
        <w:overflowPunct/>
        <w:bidi w:val="0"/>
        <w:adjustRightInd w:val="0"/>
        <w:snapToGrid w:val="0"/>
        <w:spacing w:line="360" w:lineRule="auto"/>
        <w:ind w:left="668"/>
        <w:textAlignment w:val="baseline"/>
        <w:rPr>
          <w:rFonts w:hint="eastAsia" w:ascii="Times New Roman" w:hAnsi="Times New Roman" w:eastAsia="仿宋_GB2312" w:cs="Times New Roman"/>
          <w:b/>
          <w:bCs/>
          <w:snapToGrid/>
          <w:color w:val="auto"/>
          <w:kern w:val="2"/>
          <w:sz w:val="28"/>
          <w:szCs w:val="22"/>
          <w:lang w:val="en-US" w:eastAsia="zh-CN" w:bidi="ar-SA"/>
        </w:rPr>
      </w:pPr>
      <w:r>
        <w:rPr>
          <w:rFonts w:hint="eastAsia" w:ascii="Times New Roman" w:hAnsi="Times New Roman" w:eastAsia="仿宋_GB2312" w:cs="Times New Roman"/>
          <w:b/>
          <w:bCs/>
          <w:snapToGrid/>
          <w:color w:val="auto"/>
          <w:kern w:val="2"/>
          <w:sz w:val="28"/>
          <w:szCs w:val="22"/>
          <w:lang w:val="en-US" w:eastAsia="zh-CN" w:bidi="ar-SA"/>
        </w:rPr>
        <w:t>（1）基本农田保护区</w:t>
      </w:r>
    </w:p>
    <w:p w14:paraId="2625E0E8">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将《兴宁市国土空间总体规划（2021—2035年）》划定的兴宁市永久基本农田保护区划入畜禽养殖禁养区。兴宁市永久基本农田保护区分布见附图6。</w:t>
      </w:r>
    </w:p>
    <w:p w14:paraId="3CFF3813">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划定依据：</w:t>
      </w:r>
    </w:p>
    <w:p w14:paraId="2374448B">
      <w:pPr>
        <w:pStyle w:val="5"/>
        <w:keepNext w:val="0"/>
        <w:keepLines w:val="0"/>
        <w:pageBreakBefore w:val="0"/>
        <w:widowControl/>
        <w:overflowPunct/>
        <w:bidi w:val="0"/>
        <w:adjustRightInd w:val="0"/>
        <w:snapToGrid w:val="0"/>
        <w:spacing w:line="360" w:lineRule="auto"/>
        <w:ind w:left="34" w:right="272" w:firstLine="674"/>
        <w:jc w:val="both"/>
        <w:textAlignment w:val="baseline"/>
        <w:rPr>
          <w:color w:val="auto"/>
        </w:rPr>
      </w:pPr>
      <w:r>
        <w:rPr>
          <w:rFonts w:hint="eastAsia" w:ascii="Times New Roman" w:hAnsi="Times New Roman" w:eastAsia="仿宋_GB2312" w:cs="Times New Roman"/>
          <w:snapToGrid/>
          <w:color w:val="auto"/>
          <w:kern w:val="2"/>
          <w:sz w:val="28"/>
          <w:szCs w:val="22"/>
          <w:lang w:val="en-US" w:eastAsia="zh-CN" w:bidi="ar-SA"/>
        </w:rPr>
        <w:t>根据《基本农田保护条例》：第十五条 基本农田保护区经依法划定后，任何单位和个人不得改变或者占用。国家能源、交通、水利、军事设施等重点建设项目选址确实无法避开基本农田保护区，需要占用基本农田，涉及农用地转用或者征收土地的，必须经国务院批准。第十七条 禁止任何单位和个人在基本农田保护区内建窑、建房、建坟、挖砂、采石、采矿、取土、堆放固体废弃物或者进行其他破坏基本农田的活动。禁止任何单位和个人占用基本农田发展林果业和挖塘养鱼。</w:t>
      </w:r>
    </w:p>
    <w:p w14:paraId="647B7A0C">
      <w:pPr>
        <w:pStyle w:val="5"/>
        <w:keepNext w:val="0"/>
        <w:keepLines w:val="0"/>
        <w:pageBreakBefore w:val="0"/>
        <w:widowControl/>
        <w:overflowPunct/>
        <w:bidi w:val="0"/>
        <w:adjustRightInd w:val="0"/>
        <w:snapToGrid w:val="0"/>
        <w:spacing w:line="360" w:lineRule="auto"/>
        <w:ind w:left="778"/>
        <w:textAlignment w:val="baseline"/>
        <w:rPr>
          <w:color w:val="auto"/>
        </w:rPr>
      </w:pPr>
      <w:r>
        <w:rPr>
          <w:rFonts w:hint="eastAsia" w:ascii="Times New Roman" w:hAnsi="Times New Roman" w:eastAsia="仿宋_GB2312" w:cs="Times New Roman"/>
          <w:b/>
          <w:bCs/>
          <w:snapToGrid/>
          <w:color w:val="auto"/>
          <w:kern w:val="2"/>
          <w:sz w:val="28"/>
          <w:szCs w:val="22"/>
          <w:lang w:val="en-US" w:eastAsia="zh-CN" w:bidi="ar-SA"/>
        </w:rPr>
        <w:t>（2）公路、铁路建筑控制区</w:t>
      </w:r>
    </w:p>
    <w:p w14:paraId="3203B611">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将兴宁市境内高速公路、国道和省道公路用地及公路建筑控制区以及铁路线路用地及安全保护区划入畜禽养殖禁养区。具体范围分别是高速公路用地两侧外延</w:t>
      </w:r>
      <w:r>
        <w:rPr>
          <w:rFonts w:hint="default" w:ascii="Times New Roman" w:hAnsi="Times New Roman" w:eastAsia="仿宋_GB2312" w:cs="Times New Roman"/>
          <w:snapToGrid/>
          <w:color w:val="auto"/>
          <w:kern w:val="2"/>
          <w:sz w:val="28"/>
          <w:szCs w:val="22"/>
          <w:lang w:val="en-US" w:eastAsia="zh-CN" w:bidi="ar-SA"/>
        </w:rPr>
        <w:t>30</w:t>
      </w:r>
      <w:r>
        <w:rPr>
          <w:rFonts w:hint="eastAsia" w:ascii="Times New Roman" w:hAnsi="Times New Roman" w:eastAsia="仿宋_GB2312" w:cs="Times New Roman"/>
          <w:snapToGrid/>
          <w:color w:val="auto"/>
          <w:kern w:val="2"/>
          <w:sz w:val="28"/>
          <w:szCs w:val="22"/>
          <w:lang w:val="en-US" w:eastAsia="zh-CN" w:bidi="ar-SA"/>
        </w:rPr>
        <w:t>米区域、国道公路用地两侧外延</w:t>
      </w:r>
      <w:r>
        <w:rPr>
          <w:rFonts w:hint="default" w:ascii="Times New Roman" w:hAnsi="Times New Roman" w:eastAsia="仿宋_GB2312" w:cs="Times New Roman"/>
          <w:snapToGrid/>
          <w:color w:val="auto"/>
          <w:kern w:val="2"/>
          <w:sz w:val="28"/>
          <w:szCs w:val="22"/>
          <w:lang w:val="en-US" w:eastAsia="zh-CN" w:bidi="ar-SA"/>
        </w:rPr>
        <w:t>20</w:t>
      </w:r>
      <w:r>
        <w:rPr>
          <w:rFonts w:hint="eastAsia" w:ascii="Times New Roman" w:hAnsi="Times New Roman" w:eastAsia="仿宋_GB2312" w:cs="Times New Roman"/>
          <w:snapToGrid/>
          <w:color w:val="auto"/>
          <w:kern w:val="2"/>
          <w:sz w:val="28"/>
          <w:szCs w:val="22"/>
          <w:lang w:val="en-US" w:eastAsia="zh-CN" w:bidi="ar-SA"/>
        </w:rPr>
        <w:t>米区域、省道公路用地两侧外延</w:t>
      </w:r>
      <w:r>
        <w:rPr>
          <w:rFonts w:hint="default" w:ascii="Times New Roman" w:hAnsi="Times New Roman" w:eastAsia="仿宋_GB2312" w:cs="Times New Roman"/>
          <w:snapToGrid/>
          <w:color w:val="auto"/>
          <w:kern w:val="2"/>
          <w:sz w:val="28"/>
          <w:szCs w:val="22"/>
          <w:lang w:val="en-US" w:eastAsia="zh-CN" w:bidi="ar-SA"/>
        </w:rPr>
        <w:t>15</w:t>
      </w:r>
      <w:r>
        <w:rPr>
          <w:rFonts w:hint="eastAsia" w:ascii="Times New Roman" w:hAnsi="Times New Roman" w:eastAsia="仿宋_GB2312" w:cs="Times New Roman"/>
          <w:snapToGrid/>
          <w:color w:val="auto"/>
          <w:kern w:val="2"/>
          <w:sz w:val="28"/>
          <w:szCs w:val="22"/>
          <w:lang w:val="en-US" w:eastAsia="zh-CN" w:bidi="ar-SA"/>
        </w:rPr>
        <w:t>米区域以及铁路线路两侧外延</w:t>
      </w:r>
      <w:r>
        <w:rPr>
          <w:rFonts w:hint="default" w:ascii="Times New Roman" w:hAnsi="Times New Roman" w:eastAsia="仿宋_GB2312" w:cs="Times New Roman"/>
          <w:snapToGrid/>
          <w:color w:val="auto"/>
          <w:kern w:val="2"/>
          <w:sz w:val="28"/>
          <w:szCs w:val="22"/>
          <w:lang w:val="en-US" w:eastAsia="zh-CN" w:bidi="ar-SA"/>
        </w:rPr>
        <w:t>15</w:t>
      </w:r>
      <w:r>
        <w:rPr>
          <w:rFonts w:hint="eastAsia" w:ascii="Times New Roman" w:hAnsi="Times New Roman" w:eastAsia="仿宋_GB2312" w:cs="Times New Roman"/>
          <w:snapToGrid/>
          <w:color w:val="auto"/>
          <w:kern w:val="2"/>
          <w:sz w:val="28"/>
          <w:szCs w:val="22"/>
          <w:lang w:val="en-US" w:eastAsia="zh-CN" w:bidi="ar-SA"/>
        </w:rPr>
        <w:t>米区域。相关公路、铁路名单见附表5，主要交通路网分布见附图7。</w:t>
      </w:r>
    </w:p>
    <w:p w14:paraId="2AB0AFDA">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划定依据：</w:t>
      </w:r>
    </w:p>
    <w:p w14:paraId="541F3F66">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①根据《中华人民共和国公路法》：第四十七条在公路两侧一定距离内，不得挖砂、采石、取土、倾倒废弃物，不得进行爆破作业及其他危及公路、公路桥梁、公路隧道、公路渡口安全的活动。第五十六条 除公路防护、养护需要的以外，禁止在公路两侧的建筑控制区内修建建筑物和地面构筑物。</w:t>
      </w:r>
    </w:p>
    <w:p w14:paraId="73A13590">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②根据《公路安全保护条例》：第十一条 县级以上地方人民政府应当根据保障公路运行安全和节约用地的原则以及公路发展的需要，组织交通运输、国土资源等部门划定公路建筑控制区的范围。公路建筑控制区的范围，从公路用地外缘起向外的距离标准为：（一）国道不少于20米；（二）省道不少于15米；（三）县道不少于10米；（四）乡道不少于5米。属于高速公路的，公路建筑控制区的范围从公路用地外缘起向外的距离标准不少于30米。第十三条 在公路建筑控制区内，除公路保护需要外，禁止修建建筑物和地面构筑物。</w:t>
      </w:r>
    </w:p>
    <w:p w14:paraId="39D29ADB">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ascii="Times New Roman" w:hAnsi="Times New Roman" w:eastAsia="Times New Roman" w:cs="Times New Roman"/>
          <w:color w:val="auto"/>
        </w:rPr>
      </w:pPr>
      <w:r>
        <w:rPr>
          <w:rFonts w:hint="eastAsia" w:ascii="Times New Roman" w:hAnsi="Times New Roman" w:eastAsia="仿宋_GB2312" w:cs="Times New Roman"/>
          <w:snapToGrid/>
          <w:color w:val="auto"/>
          <w:kern w:val="2"/>
          <w:sz w:val="28"/>
          <w:szCs w:val="22"/>
          <w:lang w:val="en-US" w:eastAsia="zh-CN" w:bidi="ar-SA"/>
        </w:rPr>
        <w:t>③根据《铁路安全管理条例》：第二十七条 铁路线路安全保护区的范围，从铁路线路路堤坡脚、路堑坡顶或者铁路桥梁（含铁路、道路两用桥，下同）外侧起向外的距离分别为：（一）城市市区高速铁路为10米，其他铁路为8米；（二）城市郊区居民居住区高速铁路为12米，其他铁路为10米；（三）村镇居民居住区高速铁路为15米，其他铁路为12米；（四）其他地区高速铁路为20米，其他铁路为15米。第二十九条 禁止在铁路线路安全保护区内烧荒、放养牲畜、种植影响铁路线路安全和行车瞭望的树木等植物。禁止向铁路线路安全保护区排污、倾倒垃圾以及其他危害铁路安全的物质。</w:t>
      </w:r>
    </w:p>
    <w:p w14:paraId="7CF5C9CF">
      <w:pPr>
        <w:pStyle w:val="5"/>
        <w:keepNext w:val="0"/>
        <w:keepLines w:val="0"/>
        <w:pageBreakBefore w:val="0"/>
        <w:widowControl/>
        <w:overflowPunct/>
        <w:bidi w:val="0"/>
        <w:adjustRightInd w:val="0"/>
        <w:snapToGrid w:val="0"/>
        <w:spacing w:line="360" w:lineRule="auto"/>
        <w:ind w:left="778"/>
        <w:textAlignment w:val="baseline"/>
        <w:rPr>
          <w:rFonts w:hint="eastAsia" w:ascii="Times New Roman" w:hAnsi="Times New Roman" w:eastAsia="仿宋_GB2312" w:cs="Times New Roman"/>
          <w:b/>
          <w:bCs/>
          <w:snapToGrid/>
          <w:color w:val="auto"/>
          <w:kern w:val="2"/>
          <w:sz w:val="28"/>
          <w:szCs w:val="22"/>
          <w:lang w:val="en-US" w:eastAsia="zh-CN" w:bidi="ar-SA"/>
        </w:rPr>
      </w:pPr>
    </w:p>
    <w:p w14:paraId="60E0F3BF">
      <w:pPr>
        <w:pStyle w:val="5"/>
        <w:keepNext w:val="0"/>
        <w:keepLines w:val="0"/>
        <w:pageBreakBefore w:val="0"/>
        <w:widowControl/>
        <w:overflowPunct/>
        <w:bidi w:val="0"/>
        <w:adjustRightInd w:val="0"/>
        <w:snapToGrid w:val="0"/>
        <w:spacing w:line="360" w:lineRule="auto"/>
        <w:ind w:left="778"/>
        <w:textAlignment w:val="baseline"/>
        <w:rPr>
          <w:color w:val="auto"/>
        </w:rPr>
      </w:pPr>
      <w:r>
        <w:rPr>
          <w:rFonts w:hint="eastAsia" w:ascii="Times New Roman" w:hAnsi="Times New Roman" w:eastAsia="仿宋_GB2312" w:cs="Times New Roman"/>
          <w:b/>
          <w:bCs/>
          <w:snapToGrid/>
          <w:color w:val="auto"/>
          <w:kern w:val="2"/>
          <w:sz w:val="28"/>
          <w:szCs w:val="22"/>
          <w:lang w:val="en-US" w:eastAsia="zh-CN" w:bidi="ar-SA"/>
        </w:rPr>
        <w:t>（3）文物保护单位</w:t>
      </w:r>
    </w:p>
    <w:p w14:paraId="2E97311D">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将兴宁市70处县级以上文物保护单位保护范围和建设控制地带划入畜禽养殖禁养区。兴宁市县级以上文物保护单位名单详见附表6，兴宁市县级以上文物保护单位分布见附图8。</w:t>
      </w:r>
    </w:p>
    <w:p w14:paraId="2FA00902">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划定依据：</w:t>
      </w:r>
    </w:p>
    <w:p w14:paraId="3A940B5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根据《中华人民共和国文物保护法》：</w:t>
      </w:r>
      <w:r>
        <w:rPr>
          <w:rFonts w:ascii="仿宋" w:hAnsi="仿宋" w:eastAsia="仿宋" w:cs="仿宋"/>
          <w:color w:val="auto"/>
          <w:spacing w:val="-2"/>
          <w:sz w:val="28"/>
          <w:szCs w:val="28"/>
        </w:rPr>
        <w:t>第</w:t>
      </w:r>
      <w:r>
        <w:rPr>
          <w:rFonts w:hint="eastAsia" w:ascii="仿宋" w:hAnsi="仿宋" w:eastAsia="仿宋" w:cs="仿宋"/>
          <w:color w:val="auto"/>
          <w:spacing w:val="-2"/>
          <w:sz w:val="28"/>
          <w:szCs w:val="28"/>
          <w:lang w:eastAsia="zh-CN"/>
        </w:rPr>
        <w:t>二十八</w:t>
      </w:r>
      <w:r>
        <w:rPr>
          <w:rFonts w:ascii="仿宋" w:hAnsi="仿宋" w:eastAsia="仿宋" w:cs="仿宋"/>
          <w:color w:val="auto"/>
          <w:spacing w:val="-2"/>
          <w:sz w:val="28"/>
          <w:szCs w:val="28"/>
        </w:rPr>
        <w:t xml:space="preserve">条 </w:t>
      </w:r>
      <w:r>
        <w:rPr>
          <w:rFonts w:hint="eastAsia" w:ascii="仿宋" w:hAnsi="仿宋" w:eastAsia="仿宋" w:cs="仿宋"/>
          <w:color w:val="auto"/>
          <w:spacing w:val="-2"/>
          <w:sz w:val="28"/>
          <w:szCs w:val="28"/>
          <w:lang w:eastAsia="zh-CN"/>
        </w:rPr>
        <w:t>在</w:t>
      </w:r>
      <w:r>
        <w:rPr>
          <w:rFonts w:ascii="仿宋" w:hAnsi="仿宋" w:eastAsia="仿宋" w:cs="仿宋"/>
          <w:color w:val="auto"/>
          <w:spacing w:val="-2"/>
          <w:sz w:val="28"/>
          <w:szCs w:val="28"/>
        </w:rPr>
        <w:t>文物保护单位的保护范围内</w:t>
      </w:r>
      <w:r>
        <w:rPr>
          <w:rFonts w:ascii="仿宋" w:hAnsi="仿宋" w:eastAsia="仿宋" w:cs="仿宋"/>
          <w:color w:val="auto"/>
          <w:spacing w:val="14"/>
          <w:sz w:val="28"/>
          <w:szCs w:val="28"/>
        </w:rPr>
        <w:t xml:space="preserve"> </w:t>
      </w:r>
      <w:r>
        <w:rPr>
          <w:rFonts w:ascii="仿宋" w:hAnsi="仿宋" w:eastAsia="仿宋" w:cs="仿宋"/>
          <w:color w:val="auto"/>
          <w:sz w:val="28"/>
          <w:szCs w:val="28"/>
        </w:rPr>
        <w:t>不得进行</w:t>
      </w:r>
      <w:r>
        <w:rPr>
          <w:rFonts w:hint="eastAsia" w:ascii="仿宋" w:hAnsi="仿宋" w:eastAsia="仿宋" w:cs="仿宋"/>
          <w:color w:val="auto"/>
          <w:sz w:val="28"/>
          <w:szCs w:val="28"/>
          <w:lang w:eastAsia="zh-CN"/>
        </w:rPr>
        <w:t>文物保护工程以外的</w:t>
      </w:r>
      <w:r>
        <w:rPr>
          <w:rFonts w:ascii="仿宋" w:hAnsi="仿宋" w:eastAsia="仿宋" w:cs="仿宋"/>
          <w:color w:val="auto"/>
          <w:sz w:val="28"/>
          <w:szCs w:val="28"/>
        </w:rPr>
        <w:t>其他建设工程或者爆破、钻探、挖掘等作业</w:t>
      </w:r>
      <w:r>
        <w:rPr>
          <w:rFonts w:hint="eastAsia" w:ascii="仿宋" w:hAnsi="仿宋" w:eastAsia="仿宋" w:cs="仿宋"/>
          <w:color w:val="auto"/>
          <w:sz w:val="28"/>
          <w:szCs w:val="28"/>
          <w:lang w:eastAsia="zh-CN"/>
        </w:rPr>
        <w:t>；第三十条“在文物保护单位的保护范围和建设控制地带内，不得建设污染文物保护单位及其环境的设施，不得进行可能影响文物保护单位安全及其环境的活动。”</w:t>
      </w:r>
    </w:p>
    <w:p w14:paraId="28087541">
      <w:pPr>
        <w:pStyle w:val="2"/>
        <w:keepNext/>
        <w:keepLines/>
        <w:pageBreakBefore w:val="0"/>
        <w:widowControl/>
        <w:kinsoku w:val="0"/>
        <w:wordWrap/>
        <w:overflowPunct/>
        <w:topLinePunct w:val="0"/>
        <w:autoSpaceDE w:val="0"/>
        <w:autoSpaceDN w:val="0"/>
        <w:bidi w:val="0"/>
        <w:adjustRightInd w:val="0"/>
        <w:snapToGrid w:val="0"/>
        <w:spacing w:before="0" w:beforeAutospacing="0" w:after="0" w:afterAutospacing="0" w:line="360" w:lineRule="auto"/>
        <w:ind w:firstLine="0" w:firstLineChars="0"/>
        <w:jc w:val="both"/>
        <w:textAlignment w:val="baseline"/>
        <w:outlineLvl w:val="0"/>
        <w:rPr>
          <w:rFonts w:hint="default" w:ascii="Times New Roman" w:hAnsi="Times New Roman" w:eastAsia="黑体" w:cs="Times New Roman"/>
          <w:b w:val="0"/>
          <w:color w:val="auto"/>
          <w:kern w:val="2"/>
          <w:sz w:val="30"/>
          <w:szCs w:val="30"/>
          <w:lang w:bidi="ar-SA"/>
          <w14:ligatures w14:val="none"/>
        </w:rPr>
      </w:pPr>
      <w:bookmarkStart w:id="4" w:name="_Toc2316"/>
      <w:r>
        <w:rPr>
          <w:rFonts w:hint="eastAsia" w:ascii="黑体" w:hAnsi="黑体" w:eastAsia="黑体" w:cs="黑体"/>
          <w:b/>
          <w:bCs/>
          <w:color w:val="auto"/>
          <w:spacing w:val="1"/>
          <w:sz w:val="30"/>
          <w:szCs w:val="30"/>
        </w:rPr>
        <w:t>五、</w:t>
      </w:r>
      <w:r>
        <w:rPr>
          <w:rFonts w:hint="default" w:ascii="Times New Roman" w:hAnsi="Times New Roman" w:eastAsia="黑体" w:cs="Times New Roman"/>
          <w:b w:val="0"/>
          <w:color w:val="auto"/>
          <w:kern w:val="2"/>
          <w:sz w:val="30"/>
          <w:szCs w:val="30"/>
          <w:lang w:bidi="ar-SA"/>
          <w14:ligatures w14:val="none"/>
        </w:rPr>
        <w:t>新旧划分方案的主要变化情况</w:t>
      </w:r>
      <w:bookmarkEnd w:id="4"/>
    </w:p>
    <w:p w14:paraId="4744CB10">
      <w:pPr>
        <w:pStyle w:val="20"/>
        <w:keepNext w:val="0"/>
        <w:keepLines w:val="0"/>
        <w:pageBreakBefore w:val="0"/>
        <w:widowControl/>
        <w:kinsoku/>
        <w:wordWrap/>
        <w:overflowPunct/>
        <w:topLinePunct w:val="0"/>
        <w:autoSpaceDE/>
        <w:autoSpaceDN/>
        <w:bidi w:val="0"/>
        <w:adjustRightInd/>
        <w:snapToGrid/>
        <w:spacing w:line="360" w:lineRule="auto"/>
        <w:ind w:firstLine="694"/>
        <w:textAlignment w:val="auto"/>
        <w:rPr>
          <w:rFonts w:hint="default" w:ascii="Times New Roman" w:hAnsi="Times New Roman" w:eastAsia="仿宋_GB2312" w:cs="Times New Roman"/>
          <w:color w:val="auto"/>
          <w:kern w:val="2"/>
          <w:sz w:val="28"/>
          <w:szCs w:val="28"/>
          <w:lang w:val="en-US" w:eastAsia="zh-CN" w:bidi="ar-SA"/>
          <w14:ligatures w14:val="none"/>
        </w:rPr>
      </w:pPr>
      <w:r>
        <w:rPr>
          <w:rFonts w:hint="eastAsia" w:eastAsia="仿宋_GB2312" w:cs="Times New Roman"/>
          <w:color w:val="auto"/>
          <w:kern w:val="2"/>
          <w:sz w:val="28"/>
          <w:szCs w:val="28"/>
          <w:lang w:val="en-US" w:eastAsia="zh-CN" w:bidi="ar-SA"/>
          <w14:ligatures w14:val="none"/>
        </w:rPr>
        <w:t>1、</w:t>
      </w:r>
      <w:r>
        <w:rPr>
          <w:rFonts w:hint="default" w:ascii="Times New Roman" w:hAnsi="Times New Roman" w:eastAsia="仿宋_GB2312" w:cs="Times New Roman"/>
          <w:color w:val="auto"/>
          <w:kern w:val="2"/>
          <w:sz w:val="28"/>
          <w:szCs w:val="28"/>
          <w:lang w:val="en-US" w:eastAsia="zh-CN" w:bidi="ar-SA"/>
          <w14:ligatures w14:val="none"/>
        </w:rPr>
        <w:t>禁养区范围调整</w:t>
      </w:r>
    </w:p>
    <w:p w14:paraId="307BEE71">
      <w:pPr>
        <w:pStyle w:val="20"/>
        <w:keepNext w:val="0"/>
        <w:keepLines w:val="0"/>
        <w:pageBreakBefore w:val="0"/>
        <w:widowControl/>
        <w:kinsoku/>
        <w:wordWrap/>
        <w:overflowPunct/>
        <w:topLinePunct w:val="0"/>
        <w:autoSpaceDE/>
        <w:autoSpaceDN/>
        <w:bidi w:val="0"/>
        <w:adjustRightInd/>
        <w:snapToGrid/>
        <w:spacing w:line="360" w:lineRule="auto"/>
        <w:ind w:firstLine="694"/>
        <w:textAlignment w:val="auto"/>
        <w:rPr>
          <w:rFonts w:hint="eastAsia" w:ascii="Times New Roman" w:hAnsi="Times New Roman" w:eastAsia="仿宋_GB2312" w:cs="Times New Roman"/>
          <w:color w:val="auto"/>
          <w:kern w:val="2"/>
          <w:sz w:val="28"/>
          <w:szCs w:val="28"/>
          <w:lang w:val="en-US" w:eastAsia="zh-CN" w:bidi="ar-SA"/>
          <w14:ligatures w14:val="none"/>
        </w:rPr>
      </w:pPr>
      <w:r>
        <w:rPr>
          <w:rFonts w:hint="default" w:ascii="Times New Roman" w:hAnsi="Times New Roman" w:eastAsia="仿宋_GB2312" w:cs="Times New Roman"/>
          <w:color w:val="auto"/>
          <w:kern w:val="2"/>
          <w:sz w:val="28"/>
          <w:szCs w:val="28"/>
          <w:lang w:val="en-US" w:eastAsia="zh-CN" w:bidi="ar-SA"/>
          <w14:ligatures w14:val="none"/>
        </w:rPr>
        <w:t>‌新增区域‌：</w:t>
      </w:r>
      <w:r>
        <w:rPr>
          <w:rFonts w:hint="eastAsia" w:eastAsia="仿宋_GB2312" w:cs="Times New Roman"/>
          <w:color w:val="auto"/>
          <w:kern w:val="2"/>
          <w:sz w:val="28"/>
          <w:szCs w:val="28"/>
          <w:lang w:val="en-US" w:eastAsia="zh-CN" w:bidi="ar-SA"/>
          <w14:ligatures w14:val="none"/>
        </w:rPr>
        <w:t>主要</w:t>
      </w:r>
      <w:r>
        <w:rPr>
          <w:rFonts w:hint="default" w:ascii="Times New Roman" w:hAnsi="Times New Roman" w:eastAsia="仿宋_GB2312" w:cs="Times New Roman"/>
          <w:color w:val="auto"/>
          <w:kern w:val="2"/>
          <w:sz w:val="28"/>
          <w:szCs w:val="28"/>
          <w:lang w:val="en-US" w:eastAsia="zh-CN" w:bidi="ar-SA"/>
          <w14:ligatures w14:val="none"/>
        </w:rPr>
        <w:t>包括新增的</w:t>
      </w:r>
      <w:r>
        <w:rPr>
          <w:rFonts w:hint="eastAsia" w:ascii="Times New Roman" w:hAnsi="Times New Roman" w:eastAsia="仿宋_GB2312" w:cs="Times New Roman"/>
          <w:color w:val="auto"/>
          <w:kern w:val="2"/>
          <w:sz w:val="28"/>
          <w:szCs w:val="28"/>
          <w:lang w:val="en-US" w:eastAsia="zh-CN" w:bidi="ar-SA"/>
          <w14:ligatures w14:val="none"/>
        </w:rPr>
        <w:t>6处</w:t>
      </w:r>
      <w:r>
        <w:rPr>
          <w:rFonts w:hint="default" w:ascii="Times New Roman" w:hAnsi="Times New Roman" w:eastAsia="仿宋_GB2312" w:cs="Times New Roman"/>
          <w:color w:val="auto"/>
          <w:kern w:val="2"/>
          <w:sz w:val="28"/>
          <w:szCs w:val="28"/>
          <w:lang w:val="en-US" w:eastAsia="zh-CN" w:bidi="ar-SA"/>
          <w14:ligatures w14:val="none"/>
        </w:rPr>
        <w:t>饮用水水源保护区（</w:t>
      </w:r>
      <w:r>
        <w:rPr>
          <w:rFonts w:hint="eastAsia" w:ascii="Times New Roman" w:hAnsi="Times New Roman" w:eastAsia="仿宋_GB2312" w:cs="Times New Roman"/>
          <w:color w:val="auto"/>
          <w:kern w:val="2"/>
          <w:sz w:val="28"/>
          <w:szCs w:val="28"/>
          <w:lang w:val="en-US" w:eastAsia="zh-CN" w:bidi="ar-SA"/>
          <w14:ligatures w14:val="none"/>
        </w:rPr>
        <w:t>黄陂镇上翁村温公水库饮用水水源保护区、新圩镇民新村黎陂寨水库饮用水水源保护区、永和镇新寨村百二断饮用水水源保护区、新陂镇乐仙村仙人坐石水库饮用水水源保护区、石马镇大觉村山寮下饮用水水源保护区、径南镇马山村饮用水水源保护区</w:t>
      </w:r>
      <w:r>
        <w:rPr>
          <w:rFonts w:hint="default" w:ascii="Times New Roman" w:hAnsi="Times New Roman" w:eastAsia="仿宋_GB2312" w:cs="Times New Roman"/>
          <w:color w:val="auto"/>
          <w:kern w:val="2"/>
          <w:sz w:val="28"/>
          <w:szCs w:val="28"/>
          <w:lang w:val="en-US" w:eastAsia="zh-CN" w:bidi="ar-SA"/>
          <w14:ligatures w14:val="none"/>
        </w:rPr>
        <w:t>等）、</w:t>
      </w:r>
      <w:r>
        <w:rPr>
          <w:rFonts w:hint="eastAsia" w:ascii="Times New Roman" w:hAnsi="Times New Roman" w:eastAsia="仿宋_GB2312" w:cs="Times New Roman"/>
          <w:color w:val="auto"/>
          <w:kern w:val="2"/>
          <w:sz w:val="28"/>
          <w:szCs w:val="28"/>
          <w:lang w:val="en-US" w:eastAsia="zh-CN" w:bidi="ar-SA"/>
          <w14:ligatures w14:val="none"/>
        </w:rPr>
        <w:t>新增</w:t>
      </w:r>
      <w:r>
        <w:rPr>
          <w:rFonts w:hint="default" w:ascii="Times New Roman" w:hAnsi="Times New Roman" w:eastAsia="仿宋_GB2312" w:cs="Times New Roman"/>
          <w:color w:val="auto"/>
          <w:kern w:val="2"/>
          <w:sz w:val="28"/>
          <w:szCs w:val="28"/>
          <w:lang w:val="en-US" w:eastAsia="zh-CN" w:bidi="ar-SA"/>
          <w14:ligatures w14:val="none"/>
        </w:rPr>
        <w:t>重要地表水体功能区（梅江、</w:t>
      </w:r>
      <w:r>
        <w:rPr>
          <w:rFonts w:hint="eastAsia" w:ascii="Times New Roman" w:hAnsi="Times New Roman" w:eastAsia="仿宋_GB2312" w:cs="Times New Roman"/>
          <w:color w:val="auto"/>
          <w:kern w:val="2"/>
          <w:sz w:val="28"/>
          <w:szCs w:val="28"/>
          <w:lang w:val="en-US" w:eastAsia="zh-CN" w:bidi="ar-SA"/>
          <w14:ligatures w14:val="none"/>
        </w:rPr>
        <w:t>宁</w:t>
      </w:r>
      <w:r>
        <w:rPr>
          <w:rFonts w:hint="default" w:ascii="Times New Roman" w:hAnsi="Times New Roman" w:eastAsia="仿宋_GB2312" w:cs="Times New Roman"/>
          <w:color w:val="auto"/>
          <w:kern w:val="2"/>
          <w:sz w:val="28"/>
          <w:szCs w:val="28"/>
          <w:lang w:val="en-US" w:eastAsia="zh-CN" w:bidi="ar-SA"/>
          <w14:ligatures w14:val="none"/>
        </w:rPr>
        <w:t>江</w:t>
      </w:r>
      <w:r>
        <w:rPr>
          <w:rFonts w:hint="eastAsia" w:ascii="Times New Roman" w:hAnsi="Times New Roman" w:eastAsia="仿宋_GB2312" w:cs="Times New Roman"/>
          <w:color w:val="auto"/>
          <w:kern w:val="2"/>
          <w:sz w:val="28"/>
          <w:szCs w:val="28"/>
          <w:lang w:val="en-US" w:eastAsia="zh-CN" w:bidi="ar-SA"/>
          <w14:ligatures w14:val="none"/>
        </w:rPr>
        <w:t>、东江（罗浮水）、黄陂水</w:t>
      </w:r>
      <w:r>
        <w:rPr>
          <w:rFonts w:hint="default" w:ascii="Times New Roman" w:hAnsi="Times New Roman" w:eastAsia="仿宋_GB2312" w:cs="Times New Roman"/>
          <w:color w:val="auto"/>
          <w:kern w:val="2"/>
          <w:sz w:val="28"/>
          <w:szCs w:val="28"/>
          <w:lang w:val="en-US" w:eastAsia="zh-CN" w:bidi="ar-SA"/>
          <w14:ligatures w14:val="none"/>
        </w:rPr>
        <w:t>和</w:t>
      </w:r>
      <w:r>
        <w:rPr>
          <w:rFonts w:hint="eastAsia" w:ascii="Times New Roman" w:hAnsi="Times New Roman" w:eastAsia="仿宋_GB2312" w:cs="Times New Roman"/>
          <w:color w:val="auto"/>
          <w:kern w:val="2"/>
          <w:sz w:val="28"/>
          <w:szCs w:val="28"/>
          <w:lang w:val="en-US" w:eastAsia="zh-CN" w:bidi="ar-SA"/>
          <w14:ligatures w14:val="none"/>
        </w:rPr>
        <w:t>罗岗</w:t>
      </w:r>
      <w:r>
        <w:rPr>
          <w:rFonts w:hint="default" w:ascii="Times New Roman" w:hAnsi="Times New Roman" w:eastAsia="仿宋_GB2312" w:cs="Times New Roman"/>
          <w:color w:val="auto"/>
          <w:kern w:val="2"/>
          <w:sz w:val="28"/>
          <w:szCs w:val="28"/>
          <w:lang w:val="en-US" w:eastAsia="zh-CN" w:bidi="ar-SA"/>
          <w14:ligatures w14:val="none"/>
        </w:rPr>
        <w:t>河的河道管理范围</w:t>
      </w:r>
      <w:r>
        <w:rPr>
          <w:rFonts w:hint="eastAsia" w:eastAsia="仿宋_GB2312" w:cs="Times New Roman"/>
          <w:color w:val="auto"/>
          <w:kern w:val="2"/>
          <w:sz w:val="28"/>
          <w:szCs w:val="28"/>
          <w:lang w:val="en-US" w:eastAsia="zh-CN" w:bidi="ar-SA"/>
          <w14:ligatures w14:val="none"/>
        </w:rPr>
        <w:t>以及</w:t>
      </w:r>
      <w:r>
        <w:rPr>
          <w:rFonts w:hint="eastAsia" w:ascii="Times New Roman" w:hAnsi="Times New Roman" w:eastAsia="仿宋_GB2312" w:cs="Times New Roman"/>
          <w:color w:val="auto"/>
          <w:kern w:val="2"/>
          <w:sz w:val="28"/>
          <w:szCs w:val="28"/>
          <w:lang w:val="en-US" w:eastAsia="zh-CN" w:bidi="ar-SA"/>
          <w14:ligatures w14:val="none"/>
        </w:rPr>
        <w:t>合水水库、石壁水库</w:t>
      </w:r>
      <w:r>
        <w:rPr>
          <w:rFonts w:hint="eastAsia" w:eastAsia="仿宋_GB2312" w:cs="Times New Roman"/>
          <w:color w:val="auto"/>
          <w:kern w:val="2"/>
          <w:sz w:val="28"/>
          <w:szCs w:val="28"/>
          <w:lang w:val="en-US" w:eastAsia="zh-CN" w:bidi="ar-SA"/>
          <w14:ligatures w14:val="none"/>
        </w:rPr>
        <w:t>和</w:t>
      </w:r>
      <w:r>
        <w:rPr>
          <w:rFonts w:hint="eastAsia" w:ascii="Times New Roman" w:hAnsi="Times New Roman" w:eastAsia="仿宋_GB2312" w:cs="Times New Roman"/>
          <w:color w:val="auto"/>
          <w:kern w:val="2"/>
          <w:sz w:val="28"/>
          <w:szCs w:val="28"/>
          <w:lang w:val="en-US" w:eastAsia="zh-CN" w:bidi="ar-SA"/>
          <w14:ligatures w14:val="none"/>
        </w:rPr>
        <w:t>山岩水库、温公水库的水库管理范围</w:t>
      </w:r>
      <w:r>
        <w:rPr>
          <w:rFonts w:hint="default" w:ascii="Times New Roman" w:hAnsi="Times New Roman" w:eastAsia="仿宋_GB2312" w:cs="Times New Roman"/>
          <w:color w:val="auto"/>
          <w:kern w:val="2"/>
          <w:sz w:val="28"/>
          <w:szCs w:val="28"/>
          <w:lang w:val="en-US" w:eastAsia="zh-CN" w:bidi="ar-SA"/>
          <w14:ligatures w14:val="none"/>
        </w:rPr>
        <w:t>）、</w:t>
      </w:r>
      <w:r>
        <w:rPr>
          <w:rFonts w:hint="eastAsia" w:eastAsia="仿宋_GB2312" w:cs="Times New Roman"/>
          <w:color w:val="auto"/>
          <w:kern w:val="2"/>
          <w:sz w:val="28"/>
          <w:szCs w:val="28"/>
          <w:lang w:val="en-US" w:eastAsia="zh-CN" w:bidi="ar-SA"/>
          <w14:ligatures w14:val="none"/>
        </w:rPr>
        <w:t>新增22处县级以上</w:t>
      </w:r>
      <w:r>
        <w:rPr>
          <w:rFonts w:hint="default" w:ascii="Times New Roman" w:hAnsi="Times New Roman" w:eastAsia="仿宋_GB2312" w:cs="Times New Roman"/>
          <w:color w:val="auto"/>
          <w:kern w:val="2"/>
          <w:sz w:val="28"/>
          <w:szCs w:val="28"/>
          <w:lang w:val="en-US" w:eastAsia="zh-CN" w:bidi="ar-SA"/>
          <w14:ligatures w14:val="none"/>
        </w:rPr>
        <w:t>文物保护单位等。</w:t>
      </w:r>
    </w:p>
    <w:p w14:paraId="2E4FCC64">
      <w:pPr>
        <w:pStyle w:val="20"/>
        <w:keepNext w:val="0"/>
        <w:keepLines w:val="0"/>
        <w:pageBreakBefore w:val="0"/>
        <w:widowControl/>
        <w:kinsoku/>
        <w:wordWrap/>
        <w:overflowPunct/>
        <w:topLinePunct w:val="0"/>
        <w:autoSpaceDE/>
        <w:autoSpaceDN/>
        <w:bidi w:val="0"/>
        <w:adjustRightInd/>
        <w:snapToGrid/>
        <w:spacing w:line="360" w:lineRule="auto"/>
        <w:ind w:firstLine="694"/>
        <w:textAlignment w:val="auto"/>
        <w:rPr>
          <w:rFonts w:hint="eastAsia" w:eastAsia="仿宋_GB2312" w:cs="Times New Roman"/>
          <w:color w:val="auto"/>
          <w:kern w:val="2"/>
          <w:sz w:val="28"/>
          <w:szCs w:val="28"/>
          <w:lang w:val="en-US" w:eastAsia="zh-CN" w:bidi="ar-SA"/>
          <w14:ligatures w14:val="none"/>
        </w:rPr>
      </w:pPr>
      <w:r>
        <w:rPr>
          <w:rFonts w:hint="default" w:eastAsia="仿宋_GB2312" w:cs="Times New Roman"/>
          <w:color w:val="auto"/>
          <w:kern w:val="2"/>
          <w:sz w:val="28"/>
          <w:szCs w:val="28"/>
          <w:lang w:val="en-US" w:eastAsia="zh-CN" w:bidi="ar-SA"/>
          <w14:ligatures w14:val="none"/>
        </w:rPr>
        <w:t>‌优化整合‌：自然保护地经优化整合，</w:t>
      </w:r>
      <w:r>
        <w:rPr>
          <w:rFonts w:hint="eastAsia" w:eastAsia="仿宋_GB2312" w:cs="Times New Roman"/>
          <w:color w:val="auto"/>
          <w:kern w:val="2"/>
          <w:sz w:val="28"/>
          <w:szCs w:val="28"/>
          <w:lang w:val="en-US" w:eastAsia="zh-CN" w:bidi="ar-SA"/>
          <w14:ligatures w14:val="none"/>
        </w:rPr>
        <w:t>进一步理清了边界，</w:t>
      </w:r>
      <w:r>
        <w:rPr>
          <w:rFonts w:hint="default" w:eastAsia="仿宋_GB2312" w:cs="Times New Roman"/>
          <w:color w:val="auto"/>
          <w:kern w:val="2"/>
          <w:sz w:val="28"/>
          <w:szCs w:val="28"/>
          <w:lang w:val="en-US" w:eastAsia="zh-CN" w:bidi="ar-SA"/>
          <w14:ligatures w14:val="none"/>
        </w:rPr>
        <w:t>减少</w:t>
      </w:r>
      <w:r>
        <w:rPr>
          <w:rFonts w:hint="eastAsia" w:eastAsia="仿宋_GB2312" w:cs="Times New Roman"/>
          <w:color w:val="auto"/>
          <w:kern w:val="2"/>
          <w:sz w:val="28"/>
          <w:szCs w:val="28"/>
          <w:lang w:val="en-US" w:eastAsia="zh-CN" w:bidi="ar-SA"/>
          <w14:ligatures w14:val="none"/>
        </w:rPr>
        <w:t>了禁养区的空间重叠</w:t>
      </w:r>
      <w:r>
        <w:rPr>
          <w:rFonts w:hint="default" w:eastAsia="仿宋_GB2312" w:cs="Times New Roman"/>
          <w:color w:val="auto"/>
          <w:kern w:val="2"/>
          <w:sz w:val="28"/>
          <w:szCs w:val="28"/>
          <w:lang w:val="en-US" w:eastAsia="zh-CN" w:bidi="ar-SA"/>
          <w14:ligatures w14:val="none"/>
        </w:rPr>
        <w:t>。</w:t>
      </w:r>
    </w:p>
    <w:p w14:paraId="18CF344A">
      <w:pPr>
        <w:pStyle w:val="5"/>
        <w:keepNext w:val="0"/>
        <w:keepLines w:val="0"/>
        <w:pageBreakBefore w:val="0"/>
        <w:widowControl/>
        <w:kinsoku w:val="0"/>
        <w:wordWrap/>
        <w:overflowPunct/>
        <w:topLinePunct w:val="0"/>
        <w:autoSpaceDE w:val="0"/>
        <w:autoSpaceDN w:val="0"/>
        <w:bidi w:val="0"/>
        <w:adjustRightInd w:val="0"/>
        <w:snapToGrid w:val="0"/>
        <w:spacing w:line="360" w:lineRule="auto"/>
        <w:ind w:left="45" w:firstLine="560" w:firstLineChars="200"/>
        <w:textAlignment w:val="baseline"/>
        <w:outlineLvl w:val="9"/>
        <w:rPr>
          <w:rFonts w:hint="eastAsia" w:ascii="黑体" w:hAnsi="黑体" w:eastAsia="黑体" w:cs="黑体"/>
          <w:b/>
          <w:bCs/>
          <w:color w:val="auto"/>
          <w:spacing w:val="1"/>
          <w:sz w:val="30"/>
          <w:szCs w:val="30"/>
        </w:rPr>
      </w:pPr>
      <w:r>
        <w:rPr>
          <w:rFonts w:hint="default" w:ascii="Times New Roman" w:hAnsi="Times New Roman" w:eastAsia="仿宋_GB2312" w:cs="Times New Roman"/>
          <w:color w:val="auto"/>
          <w:kern w:val="2"/>
          <w:sz w:val="28"/>
          <w:szCs w:val="28"/>
          <w:lang w:val="en-US" w:eastAsia="zh-CN" w:bidi="ar-SA"/>
          <w14:ligatures w14:val="none"/>
        </w:rPr>
        <w:t>‌调整边界‌：根据</w:t>
      </w:r>
      <w:r>
        <w:rPr>
          <w:rFonts w:hint="eastAsia" w:ascii="Times New Roman" w:hAnsi="Times New Roman" w:eastAsia="仿宋_GB2312" w:cs="Times New Roman"/>
          <w:color w:val="auto"/>
          <w:kern w:val="2"/>
          <w:sz w:val="28"/>
          <w:szCs w:val="28"/>
          <w:lang w:val="en-US" w:eastAsia="zh-CN" w:bidi="ar-SA"/>
          <w14:ligatures w14:val="none"/>
        </w:rPr>
        <w:t>现行的</w:t>
      </w:r>
      <w:r>
        <w:rPr>
          <w:rFonts w:hint="default" w:ascii="Times New Roman" w:hAnsi="Times New Roman" w:eastAsia="仿宋_GB2312" w:cs="Times New Roman"/>
          <w:color w:val="auto"/>
          <w:kern w:val="2"/>
          <w:sz w:val="28"/>
          <w:szCs w:val="28"/>
          <w:lang w:val="en-US" w:eastAsia="zh-CN" w:bidi="ar-SA"/>
          <w14:ligatures w14:val="none"/>
        </w:rPr>
        <w:t>国土空间规划和环境保护要求，对</w:t>
      </w:r>
      <w:r>
        <w:rPr>
          <w:rFonts w:hint="eastAsia" w:ascii="Times New Roman" w:hAnsi="Times New Roman" w:eastAsia="仿宋_GB2312" w:cs="Times New Roman"/>
          <w:color w:val="auto"/>
          <w:kern w:val="2"/>
          <w:sz w:val="28"/>
          <w:szCs w:val="28"/>
          <w:lang w:val="en-US" w:eastAsia="zh-CN" w:bidi="ar-SA"/>
          <w14:ligatures w14:val="none"/>
        </w:rPr>
        <w:t>城镇开发边界、主要工业园区、永久基本农田保护区、公路及铁路建筑控制区等</w:t>
      </w:r>
      <w:r>
        <w:rPr>
          <w:rFonts w:hint="default" w:ascii="Times New Roman" w:hAnsi="Times New Roman" w:eastAsia="仿宋_GB2312" w:cs="Times New Roman"/>
          <w:color w:val="auto"/>
          <w:kern w:val="2"/>
          <w:sz w:val="28"/>
          <w:szCs w:val="28"/>
          <w:lang w:val="en-US" w:eastAsia="zh-CN" w:bidi="ar-SA"/>
          <w14:ligatures w14:val="none"/>
        </w:rPr>
        <w:t>禁养区的边界进行了</w:t>
      </w:r>
      <w:r>
        <w:rPr>
          <w:rFonts w:hint="eastAsia" w:ascii="Times New Roman" w:hAnsi="Times New Roman" w:eastAsia="仿宋_GB2312" w:cs="Times New Roman"/>
          <w:color w:val="auto"/>
          <w:kern w:val="2"/>
          <w:sz w:val="28"/>
          <w:szCs w:val="28"/>
          <w:lang w:val="en-US" w:eastAsia="zh-CN" w:bidi="ar-SA"/>
          <w14:ligatures w14:val="none"/>
        </w:rPr>
        <w:t>更新</w:t>
      </w:r>
      <w:r>
        <w:rPr>
          <w:rFonts w:hint="default" w:ascii="Times New Roman" w:hAnsi="Times New Roman" w:eastAsia="仿宋_GB2312" w:cs="Times New Roman"/>
          <w:color w:val="auto"/>
          <w:kern w:val="2"/>
          <w:sz w:val="28"/>
          <w:szCs w:val="28"/>
          <w:lang w:val="en-US" w:eastAsia="zh-CN" w:bidi="ar-SA"/>
          <w14:ligatures w14:val="none"/>
        </w:rPr>
        <w:t>调整。</w:t>
      </w:r>
      <w:r>
        <w:rPr>
          <w:rFonts w:hint="eastAsia" w:ascii="Times New Roman" w:hAnsi="Times New Roman" w:eastAsia="仿宋_GB2312" w:cs="Times New Roman"/>
          <w:color w:val="auto"/>
          <w:kern w:val="2"/>
          <w:sz w:val="28"/>
          <w:szCs w:val="28"/>
          <w:lang w:val="en-US" w:eastAsia="zh-CN" w:bidi="ar-SA"/>
          <w14:ligatures w14:val="none"/>
        </w:rPr>
        <w:t>同时畲江镇饮用水源保护区涉及调整，相应</w:t>
      </w:r>
      <w:r>
        <w:rPr>
          <w:rFonts w:hint="default" w:ascii="Times New Roman" w:hAnsi="Times New Roman" w:eastAsia="仿宋_GB2312" w:cs="Times New Roman"/>
          <w:color w:val="auto"/>
          <w:kern w:val="2"/>
          <w:sz w:val="28"/>
          <w:szCs w:val="28"/>
          <w:lang w:val="en-US" w:eastAsia="zh-CN" w:bidi="ar-SA"/>
          <w14:ligatures w14:val="none"/>
        </w:rPr>
        <w:t>禁养区的边界</w:t>
      </w:r>
      <w:r>
        <w:rPr>
          <w:rFonts w:hint="eastAsia" w:ascii="Times New Roman" w:hAnsi="Times New Roman" w:eastAsia="仿宋_GB2312" w:cs="Times New Roman"/>
          <w:color w:val="auto"/>
          <w:kern w:val="2"/>
          <w:sz w:val="28"/>
          <w:szCs w:val="28"/>
          <w:lang w:val="en-US" w:eastAsia="zh-CN" w:bidi="ar-SA"/>
          <w14:ligatures w14:val="none"/>
        </w:rPr>
        <w:t>也</w:t>
      </w:r>
      <w:r>
        <w:rPr>
          <w:rFonts w:hint="default" w:ascii="Times New Roman" w:hAnsi="Times New Roman" w:eastAsia="仿宋_GB2312" w:cs="Times New Roman"/>
          <w:color w:val="auto"/>
          <w:kern w:val="2"/>
          <w:sz w:val="28"/>
          <w:szCs w:val="28"/>
          <w:lang w:val="en-US" w:eastAsia="zh-CN" w:bidi="ar-SA"/>
          <w14:ligatures w14:val="none"/>
        </w:rPr>
        <w:t>进行</w:t>
      </w:r>
      <w:r>
        <w:rPr>
          <w:rFonts w:hint="eastAsia" w:eastAsia="仿宋_GB2312" w:cs="Times New Roman"/>
          <w:color w:val="auto"/>
          <w:kern w:val="2"/>
          <w:sz w:val="28"/>
          <w:szCs w:val="28"/>
          <w:lang w:val="en-US" w:eastAsia="zh-CN" w:bidi="ar-SA"/>
          <w14:ligatures w14:val="none"/>
        </w:rPr>
        <w:t>了更新</w:t>
      </w:r>
      <w:r>
        <w:rPr>
          <w:rFonts w:hint="default" w:ascii="Times New Roman" w:hAnsi="Times New Roman" w:eastAsia="仿宋_GB2312" w:cs="Times New Roman"/>
          <w:color w:val="auto"/>
          <w:kern w:val="2"/>
          <w:sz w:val="28"/>
          <w:szCs w:val="28"/>
          <w:lang w:val="en-US" w:eastAsia="zh-CN" w:bidi="ar-SA"/>
          <w14:ligatures w14:val="none"/>
        </w:rPr>
        <w:t>调整</w:t>
      </w:r>
      <w:r>
        <w:rPr>
          <w:rFonts w:hint="eastAsia" w:eastAsia="仿宋_GB2312" w:cs="Times New Roman"/>
          <w:color w:val="auto"/>
          <w:kern w:val="2"/>
          <w:sz w:val="28"/>
          <w:szCs w:val="28"/>
          <w:lang w:val="en-US" w:eastAsia="zh-CN" w:bidi="ar-SA"/>
          <w14:ligatures w14:val="none"/>
        </w:rPr>
        <w:t>。</w:t>
      </w:r>
    </w:p>
    <w:p w14:paraId="6862DA13">
      <w:pPr>
        <w:pStyle w:val="5"/>
        <w:keepNext w:val="0"/>
        <w:keepLines w:val="0"/>
        <w:pageBreakBefore w:val="0"/>
        <w:widowControl/>
        <w:overflowPunct/>
        <w:bidi w:val="0"/>
        <w:adjustRightInd w:val="0"/>
        <w:snapToGrid w:val="0"/>
        <w:spacing w:line="360" w:lineRule="auto"/>
        <w:ind w:left="44"/>
        <w:textAlignment w:val="baseline"/>
        <w:outlineLvl w:val="0"/>
        <w:rPr>
          <w:rFonts w:hint="eastAsia" w:ascii="黑体" w:hAnsi="黑体" w:eastAsia="黑体" w:cs="黑体"/>
          <w:b/>
          <w:bCs/>
          <w:snapToGrid w:val="0"/>
          <w:color w:val="auto"/>
          <w:spacing w:val="1"/>
          <w:kern w:val="0"/>
          <w:sz w:val="30"/>
          <w:szCs w:val="30"/>
          <w:lang w:val="en-US" w:eastAsia="zh-CN" w:bidi="ar"/>
        </w:rPr>
      </w:pPr>
      <w:bookmarkStart w:id="5" w:name="_Toc29354"/>
      <w:r>
        <w:rPr>
          <w:rFonts w:hint="eastAsia" w:ascii="黑体" w:hAnsi="黑体" w:eastAsia="黑体" w:cs="黑体"/>
          <w:b/>
          <w:bCs/>
          <w:snapToGrid w:val="0"/>
          <w:color w:val="auto"/>
          <w:spacing w:val="1"/>
          <w:kern w:val="0"/>
          <w:sz w:val="30"/>
          <w:szCs w:val="30"/>
          <w:lang w:val="en-US" w:eastAsia="zh-CN" w:bidi="ar"/>
        </w:rPr>
        <w:t>六、畜禽养殖概况</w:t>
      </w:r>
      <w:bookmarkEnd w:id="5"/>
    </w:p>
    <w:p w14:paraId="5DEE125A">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兴宁市畜禽养殖业以生猪、肉鸡和鸽养殖为主，近年来经过不断推广先进科学养殖技术，养殖场（户）不断改进建设，完善环保设施，建设标准化养殖场，畜牧业取得长足的发展。</w:t>
      </w:r>
    </w:p>
    <w:p w14:paraId="0E684FC8">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根据有关部门的数据统计，截至2025年初，全市生猪存栏268390头，家禽存栏6454871羽，其中肉鸡存栏4259871羽、鸭存栏367329羽，羊存栏14116头，牛存栏4686头，其中奶牛存栏451头，鸽存栏约3965300羽。2024年生猪出栏量517481头，家禽出栏量15525316羽，其中肉鸡出栏量12939934羽、鸭出栏量2133067羽，肉羊出栏量17207头，肉牛出栏量2964头，肉鸽出栏量18540212羽。</w:t>
      </w:r>
    </w:p>
    <w:p w14:paraId="13ADB6DF">
      <w:pPr>
        <w:pStyle w:val="5"/>
        <w:keepNext w:val="0"/>
        <w:keepLines w:val="0"/>
        <w:pageBreakBefore w:val="0"/>
        <w:widowControl/>
        <w:overflowPunct/>
        <w:bidi w:val="0"/>
        <w:adjustRightInd w:val="0"/>
        <w:snapToGrid w:val="0"/>
        <w:spacing w:line="360" w:lineRule="auto"/>
        <w:ind w:left="44"/>
        <w:textAlignment w:val="baseline"/>
        <w:outlineLvl w:val="0"/>
        <w:rPr>
          <w:rFonts w:hint="eastAsia" w:ascii="黑体" w:hAnsi="黑体" w:eastAsia="黑体" w:cs="黑体"/>
          <w:b/>
          <w:bCs/>
          <w:snapToGrid w:val="0"/>
          <w:color w:val="auto"/>
          <w:spacing w:val="1"/>
          <w:kern w:val="0"/>
          <w:sz w:val="30"/>
          <w:szCs w:val="30"/>
          <w:lang w:val="en-US" w:eastAsia="zh-CN" w:bidi="ar"/>
        </w:rPr>
      </w:pPr>
      <w:bookmarkStart w:id="6" w:name="_Toc29827"/>
      <w:r>
        <w:rPr>
          <w:rFonts w:hint="eastAsia" w:ascii="黑体" w:hAnsi="黑体" w:eastAsia="黑体" w:cs="黑体"/>
          <w:b/>
          <w:bCs/>
          <w:snapToGrid w:val="0"/>
          <w:color w:val="auto"/>
          <w:spacing w:val="1"/>
          <w:kern w:val="0"/>
          <w:sz w:val="30"/>
          <w:szCs w:val="30"/>
          <w:lang w:val="en-US" w:eastAsia="zh-CN" w:bidi="ar"/>
        </w:rPr>
        <w:t>七、管理要求</w:t>
      </w:r>
      <w:bookmarkEnd w:id="6"/>
    </w:p>
    <w:p w14:paraId="61527FC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（一）禁养区范围内禁止建设畜禽养殖场（小区）和养殖专业户。</w:t>
      </w:r>
    </w:p>
    <w:p w14:paraId="1E1549DB">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二）禁养区范围内在禁养区重新划定前取得合法手续的畜禽养殖场（小区）和养殖专业户，由市人民政府依法组织实施关闭、转产或异地搬迁，并在异地搬迁时可给予适当扶持。各镇（街）人民政府要健全机制并加强对已清退关闭畜禽养殖场（小区）和养殖专业户的巡查，坚决杜绝复养，严防禁养区内畜禽养殖业反弹回潮。</w:t>
      </w:r>
    </w:p>
    <w:p w14:paraId="1755DD46">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（三）新（扩）建养殖场（小区）和养殖专业户应当不在禁养区范围，且必须遵守国家、地方相关法律法规要求，并符合土地利用总体规划、城乡规划、防疫条件、环境保护、公共卫生等要求。</w:t>
      </w:r>
    </w:p>
    <w:p w14:paraId="46A640CF">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四）农业农村部门负责畜禽养殖废弃物综合利用的指导和服务。生态环境部门负责对畜禽养殖污染防治实施统一监督管理。自然资源部门负责畜禽养殖用地情况核实和对已办理设施农用地地块的监督。各镇（街）人民政府负责本辖区内畜禽养殖布局规划和规范养殖监督管理工作。相关行政处罚权已调整由镇（街）实施的，由属地镇（街）综合行政执法部门实施。</w:t>
      </w:r>
    </w:p>
    <w:p w14:paraId="09FB1091">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（五）各镇（街）人民政府应当指导各村（社区）民委员会将畜禽散养户纳入村规（社区）民约管理，保护农村（社区）生态环境，保障农村（社区）人居环境干净、整洁、有序。</w:t>
      </w:r>
    </w:p>
    <w:p w14:paraId="472FFAE1">
      <w:pPr>
        <w:pStyle w:val="5"/>
        <w:keepNext w:val="0"/>
        <w:keepLines w:val="0"/>
        <w:pageBreakBefore w:val="0"/>
        <w:widowControl/>
        <w:overflowPunct/>
        <w:bidi w:val="0"/>
        <w:adjustRightInd w:val="0"/>
        <w:snapToGrid w:val="0"/>
        <w:spacing w:line="360" w:lineRule="auto"/>
        <w:ind w:left="34" w:right="272" w:firstLine="674"/>
        <w:jc w:val="both"/>
        <w:textAlignment w:val="baseline"/>
        <w:rPr>
          <w:color w:val="auto"/>
        </w:rPr>
      </w:pPr>
      <w:r>
        <w:rPr>
          <w:rFonts w:hint="eastAsia" w:ascii="Times New Roman" w:hAnsi="Times New Roman" w:eastAsia="仿宋_GB2312" w:cs="Times New Roman"/>
          <w:snapToGrid/>
          <w:color w:val="auto"/>
          <w:kern w:val="2"/>
          <w:sz w:val="28"/>
          <w:szCs w:val="22"/>
          <w:lang w:val="en-US" w:eastAsia="zh-CN" w:bidi="ar-SA"/>
        </w:rPr>
        <w:t>（六）农村（社区）集体经济组织或村民（社区居民）委员会应当加强本村（社区）集体土地的经营、管理。属畜禽禁养区范围的，不得租赁、流转用于畜禽养殖业。</w:t>
      </w:r>
    </w:p>
    <w:p w14:paraId="2DE970C0">
      <w:pPr>
        <w:pStyle w:val="5"/>
        <w:keepNext w:val="0"/>
        <w:keepLines w:val="0"/>
        <w:pageBreakBefore w:val="0"/>
        <w:widowControl/>
        <w:overflowPunct/>
        <w:bidi w:val="0"/>
        <w:adjustRightInd w:val="0"/>
        <w:snapToGrid w:val="0"/>
        <w:spacing w:line="360" w:lineRule="auto"/>
        <w:ind w:left="44"/>
        <w:textAlignment w:val="baseline"/>
        <w:outlineLvl w:val="0"/>
        <w:rPr>
          <w:rFonts w:hint="eastAsia" w:ascii="黑体" w:hAnsi="黑体" w:eastAsia="黑体" w:cs="黑体"/>
          <w:b/>
          <w:bCs/>
          <w:color w:val="auto"/>
          <w:spacing w:val="1"/>
          <w:sz w:val="30"/>
          <w:szCs w:val="30"/>
        </w:rPr>
      </w:pPr>
      <w:bookmarkStart w:id="7" w:name="_Toc16781"/>
      <w:r>
        <w:rPr>
          <w:rFonts w:hint="eastAsia" w:ascii="黑体" w:hAnsi="黑体" w:eastAsia="黑体" w:cs="黑体"/>
          <w:b/>
          <w:bCs/>
          <w:color w:val="auto"/>
          <w:spacing w:val="1"/>
          <w:sz w:val="30"/>
          <w:szCs w:val="30"/>
          <w:lang w:eastAsia="zh-CN"/>
        </w:rPr>
        <w:t>八</w:t>
      </w:r>
      <w:r>
        <w:rPr>
          <w:rFonts w:hint="eastAsia" w:ascii="黑体" w:hAnsi="黑体" w:eastAsia="黑体" w:cs="黑体"/>
          <w:b/>
          <w:bCs/>
          <w:color w:val="auto"/>
          <w:spacing w:val="1"/>
          <w:sz w:val="30"/>
          <w:szCs w:val="30"/>
        </w:rPr>
        <w:t>、保障措施</w:t>
      </w:r>
      <w:bookmarkEnd w:id="7"/>
    </w:p>
    <w:p w14:paraId="2EFA5BAC">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（一）强化组织领导。市政府成立由农业农村、生态环境、发改、财政、住房城乡建设、林业、自然资源、公安等部门组成的畜禽养殖禁养区清理整顿工作领导小组，各镇（街）也要成立相应的领导小组。</w:t>
      </w:r>
    </w:p>
    <w:p w14:paraId="6A97AAFD">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（二）落实工作责任，严格执法监管。各镇（街）、各部门要严格贯彻执行《畜禽规模养殖污染防治条例》等法律法规，各司其职、各负其责，密切配合，通力合作，做好畜禽养殖禁养区的管理工作。</w:t>
      </w:r>
    </w:p>
    <w:p w14:paraId="693498CE">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（三）加强宣传引导。各镇（街）、各部门要充分利用电视、报刊、网络等多种媒体向全社会广泛开展多层次、多形式地宣传禁养区范围和管理要求，为推进畜禽养殖污染防治营造良好的舆论氛围。</w:t>
      </w:r>
    </w:p>
    <w:p w14:paraId="3D850A0F">
      <w:pPr>
        <w:pStyle w:val="5"/>
        <w:keepNext w:val="0"/>
        <w:keepLines w:val="0"/>
        <w:pageBreakBefore w:val="0"/>
        <w:widowControl/>
        <w:overflowPunct/>
        <w:bidi w:val="0"/>
        <w:adjustRightInd w:val="0"/>
        <w:snapToGrid w:val="0"/>
        <w:spacing w:line="360" w:lineRule="auto"/>
        <w:ind w:left="44"/>
        <w:textAlignment w:val="baseline"/>
        <w:outlineLvl w:val="0"/>
        <w:rPr>
          <w:rFonts w:hint="eastAsia" w:ascii="黑体" w:hAnsi="黑体" w:eastAsia="黑体" w:cs="黑体"/>
          <w:b/>
          <w:bCs/>
          <w:color w:val="auto"/>
          <w:spacing w:val="1"/>
          <w:sz w:val="30"/>
          <w:szCs w:val="30"/>
        </w:rPr>
      </w:pPr>
      <w:bookmarkStart w:id="8" w:name="_Toc30370"/>
      <w:r>
        <w:rPr>
          <w:rFonts w:hint="eastAsia" w:ascii="黑体" w:hAnsi="黑体" w:eastAsia="黑体" w:cs="黑体"/>
          <w:b/>
          <w:bCs/>
          <w:color w:val="auto"/>
          <w:spacing w:val="1"/>
          <w:sz w:val="30"/>
          <w:szCs w:val="30"/>
          <w:lang w:eastAsia="zh-CN"/>
        </w:rPr>
        <w:t>九</w:t>
      </w:r>
      <w:r>
        <w:rPr>
          <w:rFonts w:hint="eastAsia" w:ascii="黑体" w:hAnsi="黑体" w:eastAsia="黑体" w:cs="黑体"/>
          <w:b/>
          <w:bCs/>
          <w:color w:val="auto"/>
          <w:spacing w:val="1"/>
          <w:sz w:val="30"/>
          <w:szCs w:val="30"/>
        </w:rPr>
        <w:t>、其他说明</w:t>
      </w:r>
      <w:bookmarkEnd w:id="8"/>
    </w:p>
    <w:p w14:paraId="287F0D5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（一）本划分方案自发布之日起实施，有效期五年。《兴宁市畜禽养殖禁养区划分修订案（试行）》（兴市府办〔2020〕1号）同时废止。</w:t>
      </w:r>
    </w:p>
    <w:p w14:paraId="5BA7B6D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（二）本划分方案发布后，国家、省发布或修订的法律法规对禁养区有新规定的，按新规定执行。</w:t>
      </w:r>
    </w:p>
    <w:p w14:paraId="1BA6096F">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（三）术语与定义</w:t>
      </w:r>
    </w:p>
    <w:p w14:paraId="3A348208">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畜禽：包括猪、牛、鸡、羊等主要畜禽，其他品种动物由兴宁市依据其规模养殖的环境影响确定。</w:t>
      </w:r>
    </w:p>
    <w:p w14:paraId="52605B48">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禁养区：指兴宁市人民政府依法划定的禁止建设养殖场或禁止建设有污染物排放的养殖场的区域。养殖场是指畜禽养殖规模场、养殖小区、养殖专业户。</w:t>
      </w:r>
    </w:p>
    <w:p w14:paraId="642A6000">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非禁养区：非禁养区是指本辖区内除禁养区以外的区域。</w:t>
      </w:r>
    </w:p>
    <w:p w14:paraId="60001975">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禁养对象：包括畜禽养殖场、养殖小区、养殖专业户。畜禽养殖场、养殖小区和养殖专业户依据《广东省农业农村厅种畜禽生产经营许可证发放和畜禽养殖备案办法》划定标准，具体如下：</w:t>
      </w:r>
    </w:p>
    <w:p w14:paraId="72080A6C">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b/>
          <w:bCs/>
          <w:snapToGrid/>
          <w:color w:val="auto"/>
          <w:kern w:val="2"/>
          <w:sz w:val="28"/>
          <w:szCs w:val="22"/>
          <w:lang w:val="en-US" w:eastAsia="zh-CN" w:bidi="ar-SA"/>
        </w:rPr>
        <w:t>1、畜禽养殖场、养殖小区规模</w:t>
      </w:r>
    </w:p>
    <w:p w14:paraId="2704B89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（1）生猪年出栏500头或存栏300头以上；</w:t>
      </w:r>
    </w:p>
    <w:p w14:paraId="735F833A">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（2）肉鸡年出栏10000只或存栏5000只以上；</w:t>
      </w:r>
    </w:p>
    <w:p w14:paraId="3466C614">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（3）蛋鸡存栏2000只以上；</w:t>
      </w:r>
    </w:p>
    <w:p w14:paraId="77E87FB9">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（4）奶牛存栏100头以上；</w:t>
      </w:r>
    </w:p>
    <w:p w14:paraId="6A09659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（5）肉牛年出栏50头或存栏100头以上；</w:t>
      </w:r>
    </w:p>
    <w:p w14:paraId="4C3FCD8B">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（6）肉羊年出栏100只或存栏100只以上；</w:t>
      </w:r>
    </w:p>
    <w:p w14:paraId="63370822">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（7）肉鸭年出栏10000只或存栏5000只以上；</w:t>
      </w:r>
    </w:p>
    <w:p w14:paraId="56CB9D4E">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（8）肉鹅年出栏5000只或存栏2500只以上；</w:t>
      </w:r>
    </w:p>
    <w:p w14:paraId="47D5EAA8">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（9）肉鸽年出栏50000只或存栏10000只以上；</w:t>
      </w:r>
    </w:p>
    <w:p w14:paraId="50C64ECA">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（10）肉兔年出栏2000只或存栏1000只以上；</w:t>
      </w:r>
    </w:p>
    <w:p w14:paraId="59B7A5B3">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（11）蜜蜂养殖200群以上；</w:t>
      </w:r>
    </w:p>
    <w:p w14:paraId="398D743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（12）其他畜禽的规模标准按照有关规定执行。</w:t>
      </w:r>
    </w:p>
    <w:p w14:paraId="61E757E0">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b/>
          <w:bCs/>
          <w:snapToGrid/>
          <w:color w:val="auto"/>
          <w:kern w:val="2"/>
          <w:sz w:val="28"/>
          <w:szCs w:val="22"/>
          <w:lang w:val="en-US" w:eastAsia="zh-CN" w:bidi="ar-SA"/>
        </w:rPr>
        <w:t>2、养殖专业户规模</w:t>
      </w:r>
    </w:p>
    <w:p w14:paraId="3D5DE132">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（1）生猪年出栏50至499头或存栏30至299头；</w:t>
      </w:r>
    </w:p>
    <w:p w14:paraId="397F29B9">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（2）肉鸡年出栏2000至9999只或存栏1000至4999只；</w:t>
      </w:r>
    </w:p>
    <w:p w14:paraId="3E45FE95">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（3）蛋鸡存栏500至1999只；</w:t>
      </w:r>
    </w:p>
    <w:p w14:paraId="165E4A62">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（4）奶牛存栏5至99头；</w:t>
      </w:r>
    </w:p>
    <w:p w14:paraId="40F9A3B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（5）肉牛年出栏10至49头或存栏20至99头；</w:t>
      </w:r>
    </w:p>
    <w:p w14:paraId="3A712E20">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（6）肉羊年出栏30至99只或存栏30至99只；</w:t>
      </w:r>
    </w:p>
    <w:p w14:paraId="046D2E99">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（7）肉鸭年出栏2000至9999只或存栏1000至4999只；</w:t>
      </w:r>
    </w:p>
    <w:p w14:paraId="6E208552">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（8）肉鹅年出栏1000至4999只或存栏500至2499只；</w:t>
      </w:r>
    </w:p>
    <w:p w14:paraId="2770A746">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（9）肉鸽年出栏10000至49999只或存栏2000至9999只；</w:t>
      </w:r>
    </w:p>
    <w:p w14:paraId="14795173">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（10）肉兔年出栏500至1999只或存栏250至999只；</w:t>
      </w:r>
    </w:p>
    <w:p w14:paraId="201BB1DE">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（11）蜜蜂养殖100至199群；</w:t>
      </w:r>
    </w:p>
    <w:p w14:paraId="2A24BF27">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t>（12）其他畜禽的规模标准按照有关规定执行。</w:t>
      </w:r>
    </w:p>
    <w:p w14:paraId="12AA4C02">
      <w:pPr>
        <w:pStyle w:val="5"/>
        <w:keepNext w:val="0"/>
        <w:keepLines w:val="0"/>
        <w:pageBreakBefore w:val="0"/>
        <w:widowControl/>
        <w:overflowPunct/>
        <w:bidi w:val="0"/>
        <w:adjustRightInd w:val="0"/>
        <w:snapToGrid w:val="0"/>
        <w:spacing w:line="360" w:lineRule="auto"/>
        <w:ind w:left="34" w:right="272" w:firstLine="674"/>
        <w:jc w:val="both"/>
        <w:textAlignment w:val="baseline"/>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b/>
          <w:bCs/>
          <w:snapToGrid/>
          <w:color w:val="auto"/>
          <w:kern w:val="2"/>
          <w:sz w:val="28"/>
          <w:szCs w:val="22"/>
          <w:lang w:val="en-US" w:eastAsia="zh-CN" w:bidi="ar-SA"/>
        </w:rPr>
        <w:t>3、散养户规模</w:t>
      </w:r>
    </w:p>
    <w:p w14:paraId="70571C60">
      <w:pPr>
        <w:pStyle w:val="5"/>
        <w:keepNext w:val="0"/>
        <w:keepLines w:val="0"/>
        <w:pageBreakBefore w:val="0"/>
        <w:widowControl/>
        <w:overflowPunct/>
        <w:bidi w:val="0"/>
        <w:adjustRightInd w:val="0"/>
        <w:snapToGrid w:val="0"/>
        <w:spacing w:line="360" w:lineRule="auto"/>
        <w:ind w:left="34" w:right="272" w:firstLine="674"/>
        <w:jc w:val="both"/>
        <w:textAlignment w:val="baseline"/>
        <w:rPr>
          <w:color w:val="auto"/>
        </w:rPr>
      </w:pPr>
      <w:r>
        <w:rPr>
          <w:rFonts w:hint="eastAsia" w:ascii="Times New Roman" w:hAnsi="Times New Roman" w:eastAsia="仿宋_GB2312" w:cs="Times New Roman"/>
          <w:snapToGrid/>
          <w:color w:val="auto"/>
          <w:kern w:val="2"/>
          <w:sz w:val="28"/>
          <w:szCs w:val="22"/>
          <w:lang w:val="en-US" w:eastAsia="zh-CN" w:bidi="ar-SA"/>
        </w:rPr>
        <w:t>规模小于养殖专业户的。</w:t>
      </w:r>
    </w:p>
    <w:p w14:paraId="709F35B6">
      <w:pPr>
        <w:spacing w:line="342" w:lineRule="auto"/>
        <w:rPr>
          <w:color w:val="auto"/>
        </w:rPr>
        <w:sectPr>
          <w:footerReference r:id="rId7" w:type="default"/>
          <w:pgSz w:w="11907" w:h="16839"/>
          <w:pgMar w:top="1431" w:right="1785" w:bottom="1377" w:left="1785" w:header="0" w:footer="1214" w:gutter="0"/>
          <w:pgBorders>
            <w:top w:val="none" w:sz="0" w:space="0"/>
            <w:left w:val="none" w:sz="0" w:space="0"/>
            <w:bottom w:val="none" w:sz="0" w:space="0"/>
            <w:right w:val="none" w:sz="0" w:space="0"/>
          </w:pgBorders>
          <w:pgNumType w:fmt="decimal" w:start="1"/>
          <w:cols w:space="720" w:num="1"/>
        </w:sectPr>
      </w:pPr>
    </w:p>
    <w:p w14:paraId="398662CF">
      <w:pPr>
        <w:pStyle w:val="5"/>
        <w:spacing w:before="101" w:line="226" w:lineRule="auto"/>
        <w:ind w:left="161"/>
        <w:outlineLvl w:val="0"/>
        <w:rPr>
          <w:color w:val="auto"/>
        </w:rPr>
      </w:pPr>
      <w:bookmarkStart w:id="9" w:name="_Toc1784"/>
      <w:r>
        <w:rPr>
          <w:rFonts w:hint="eastAsia" w:ascii="Times New Roman" w:hAnsi="Times New Roman" w:eastAsia="仿宋_GB2312" w:cs="Times New Roman"/>
          <w:snapToGrid/>
          <w:color w:val="auto"/>
          <w:kern w:val="2"/>
          <w:sz w:val="28"/>
          <w:szCs w:val="22"/>
          <w:lang w:val="en-US" w:eastAsia="zh-CN" w:bidi="ar-SA"/>
        </w:rPr>
        <w:t>附表1  兴宁市饮用水水源保护区</w:t>
      </w:r>
      <w:bookmarkEnd w:id="9"/>
    </w:p>
    <w:p w14:paraId="037D233C">
      <w:pPr>
        <w:spacing w:line="144" w:lineRule="auto"/>
        <w:rPr>
          <w:rFonts w:ascii="Arial"/>
          <w:color w:val="auto"/>
          <w:sz w:val="2"/>
        </w:rPr>
      </w:pPr>
    </w:p>
    <w:tbl>
      <w:tblPr>
        <w:tblStyle w:val="1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23"/>
        <w:gridCol w:w="954"/>
        <w:gridCol w:w="1135"/>
        <w:gridCol w:w="1330"/>
        <w:gridCol w:w="4361"/>
        <w:gridCol w:w="4628"/>
        <w:gridCol w:w="1387"/>
      </w:tblGrid>
      <w:tr w14:paraId="6E27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83" w:type="pct"/>
            <w:shd w:val="clear" w:color="auto" w:fill="auto"/>
            <w:vAlign w:val="center"/>
          </w:tcPr>
          <w:p w14:paraId="19EECEC5">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序号</w:t>
            </w:r>
          </w:p>
        </w:tc>
        <w:tc>
          <w:tcPr>
            <w:tcW w:w="333" w:type="pct"/>
            <w:shd w:val="clear" w:color="auto" w:fill="auto"/>
            <w:vAlign w:val="center"/>
          </w:tcPr>
          <w:p w14:paraId="68752EFE">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保护区所在地</w:t>
            </w:r>
          </w:p>
        </w:tc>
        <w:tc>
          <w:tcPr>
            <w:tcW w:w="860" w:type="pct"/>
            <w:gridSpan w:val="2"/>
            <w:shd w:val="clear" w:color="auto" w:fill="auto"/>
            <w:vAlign w:val="center"/>
          </w:tcPr>
          <w:p w14:paraId="3D87DB97">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保护区名称和级别</w:t>
            </w:r>
          </w:p>
        </w:tc>
        <w:tc>
          <w:tcPr>
            <w:tcW w:w="1522" w:type="pct"/>
            <w:shd w:val="clear" w:color="auto" w:fill="auto"/>
            <w:vAlign w:val="center"/>
          </w:tcPr>
          <w:p w14:paraId="3F75F130">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水域保护范围</w:t>
            </w:r>
          </w:p>
        </w:tc>
        <w:tc>
          <w:tcPr>
            <w:tcW w:w="1615" w:type="pct"/>
            <w:shd w:val="clear" w:color="auto" w:fill="auto"/>
            <w:vAlign w:val="center"/>
          </w:tcPr>
          <w:p w14:paraId="7D927757">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陆域保护范围</w:t>
            </w:r>
          </w:p>
        </w:tc>
        <w:tc>
          <w:tcPr>
            <w:tcW w:w="484" w:type="pct"/>
            <w:shd w:val="clear" w:color="auto" w:fill="auto"/>
            <w:vAlign w:val="center"/>
          </w:tcPr>
          <w:p w14:paraId="73477DBA">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批复文件</w:t>
            </w:r>
          </w:p>
        </w:tc>
      </w:tr>
      <w:tr w14:paraId="4F1E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546E53A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333" w:type="pct"/>
            <w:vMerge w:val="restart"/>
            <w:shd w:val="clear" w:color="auto" w:fill="auto"/>
            <w:vAlign w:val="center"/>
          </w:tcPr>
          <w:p w14:paraId="3D74B9B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宁新街道办事处</w:t>
            </w:r>
          </w:p>
        </w:tc>
        <w:tc>
          <w:tcPr>
            <w:tcW w:w="396" w:type="pct"/>
            <w:vMerge w:val="restart"/>
            <w:shd w:val="clear" w:color="auto" w:fill="auto"/>
            <w:vAlign w:val="center"/>
          </w:tcPr>
          <w:p w14:paraId="6BAD9CE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和山岩水库饮用水源保护区</w:t>
            </w:r>
          </w:p>
        </w:tc>
        <w:tc>
          <w:tcPr>
            <w:tcW w:w="463" w:type="pct"/>
            <w:shd w:val="clear" w:color="auto" w:fill="auto"/>
            <w:vAlign w:val="center"/>
          </w:tcPr>
          <w:p w14:paraId="620F2B08">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7AEA96B0">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和山岩水库正常水位线以下的全部水域。</w:t>
            </w:r>
          </w:p>
        </w:tc>
        <w:tc>
          <w:tcPr>
            <w:tcW w:w="1615" w:type="pct"/>
            <w:shd w:val="clear" w:color="auto" w:fill="auto"/>
            <w:vAlign w:val="center"/>
          </w:tcPr>
          <w:p w14:paraId="60ECB8D3">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和山岩水库取水口正常水位线以上100米范围内的陆域范围。</w:t>
            </w:r>
          </w:p>
        </w:tc>
        <w:tc>
          <w:tcPr>
            <w:tcW w:w="484" w:type="pct"/>
            <w:vMerge w:val="restart"/>
            <w:shd w:val="clear" w:color="auto" w:fill="auto"/>
            <w:vAlign w:val="center"/>
          </w:tcPr>
          <w:p w14:paraId="142DAF0C">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30D53252">
            <w:pPr>
              <w:keepNext w:val="0"/>
              <w:keepLines w:val="0"/>
              <w:widowControl/>
              <w:suppressLineNumbers w:val="0"/>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5E2C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66AFC34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554AF004">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04369AE8">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0D85D123">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3401FFEC">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491BC0F9">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1CFB02EC">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p>
        </w:tc>
      </w:tr>
      <w:tr w14:paraId="67834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1" w:hRule="atLeast"/>
          <w:jc w:val="center"/>
        </w:trPr>
        <w:tc>
          <w:tcPr>
            <w:tcW w:w="183" w:type="pct"/>
            <w:vMerge w:val="restart"/>
            <w:shd w:val="clear" w:color="auto" w:fill="auto"/>
            <w:vAlign w:val="center"/>
          </w:tcPr>
          <w:p w14:paraId="2E96D5E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333" w:type="pct"/>
            <w:vMerge w:val="restart"/>
            <w:shd w:val="clear" w:color="auto" w:fill="auto"/>
            <w:vAlign w:val="center"/>
          </w:tcPr>
          <w:p w14:paraId="526B658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黄槐镇</w:t>
            </w:r>
          </w:p>
        </w:tc>
        <w:tc>
          <w:tcPr>
            <w:tcW w:w="396" w:type="pct"/>
            <w:vMerge w:val="restart"/>
            <w:shd w:val="clear" w:color="auto" w:fill="auto"/>
            <w:vAlign w:val="center"/>
          </w:tcPr>
          <w:p w14:paraId="0EAA522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黄溪村班基坪水库饮用水源保护区</w:t>
            </w:r>
          </w:p>
        </w:tc>
        <w:tc>
          <w:tcPr>
            <w:tcW w:w="463" w:type="pct"/>
            <w:shd w:val="clear" w:color="auto" w:fill="auto"/>
            <w:vAlign w:val="center"/>
          </w:tcPr>
          <w:p w14:paraId="2A84462C">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330894F1">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黄溪村班基坪水库正常水位线以下的全部水域。</w:t>
            </w:r>
          </w:p>
        </w:tc>
        <w:tc>
          <w:tcPr>
            <w:tcW w:w="1615" w:type="pct"/>
            <w:shd w:val="clear" w:color="auto" w:fill="auto"/>
            <w:vAlign w:val="center"/>
          </w:tcPr>
          <w:p w14:paraId="378DB525">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黄溪村班基坪水库取水口正常水位线以上陆域200米的陆域范围或至流域分水岭。</w:t>
            </w:r>
          </w:p>
        </w:tc>
        <w:tc>
          <w:tcPr>
            <w:tcW w:w="484" w:type="pct"/>
            <w:vMerge w:val="restart"/>
            <w:shd w:val="clear" w:color="auto" w:fill="auto"/>
            <w:vAlign w:val="center"/>
          </w:tcPr>
          <w:p w14:paraId="36DE6472">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280EBB89">
            <w:pPr>
              <w:keepNext w:val="0"/>
              <w:keepLines w:val="0"/>
              <w:widowControl/>
              <w:suppressLineNumbers w:val="0"/>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16C4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3" w:hRule="atLeast"/>
          <w:jc w:val="center"/>
        </w:trPr>
        <w:tc>
          <w:tcPr>
            <w:tcW w:w="183" w:type="pct"/>
            <w:vMerge w:val="continue"/>
            <w:shd w:val="clear" w:color="auto" w:fill="auto"/>
            <w:vAlign w:val="center"/>
          </w:tcPr>
          <w:p w14:paraId="2E5E4B2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08B1552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6E8AFF0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1B04FFBE">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0012F281">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253500BA">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黄溪村班基坪水库一级保护区外陆域范围外至白沙溪。</w:t>
            </w:r>
          </w:p>
        </w:tc>
        <w:tc>
          <w:tcPr>
            <w:tcW w:w="484" w:type="pct"/>
            <w:vMerge w:val="continue"/>
            <w:shd w:val="clear" w:color="auto" w:fill="auto"/>
            <w:vAlign w:val="center"/>
          </w:tcPr>
          <w:p w14:paraId="2850D6F3">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p>
        </w:tc>
      </w:tr>
      <w:tr w14:paraId="55E4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3EFCA45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333" w:type="pct"/>
            <w:vMerge w:val="restart"/>
            <w:shd w:val="clear" w:color="auto" w:fill="auto"/>
            <w:vAlign w:val="center"/>
          </w:tcPr>
          <w:p w14:paraId="12BBE74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宁中镇</w:t>
            </w:r>
          </w:p>
        </w:tc>
        <w:tc>
          <w:tcPr>
            <w:tcW w:w="396" w:type="pct"/>
            <w:vMerge w:val="restart"/>
            <w:shd w:val="clear" w:color="auto" w:fill="auto"/>
            <w:vAlign w:val="center"/>
          </w:tcPr>
          <w:p w14:paraId="6C14BF6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建民村建新水库饮用水源保护区</w:t>
            </w:r>
          </w:p>
        </w:tc>
        <w:tc>
          <w:tcPr>
            <w:tcW w:w="463" w:type="pct"/>
            <w:shd w:val="clear" w:color="auto" w:fill="auto"/>
            <w:vAlign w:val="center"/>
          </w:tcPr>
          <w:p w14:paraId="7B503985">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45C14680">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建民村建新水库正常水位线以下的全部水域。</w:t>
            </w:r>
          </w:p>
        </w:tc>
        <w:tc>
          <w:tcPr>
            <w:tcW w:w="1615" w:type="pct"/>
            <w:shd w:val="clear" w:color="auto" w:fill="auto"/>
            <w:vAlign w:val="center"/>
          </w:tcPr>
          <w:p w14:paraId="00A18A24">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建民村建新水库取水口正常水位线以上200米的陆域范围。</w:t>
            </w:r>
          </w:p>
        </w:tc>
        <w:tc>
          <w:tcPr>
            <w:tcW w:w="484" w:type="pct"/>
            <w:vMerge w:val="restart"/>
            <w:shd w:val="clear" w:color="auto" w:fill="auto"/>
            <w:vAlign w:val="center"/>
          </w:tcPr>
          <w:p w14:paraId="3F47BC73">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1C13D84E">
            <w:pPr>
              <w:keepNext w:val="0"/>
              <w:keepLines w:val="0"/>
              <w:widowControl/>
              <w:suppressLineNumbers w:val="0"/>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0CEA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4B601C74">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680E391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4EAB234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12874852">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1DD822F4">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5E3BFCD6">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2A9912ED">
            <w:pPr>
              <w:pStyle w:val="14"/>
              <w:ind w:firstLine="0" w:firstLineChars="0"/>
              <w:rPr>
                <w:rFonts w:hint="eastAsia" w:ascii="Times New Roman" w:hAnsi="Times New Roman" w:eastAsia="仿宋_GB2312" w:cs="Times New Roman"/>
                <w:b w:val="0"/>
                <w:bCs w:val="0"/>
                <w:snapToGrid/>
                <w:color w:val="auto"/>
                <w:kern w:val="2"/>
                <w:sz w:val="24"/>
                <w:szCs w:val="21"/>
                <w:lang w:val="en-US" w:eastAsia="zh-CN" w:bidi="ar-SA"/>
              </w:rPr>
            </w:pPr>
          </w:p>
        </w:tc>
      </w:tr>
      <w:tr w14:paraId="5088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77A44E1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w:t>
            </w:r>
          </w:p>
        </w:tc>
        <w:tc>
          <w:tcPr>
            <w:tcW w:w="333" w:type="pct"/>
            <w:vMerge w:val="restart"/>
            <w:shd w:val="clear" w:color="auto" w:fill="auto"/>
            <w:vAlign w:val="center"/>
          </w:tcPr>
          <w:p w14:paraId="12267C8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黄陂镇</w:t>
            </w:r>
          </w:p>
        </w:tc>
        <w:tc>
          <w:tcPr>
            <w:tcW w:w="396" w:type="pct"/>
            <w:vMerge w:val="restart"/>
            <w:shd w:val="clear" w:color="auto" w:fill="auto"/>
            <w:vAlign w:val="center"/>
          </w:tcPr>
          <w:p w14:paraId="5A510B0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后山村石崆里山塘饮用水源保护区</w:t>
            </w:r>
          </w:p>
        </w:tc>
        <w:tc>
          <w:tcPr>
            <w:tcW w:w="463" w:type="pct"/>
            <w:shd w:val="clear" w:color="auto" w:fill="auto"/>
            <w:vAlign w:val="center"/>
          </w:tcPr>
          <w:p w14:paraId="7A717FF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18B13DC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后山村石崆里山塘正常水位线以下的全部水域。</w:t>
            </w:r>
          </w:p>
        </w:tc>
        <w:tc>
          <w:tcPr>
            <w:tcW w:w="1615" w:type="pct"/>
            <w:shd w:val="clear" w:color="auto" w:fill="auto"/>
            <w:vAlign w:val="center"/>
          </w:tcPr>
          <w:p w14:paraId="2A3F54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后山村石崆里山塘正常取水口水位线以上50米至流域分水岭陆域范围。</w:t>
            </w:r>
          </w:p>
        </w:tc>
        <w:tc>
          <w:tcPr>
            <w:tcW w:w="484" w:type="pct"/>
            <w:vMerge w:val="restart"/>
            <w:shd w:val="clear" w:color="auto" w:fill="auto"/>
            <w:vAlign w:val="center"/>
          </w:tcPr>
          <w:p w14:paraId="15734536">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1F46F35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360A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017BC2A4">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784EBAC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6A786821">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562C7FE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6F9D430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600676C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66CE90D5">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2FDDE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136F10C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w:t>
            </w:r>
          </w:p>
        </w:tc>
        <w:tc>
          <w:tcPr>
            <w:tcW w:w="333" w:type="pct"/>
            <w:vMerge w:val="restart"/>
            <w:shd w:val="clear" w:color="auto" w:fill="auto"/>
            <w:vAlign w:val="center"/>
          </w:tcPr>
          <w:p w14:paraId="366510D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合水镇</w:t>
            </w:r>
          </w:p>
        </w:tc>
        <w:tc>
          <w:tcPr>
            <w:tcW w:w="396" w:type="pct"/>
            <w:vMerge w:val="restart"/>
            <w:shd w:val="clear" w:color="auto" w:fill="auto"/>
            <w:vAlign w:val="center"/>
          </w:tcPr>
          <w:p w14:paraId="052D505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洋田村炉背坑饮用水源保护区</w:t>
            </w:r>
          </w:p>
        </w:tc>
        <w:tc>
          <w:tcPr>
            <w:tcW w:w="463" w:type="pct"/>
            <w:shd w:val="clear" w:color="auto" w:fill="auto"/>
            <w:vAlign w:val="center"/>
          </w:tcPr>
          <w:p w14:paraId="7A652DD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5F29B7E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正常水位线的全部水域。</w:t>
            </w:r>
          </w:p>
        </w:tc>
        <w:tc>
          <w:tcPr>
            <w:tcW w:w="1615" w:type="pct"/>
            <w:shd w:val="clear" w:color="auto" w:fill="auto"/>
            <w:vAlign w:val="center"/>
          </w:tcPr>
          <w:p w14:paraId="5C7C52D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洋田村炉背坑水库取水口正常水位线以上200米的陆域范围。</w:t>
            </w:r>
          </w:p>
        </w:tc>
        <w:tc>
          <w:tcPr>
            <w:tcW w:w="484" w:type="pct"/>
            <w:vMerge w:val="restart"/>
            <w:shd w:val="clear" w:color="auto" w:fill="auto"/>
            <w:vAlign w:val="center"/>
          </w:tcPr>
          <w:p w14:paraId="1BFBCFAB">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3952A75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2C7B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427DB0D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2DCCE6F7">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5606ED3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66C7DC6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3C093A9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一级保护区边界外水域。</w:t>
            </w:r>
          </w:p>
        </w:tc>
        <w:tc>
          <w:tcPr>
            <w:tcW w:w="1615" w:type="pct"/>
            <w:shd w:val="clear" w:color="auto" w:fill="auto"/>
            <w:vAlign w:val="center"/>
          </w:tcPr>
          <w:p w14:paraId="29BC32C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125C12DA">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266A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183" w:type="pct"/>
            <w:vMerge w:val="restart"/>
            <w:shd w:val="clear" w:color="auto" w:fill="auto"/>
            <w:vAlign w:val="center"/>
          </w:tcPr>
          <w:p w14:paraId="1A1896F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w:t>
            </w:r>
          </w:p>
        </w:tc>
        <w:tc>
          <w:tcPr>
            <w:tcW w:w="333" w:type="pct"/>
            <w:vMerge w:val="restart"/>
            <w:shd w:val="clear" w:color="auto" w:fill="auto"/>
            <w:vAlign w:val="center"/>
          </w:tcPr>
          <w:p w14:paraId="5BED62C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宁中镇</w:t>
            </w:r>
          </w:p>
        </w:tc>
        <w:tc>
          <w:tcPr>
            <w:tcW w:w="396" w:type="pct"/>
            <w:vMerge w:val="restart"/>
            <w:shd w:val="clear" w:color="auto" w:fill="auto"/>
            <w:vAlign w:val="center"/>
          </w:tcPr>
          <w:p w14:paraId="67501CE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龙岗村老虎石水库饮用水源保护区</w:t>
            </w:r>
          </w:p>
        </w:tc>
        <w:tc>
          <w:tcPr>
            <w:tcW w:w="463" w:type="pct"/>
            <w:shd w:val="clear" w:color="auto" w:fill="auto"/>
            <w:vAlign w:val="center"/>
          </w:tcPr>
          <w:p w14:paraId="180193F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7CE9322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龙岗村老虎石水库正常水位线以下的全部水域。</w:t>
            </w:r>
          </w:p>
        </w:tc>
        <w:tc>
          <w:tcPr>
            <w:tcW w:w="1615" w:type="pct"/>
            <w:shd w:val="clear" w:color="auto" w:fill="auto"/>
            <w:vAlign w:val="center"/>
          </w:tcPr>
          <w:p w14:paraId="048E685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龙岗村老虎石水库取水口正常水位线以上200米的陆域范围。</w:t>
            </w:r>
          </w:p>
        </w:tc>
        <w:tc>
          <w:tcPr>
            <w:tcW w:w="484" w:type="pct"/>
            <w:vMerge w:val="restart"/>
            <w:shd w:val="clear" w:color="auto" w:fill="auto"/>
            <w:vAlign w:val="center"/>
          </w:tcPr>
          <w:p w14:paraId="78717514">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2A2E587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23C0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08CC655E">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62D33A5F">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60D6BAA5">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220F953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0CE8801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1918D29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24FFAED1">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5225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9" w:hRule="atLeast"/>
          <w:jc w:val="center"/>
        </w:trPr>
        <w:tc>
          <w:tcPr>
            <w:tcW w:w="183" w:type="pct"/>
            <w:vMerge w:val="restart"/>
            <w:shd w:val="clear" w:color="auto" w:fill="auto"/>
            <w:vAlign w:val="center"/>
          </w:tcPr>
          <w:p w14:paraId="27E72DD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7</w:t>
            </w:r>
          </w:p>
        </w:tc>
        <w:tc>
          <w:tcPr>
            <w:tcW w:w="333" w:type="pct"/>
            <w:vMerge w:val="restart"/>
            <w:shd w:val="clear" w:color="auto" w:fill="auto"/>
            <w:vAlign w:val="center"/>
          </w:tcPr>
          <w:p w14:paraId="0442F70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罗岗镇</w:t>
            </w:r>
          </w:p>
        </w:tc>
        <w:tc>
          <w:tcPr>
            <w:tcW w:w="396" w:type="pct"/>
            <w:vMerge w:val="restart"/>
            <w:shd w:val="clear" w:color="auto" w:fill="auto"/>
            <w:vAlign w:val="center"/>
          </w:tcPr>
          <w:p w14:paraId="21C36F3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溪庄村热水水库饮用水源保护区</w:t>
            </w:r>
          </w:p>
        </w:tc>
        <w:tc>
          <w:tcPr>
            <w:tcW w:w="463" w:type="pct"/>
            <w:shd w:val="clear" w:color="auto" w:fill="auto"/>
            <w:vAlign w:val="center"/>
          </w:tcPr>
          <w:p w14:paraId="2153F39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3A24BB2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溪庄村热水水库正常水位线以下的全部水域。</w:t>
            </w:r>
          </w:p>
        </w:tc>
        <w:tc>
          <w:tcPr>
            <w:tcW w:w="1615" w:type="pct"/>
            <w:shd w:val="clear" w:color="auto" w:fill="auto"/>
            <w:vAlign w:val="center"/>
          </w:tcPr>
          <w:p w14:paraId="3C2FB4A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溪庄村热水水库取水口正常水位线以上200米的陆域范围。</w:t>
            </w:r>
          </w:p>
        </w:tc>
        <w:tc>
          <w:tcPr>
            <w:tcW w:w="484" w:type="pct"/>
            <w:vMerge w:val="restart"/>
            <w:shd w:val="clear" w:color="auto" w:fill="auto"/>
            <w:vAlign w:val="center"/>
          </w:tcPr>
          <w:p w14:paraId="59C10717">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1E98A77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3AB0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1" w:hRule="atLeast"/>
          <w:jc w:val="center"/>
        </w:trPr>
        <w:tc>
          <w:tcPr>
            <w:tcW w:w="183" w:type="pct"/>
            <w:vMerge w:val="continue"/>
            <w:shd w:val="clear" w:color="auto" w:fill="auto"/>
            <w:vAlign w:val="center"/>
          </w:tcPr>
          <w:p w14:paraId="1005791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6945C375">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2C10E6E1">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2C99C2A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48476F4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248D90A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484AB9E1">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0F97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6C7B1E7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8</w:t>
            </w:r>
          </w:p>
        </w:tc>
        <w:tc>
          <w:tcPr>
            <w:tcW w:w="333" w:type="pct"/>
            <w:vMerge w:val="restart"/>
            <w:shd w:val="clear" w:color="auto" w:fill="auto"/>
            <w:vAlign w:val="center"/>
          </w:tcPr>
          <w:p w14:paraId="3C5239D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大坪镇</w:t>
            </w:r>
          </w:p>
        </w:tc>
        <w:tc>
          <w:tcPr>
            <w:tcW w:w="396" w:type="pct"/>
            <w:vMerge w:val="restart"/>
            <w:shd w:val="clear" w:color="auto" w:fill="auto"/>
            <w:vAlign w:val="center"/>
          </w:tcPr>
          <w:p w14:paraId="720D185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兰塘村钳口陂水库饮用水源保护区</w:t>
            </w:r>
          </w:p>
        </w:tc>
        <w:tc>
          <w:tcPr>
            <w:tcW w:w="463" w:type="pct"/>
            <w:shd w:val="clear" w:color="auto" w:fill="auto"/>
            <w:vAlign w:val="center"/>
          </w:tcPr>
          <w:p w14:paraId="4FE087A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4DD1A03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兰塘村钳口陂水库正常水位线以下的全部水域。</w:t>
            </w:r>
          </w:p>
        </w:tc>
        <w:tc>
          <w:tcPr>
            <w:tcW w:w="1615" w:type="pct"/>
            <w:shd w:val="clear" w:color="auto" w:fill="auto"/>
            <w:vAlign w:val="center"/>
          </w:tcPr>
          <w:p w14:paraId="06BDB1E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兰塘村钳口陂水库取水口正常水位线以上200米的陆域范围。</w:t>
            </w:r>
          </w:p>
        </w:tc>
        <w:tc>
          <w:tcPr>
            <w:tcW w:w="484" w:type="pct"/>
            <w:vMerge w:val="restart"/>
            <w:shd w:val="clear" w:color="auto" w:fill="auto"/>
            <w:vAlign w:val="center"/>
          </w:tcPr>
          <w:p w14:paraId="7B16B6E4">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004FB25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470B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4826E33A">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01821D62">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1F07CBF3">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176CAD1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3450BF0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29A4400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2F697BBF">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3F5CE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7CE5844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9</w:t>
            </w:r>
          </w:p>
        </w:tc>
        <w:tc>
          <w:tcPr>
            <w:tcW w:w="333" w:type="pct"/>
            <w:vMerge w:val="restart"/>
            <w:shd w:val="clear" w:color="auto" w:fill="auto"/>
            <w:vAlign w:val="center"/>
          </w:tcPr>
          <w:p w14:paraId="6077CD4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w:t>
            </w:r>
          </w:p>
        </w:tc>
        <w:tc>
          <w:tcPr>
            <w:tcW w:w="396" w:type="pct"/>
            <w:vMerge w:val="restart"/>
            <w:shd w:val="clear" w:color="auto" w:fill="auto"/>
            <w:vAlign w:val="center"/>
          </w:tcPr>
          <w:p w14:paraId="402B8C1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苏京村九莱口水库饮用水源保护区</w:t>
            </w:r>
          </w:p>
        </w:tc>
        <w:tc>
          <w:tcPr>
            <w:tcW w:w="463" w:type="pct"/>
            <w:shd w:val="clear" w:color="auto" w:fill="auto"/>
            <w:vAlign w:val="center"/>
          </w:tcPr>
          <w:p w14:paraId="5086348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0DEDFD6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苏京村九莱口水库正常水位线以下的全部水域。</w:t>
            </w:r>
          </w:p>
        </w:tc>
        <w:tc>
          <w:tcPr>
            <w:tcW w:w="1615" w:type="pct"/>
            <w:shd w:val="clear" w:color="auto" w:fill="auto"/>
            <w:vAlign w:val="center"/>
          </w:tcPr>
          <w:p w14:paraId="12CB91E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苏京村九莱口水库取水口正常水位线以上200米的陆域范围。</w:t>
            </w:r>
          </w:p>
        </w:tc>
        <w:tc>
          <w:tcPr>
            <w:tcW w:w="484" w:type="pct"/>
            <w:vMerge w:val="restart"/>
            <w:shd w:val="clear" w:color="auto" w:fill="auto"/>
            <w:vAlign w:val="center"/>
          </w:tcPr>
          <w:p w14:paraId="00B509F3">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1FA81B9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73F5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712D570D">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053E77A6">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1221CE1D">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194BB40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0C6BCE9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一级保护区边界外水域。</w:t>
            </w:r>
          </w:p>
        </w:tc>
        <w:tc>
          <w:tcPr>
            <w:tcW w:w="1615" w:type="pct"/>
            <w:shd w:val="clear" w:color="auto" w:fill="auto"/>
            <w:vAlign w:val="center"/>
          </w:tcPr>
          <w:p w14:paraId="6A12932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79C374E2">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4E0B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688D0A8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10</w:t>
            </w:r>
          </w:p>
        </w:tc>
        <w:tc>
          <w:tcPr>
            <w:tcW w:w="333" w:type="pct"/>
            <w:vMerge w:val="restart"/>
            <w:shd w:val="clear" w:color="auto" w:fill="auto"/>
            <w:vAlign w:val="center"/>
          </w:tcPr>
          <w:p w14:paraId="60FC236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坭陂镇</w:t>
            </w:r>
          </w:p>
        </w:tc>
        <w:tc>
          <w:tcPr>
            <w:tcW w:w="396" w:type="pct"/>
            <w:vMerge w:val="restart"/>
            <w:shd w:val="clear" w:color="auto" w:fill="auto"/>
            <w:vAlign w:val="center"/>
          </w:tcPr>
          <w:p w14:paraId="139FA22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汤一村红湖水库饮用水源保护区</w:t>
            </w:r>
          </w:p>
        </w:tc>
        <w:tc>
          <w:tcPr>
            <w:tcW w:w="463" w:type="pct"/>
            <w:shd w:val="clear" w:color="auto" w:fill="auto"/>
            <w:vAlign w:val="center"/>
          </w:tcPr>
          <w:p w14:paraId="6603469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31C36A9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汤一村红湖水库正常水位线以下的全部水域。</w:t>
            </w:r>
          </w:p>
        </w:tc>
        <w:tc>
          <w:tcPr>
            <w:tcW w:w="1615" w:type="pct"/>
            <w:shd w:val="clear" w:color="auto" w:fill="auto"/>
            <w:vAlign w:val="center"/>
          </w:tcPr>
          <w:p w14:paraId="0D6C8FA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汤一村红湖水库取水口正常水位线以上200米的陆域范围。</w:t>
            </w:r>
          </w:p>
        </w:tc>
        <w:tc>
          <w:tcPr>
            <w:tcW w:w="484" w:type="pct"/>
            <w:vMerge w:val="restart"/>
            <w:shd w:val="clear" w:color="auto" w:fill="auto"/>
            <w:vAlign w:val="center"/>
          </w:tcPr>
          <w:p w14:paraId="47802571">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236CD7B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6967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68F3DF8A">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58CEEFA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4923EB18">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6C2C999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17414D2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一级保护区边界外水域。</w:t>
            </w:r>
          </w:p>
        </w:tc>
        <w:tc>
          <w:tcPr>
            <w:tcW w:w="1615" w:type="pct"/>
            <w:shd w:val="clear" w:color="auto" w:fill="auto"/>
            <w:vAlign w:val="center"/>
          </w:tcPr>
          <w:p w14:paraId="4D7FE83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289B97FC">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2570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6A39FF1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11</w:t>
            </w:r>
          </w:p>
        </w:tc>
        <w:tc>
          <w:tcPr>
            <w:tcW w:w="333" w:type="pct"/>
            <w:vMerge w:val="restart"/>
            <w:shd w:val="clear" w:color="auto" w:fill="auto"/>
            <w:vAlign w:val="center"/>
          </w:tcPr>
          <w:p w14:paraId="7E12409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坭陂镇</w:t>
            </w:r>
          </w:p>
        </w:tc>
        <w:tc>
          <w:tcPr>
            <w:tcW w:w="396" w:type="pct"/>
            <w:vMerge w:val="restart"/>
            <w:shd w:val="clear" w:color="auto" w:fill="auto"/>
            <w:vAlign w:val="center"/>
          </w:tcPr>
          <w:p w14:paraId="6C48614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大新村九子坑上库饮用水源保护区</w:t>
            </w:r>
          </w:p>
        </w:tc>
        <w:tc>
          <w:tcPr>
            <w:tcW w:w="463" w:type="pct"/>
            <w:shd w:val="clear" w:color="auto" w:fill="auto"/>
            <w:vAlign w:val="center"/>
          </w:tcPr>
          <w:p w14:paraId="1A9D6A5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0C407F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大新村九子坑上库正常水位线以下的全部水域。</w:t>
            </w:r>
          </w:p>
        </w:tc>
        <w:tc>
          <w:tcPr>
            <w:tcW w:w="1615" w:type="pct"/>
            <w:shd w:val="clear" w:color="auto" w:fill="auto"/>
            <w:vAlign w:val="center"/>
          </w:tcPr>
          <w:p w14:paraId="279538C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大新村九子坑上库取水口正常水位线以上200米的陆域范围或至流域分水岭。</w:t>
            </w:r>
          </w:p>
        </w:tc>
        <w:tc>
          <w:tcPr>
            <w:tcW w:w="484" w:type="pct"/>
            <w:vMerge w:val="restart"/>
            <w:shd w:val="clear" w:color="auto" w:fill="auto"/>
            <w:vAlign w:val="center"/>
          </w:tcPr>
          <w:p w14:paraId="26FC0CA3">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085A5C4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3FC7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608679CA">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5165631F">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390A06A8">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34303C9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6CC4B84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701A3EE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7B9E509B">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202D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73D1C9A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12</w:t>
            </w:r>
          </w:p>
        </w:tc>
        <w:tc>
          <w:tcPr>
            <w:tcW w:w="333" w:type="pct"/>
            <w:vMerge w:val="restart"/>
            <w:shd w:val="clear" w:color="auto" w:fill="auto"/>
            <w:vAlign w:val="center"/>
          </w:tcPr>
          <w:p w14:paraId="3EF9DFC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新圩镇</w:t>
            </w:r>
          </w:p>
        </w:tc>
        <w:tc>
          <w:tcPr>
            <w:tcW w:w="396" w:type="pct"/>
            <w:vMerge w:val="restart"/>
            <w:shd w:val="clear" w:color="auto" w:fill="auto"/>
            <w:vAlign w:val="center"/>
          </w:tcPr>
          <w:p w14:paraId="01CCED5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新丰村大草坝水库饮用水源保护区</w:t>
            </w:r>
          </w:p>
        </w:tc>
        <w:tc>
          <w:tcPr>
            <w:tcW w:w="463" w:type="pct"/>
            <w:shd w:val="clear" w:color="auto" w:fill="auto"/>
            <w:vAlign w:val="center"/>
          </w:tcPr>
          <w:p w14:paraId="2123B7A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2B1B1F9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新丰村大草坝水库正常水位线以下的全部水域。</w:t>
            </w:r>
          </w:p>
        </w:tc>
        <w:tc>
          <w:tcPr>
            <w:tcW w:w="1615" w:type="pct"/>
            <w:shd w:val="clear" w:color="auto" w:fill="auto"/>
            <w:vAlign w:val="center"/>
          </w:tcPr>
          <w:p w14:paraId="5845485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新丰村大草坝水库取水口正常水位线以上200米的陆域范围。</w:t>
            </w:r>
          </w:p>
        </w:tc>
        <w:tc>
          <w:tcPr>
            <w:tcW w:w="484" w:type="pct"/>
            <w:vMerge w:val="restart"/>
            <w:shd w:val="clear" w:color="auto" w:fill="auto"/>
            <w:vAlign w:val="center"/>
          </w:tcPr>
          <w:p w14:paraId="282B1367">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277699A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502B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275AABEF">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0482F20F">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645EE4C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044701C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1EB1818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703AADA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2FE589BE">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4FFD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23481C8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13</w:t>
            </w:r>
          </w:p>
        </w:tc>
        <w:tc>
          <w:tcPr>
            <w:tcW w:w="333" w:type="pct"/>
            <w:vMerge w:val="restart"/>
            <w:shd w:val="clear" w:color="auto" w:fill="auto"/>
            <w:vAlign w:val="center"/>
          </w:tcPr>
          <w:p w14:paraId="699EFE9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永和镇</w:t>
            </w:r>
          </w:p>
        </w:tc>
        <w:tc>
          <w:tcPr>
            <w:tcW w:w="396" w:type="pct"/>
            <w:vMerge w:val="restart"/>
            <w:shd w:val="clear" w:color="auto" w:fill="auto"/>
            <w:vAlign w:val="center"/>
          </w:tcPr>
          <w:p w14:paraId="41C4841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林场村童子排山塘饮用水源保护区</w:t>
            </w:r>
          </w:p>
        </w:tc>
        <w:tc>
          <w:tcPr>
            <w:tcW w:w="463" w:type="pct"/>
            <w:shd w:val="clear" w:color="auto" w:fill="auto"/>
            <w:vAlign w:val="center"/>
          </w:tcPr>
          <w:p w14:paraId="665431E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3C2E996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林场村童子排山塘正常水位线以下的全部水域。</w:t>
            </w:r>
          </w:p>
        </w:tc>
        <w:tc>
          <w:tcPr>
            <w:tcW w:w="1615" w:type="pct"/>
            <w:shd w:val="clear" w:color="auto" w:fill="auto"/>
            <w:vAlign w:val="center"/>
          </w:tcPr>
          <w:p w14:paraId="7BEED97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林场村童子排山塘取水口正常水位线以上25米陆域范围。</w:t>
            </w:r>
          </w:p>
        </w:tc>
        <w:tc>
          <w:tcPr>
            <w:tcW w:w="484" w:type="pct"/>
            <w:vMerge w:val="restart"/>
            <w:shd w:val="clear" w:color="auto" w:fill="auto"/>
            <w:vAlign w:val="center"/>
          </w:tcPr>
          <w:p w14:paraId="4E77A2DB">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79152F3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3743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122A744A">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36EB6E85">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7FD5CB6C">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5FE4F67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0E3791B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一级保护区边界外水域。</w:t>
            </w:r>
          </w:p>
        </w:tc>
        <w:tc>
          <w:tcPr>
            <w:tcW w:w="1615" w:type="pct"/>
            <w:shd w:val="clear" w:color="auto" w:fill="auto"/>
            <w:vAlign w:val="center"/>
          </w:tcPr>
          <w:p w14:paraId="432F07C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整个流域（一级保护区陆域外区域）。</w:t>
            </w:r>
          </w:p>
        </w:tc>
        <w:tc>
          <w:tcPr>
            <w:tcW w:w="484" w:type="pct"/>
            <w:vMerge w:val="continue"/>
            <w:shd w:val="clear" w:color="auto" w:fill="auto"/>
            <w:vAlign w:val="center"/>
          </w:tcPr>
          <w:p w14:paraId="3A84A602">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463A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shd w:val="clear" w:color="auto" w:fill="auto"/>
            <w:vAlign w:val="center"/>
          </w:tcPr>
          <w:p w14:paraId="230E9B4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14</w:t>
            </w:r>
          </w:p>
        </w:tc>
        <w:tc>
          <w:tcPr>
            <w:tcW w:w="333" w:type="pct"/>
            <w:shd w:val="clear" w:color="auto" w:fill="auto"/>
            <w:vAlign w:val="center"/>
          </w:tcPr>
          <w:p w14:paraId="2AF97D0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罗浮镇</w:t>
            </w:r>
          </w:p>
        </w:tc>
        <w:tc>
          <w:tcPr>
            <w:tcW w:w="396" w:type="pct"/>
            <w:shd w:val="clear" w:color="auto" w:fill="auto"/>
            <w:vAlign w:val="center"/>
          </w:tcPr>
          <w:p w14:paraId="03D9685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高坑村罗坑水饮用水源保护区</w:t>
            </w:r>
          </w:p>
        </w:tc>
        <w:tc>
          <w:tcPr>
            <w:tcW w:w="463" w:type="pct"/>
            <w:shd w:val="clear" w:color="auto" w:fill="auto"/>
            <w:vAlign w:val="center"/>
          </w:tcPr>
          <w:p w14:paraId="59E4E11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26D2CBD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水域长度为高坑村罗坑取水拦水坝上游全部水域；水域宽度为5年一遇洪水淹没的区域。</w:t>
            </w:r>
          </w:p>
        </w:tc>
        <w:tc>
          <w:tcPr>
            <w:tcW w:w="1615" w:type="pct"/>
            <w:shd w:val="clear" w:color="auto" w:fill="auto"/>
            <w:vAlign w:val="center"/>
          </w:tcPr>
          <w:p w14:paraId="0A34A00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一级保护区水域两岸纵深50米或至第一重山山脊线。</w:t>
            </w:r>
          </w:p>
        </w:tc>
        <w:tc>
          <w:tcPr>
            <w:tcW w:w="484" w:type="pct"/>
            <w:shd w:val="clear" w:color="auto" w:fill="auto"/>
            <w:vAlign w:val="center"/>
          </w:tcPr>
          <w:p w14:paraId="194011D2">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182C1E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3BA8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shd w:val="clear" w:color="auto" w:fill="auto"/>
            <w:vAlign w:val="center"/>
          </w:tcPr>
          <w:p w14:paraId="171A231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15</w:t>
            </w:r>
          </w:p>
        </w:tc>
        <w:tc>
          <w:tcPr>
            <w:tcW w:w="333" w:type="pct"/>
            <w:shd w:val="clear" w:color="auto" w:fill="auto"/>
            <w:vAlign w:val="center"/>
          </w:tcPr>
          <w:p w14:paraId="4C45171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石马镇</w:t>
            </w:r>
          </w:p>
        </w:tc>
        <w:tc>
          <w:tcPr>
            <w:tcW w:w="396" w:type="pct"/>
            <w:shd w:val="clear" w:color="auto" w:fill="auto"/>
            <w:vAlign w:val="center"/>
          </w:tcPr>
          <w:p w14:paraId="33A8663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石岌村王正坑水饮用水源保护区</w:t>
            </w:r>
          </w:p>
        </w:tc>
        <w:tc>
          <w:tcPr>
            <w:tcW w:w="463" w:type="pct"/>
            <w:shd w:val="clear" w:color="auto" w:fill="auto"/>
            <w:vAlign w:val="center"/>
          </w:tcPr>
          <w:p w14:paraId="6BFF0FE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18D552B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水域长度为取水口上游全部水域。</w:t>
            </w:r>
          </w:p>
        </w:tc>
        <w:tc>
          <w:tcPr>
            <w:tcW w:w="1615" w:type="pct"/>
            <w:shd w:val="clear" w:color="auto" w:fill="auto"/>
            <w:vAlign w:val="center"/>
          </w:tcPr>
          <w:p w14:paraId="57FED6E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一级保护区水域两岸纵深至第一重山山脊线。</w:t>
            </w:r>
          </w:p>
        </w:tc>
        <w:tc>
          <w:tcPr>
            <w:tcW w:w="484" w:type="pct"/>
            <w:shd w:val="clear" w:color="auto" w:fill="auto"/>
            <w:vAlign w:val="center"/>
          </w:tcPr>
          <w:p w14:paraId="6CB9D304">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4227C13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47BB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shd w:val="clear" w:color="auto" w:fill="auto"/>
            <w:vAlign w:val="center"/>
          </w:tcPr>
          <w:p w14:paraId="4D4D708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16</w:t>
            </w:r>
          </w:p>
        </w:tc>
        <w:tc>
          <w:tcPr>
            <w:tcW w:w="333" w:type="pct"/>
            <w:shd w:val="clear" w:color="auto" w:fill="auto"/>
            <w:vAlign w:val="center"/>
          </w:tcPr>
          <w:p w14:paraId="5AD77F8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w:t>
            </w:r>
          </w:p>
        </w:tc>
        <w:tc>
          <w:tcPr>
            <w:tcW w:w="396" w:type="pct"/>
            <w:shd w:val="clear" w:color="auto" w:fill="auto"/>
            <w:vAlign w:val="center"/>
          </w:tcPr>
          <w:p w14:paraId="5F76398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官亭村旱寨坑饮用水源保护区</w:t>
            </w:r>
          </w:p>
        </w:tc>
        <w:tc>
          <w:tcPr>
            <w:tcW w:w="463" w:type="pct"/>
            <w:shd w:val="clear" w:color="auto" w:fill="auto"/>
            <w:vAlign w:val="center"/>
          </w:tcPr>
          <w:p w14:paraId="646CF77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5A4FC08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水域长度为取水口上游全部水域。</w:t>
            </w:r>
          </w:p>
        </w:tc>
        <w:tc>
          <w:tcPr>
            <w:tcW w:w="1615" w:type="pct"/>
            <w:shd w:val="clear" w:color="auto" w:fill="auto"/>
            <w:vAlign w:val="center"/>
          </w:tcPr>
          <w:p w14:paraId="375A1C0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一级保护区水域两岸纵深50米或至第一重山山脊线集雨区。</w:t>
            </w:r>
          </w:p>
        </w:tc>
        <w:tc>
          <w:tcPr>
            <w:tcW w:w="484" w:type="pct"/>
            <w:shd w:val="clear" w:color="auto" w:fill="auto"/>
            <w:vAlign w:val="center"/>
          </w:tcPr>
          <w:p w14:paraId="100D4C53">
            <w:pPr>
              <w:keepNext w:val="0"/>
              <w:keepLines w:val="0"/>
              <w:widowControl/>
              <w:suppressLineNumbers w:val="0"/>
              <w:jc w:val="center"/>
              <w:rPr>
                <w:rFonts w:ascii="仿宋" w:hAnsi="仿宋" w:eastAsia="仿宋" w:cs="仿宋"/>
                <w:snapToGrid w:val="0"/>
                <w:color w:val="auto"/>
                <w:kern w:val="0"/>
                <w:sz w:val="24"/>
                <w:szCs w:val="24"/>
                <w:lang w:val="en-US" w:eastAsia="zh-CN" w:bidi="ar"/>
              </w:rPr>
            </w:pPr>
            <w:r>
              <w:rPr>
                <w:rFonts w:ascii="仿宋" w:hAnsi="仿宋" w:eastAsia="仿宋" w:cs="仿宋"/>
                <w:snapToGrid w:val="0"/>
                <w:color w:val="auto"/>
                <w:kern w:val="0"/>
                <w:sz w:val="24"/>
                <w:szCs w:val="24"/>
                <w:lang w:val="en-US" w:eastAsia="zh-CN" w:bidi="ar"/>
              </w:rPr>
              <w:t>粤府函</w:t>
            </w:r>
          </w:p>
          <w:p w14:paraId="40C0C65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〔2015〕17号</w:t>
            </w:r>
          </w:p>
        </w:tc>
      </w:tr>
      <w:tr w14:paraId="5DEF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471A36A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17</w:t>
            </w:r>
          </w:p>
        </w:tc>
        <w:tc>
          <w:tcPr>
            <w:tcW w:w="333" w:type="pct"/>
            <w:vMerge w:val="restart"/>
            <w:shd w:val="clear" w:color="auto" w:fill="auto"/>
            <w:vAlign w:val="center"/>
          </w:tcPr>
          <w:p w14:paraId="1A39B23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兴宁市区</w:t>
            </w:r>
          </w:p>
        </w:tc>
        <w:tc>
          <w:tcPr>
            <w:tcW w:w="396" w:type="pct"/>
            <w:vMerge w:val="restart"/>
            <w:shd w:val="clear" w:color="auto" w:fill="auto"/>
            <w:vAlign w:val="center"/>
          </w:tcPr>
          <w:p w14:paraId="435D590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兴宁市区宁江与合水水库饮用水水源保护区</w:t>
            </w:r>
          </w:p>
        </w:tc>
        <w:tc>
          <w:tcPr>
            <w:tcW w:w="463" w:type="pct"/>
            <w:vMerge w:val="restart"/>
            <w:shd w:val="clear" w:color="auto" w:fill="auto"/>
            <w:vAlign w:val="center"/>
          </w:tcPr>
          <w:p w14:paraId="0ABE475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37B46EB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兴宁市宁江供水有限公司宁江河取水口下游116米至上游350米处（合水水库主坝处）。</w:t>
            </w:r>
          </w:p>
        </w:tc>
        <w:tc>
          <w:tcPr>
            <w:tcW w:w="1615" w:type="pct"/>
            <w:shd w:val="clear" w:color="auto" w:fill="auto"/>
            <w:vAlign w:val="center"/>
          </w:tcPr>
          <w:p w14:paraId="670DAE0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相应一级保护区水域两岸向陆纵深50米的陆域。</w:t>
            </w:r>
          </w:p>
        </w:tc>
        <w:tc>
          <w:tcPr>
            <w:tcW w:w="484" w:type="pct"/>
            <w:vMerge w:val="restart"/>
            <w:shd w:val="clear" w:color="auto" w:fill="auto"/>
            <w:vAlign w:val="center"/>
          </w:tcPr>
          <w:p w14:paraId="5A546D0C">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粤府函</w:t>
            </w:r>
          </w:p>
          <w:p w14:paraId="24A8FDC0">
            <w:pPr>
              <w:keepNext w:val="0"/>
              <w:keepLines w:val="0"/>
              <w:widowControl/>
              <w:suppressLineNumbers w:val="0"/>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〔2018〕428号</w:t>
            </w:r>
          </w:p>
        </w:tc>
      </w:tr>
      <w:tr w14:paraId="55C2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221BC8D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3F7853B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317A91C8">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vMerge w:val="continue"/>
            <w:shd w:val="clear" w:color="auto" w:fill="auto"/>
            <w:vAlign w:val="center"/>
          </w:tcPr>
          <w:p w14:paraId="462AAA14">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522" w:type="pct"/>
            <w:shd w:val="clear" w:color="auto" w:fill="auto"/>
            <w:vAlign w:val="center"/>
          </w:tcPr>
          <w:p w14:paraId="408751A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水库以主坝泄洪口为中心点，向水库内延伸约1150米包络的水域（西侧边界至排沙沟围堰一线；西北侧至114°41′33.31″，24°15′31.79″控制点；北侧边界为水库主坝泄洪口向水库内延伸1150米所涉及的一线水域；东北侧至115°42′48.28″，24°15′58.81″控制点；东侧至水库防洪应急道路一侧）。</w:t>
            </w:r>
          </w:p>
        </w:tc>
        <w:tc>
          <w:tcPr>
            <w:tcW w:w="1615" w:type="pct"/>
            <w:shd w:val="clear" w:color="auto" w:fill="auto"/>
            <w:vAlign w:val="center"/>
          </w:tcPr>
          <w:p w14:paraId="0DBAC4B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取水口侧合水水库一级保护区水域向陆纵深200米范围内的陆域或至流域分水岭。</w:t>
            </w:r>
          </w:p>
        </w:tc>
        <w:tc>
          <w:tcPr>
            <w:tcW w:w="484" w:type="pct"/>
            <w:vMerge w:val="continue"/>
            <w:shd w:val="clear" w:color="auto" w:fill="auto"/>
            <w:vAlign w:val="center"/>
          </w:tcPr>
          <w:p w14:paraId="3954ECBF">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1913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21FF5F3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4F59490E">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6AAD757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vMerge w:val="restart"/>
            <w:shd w:val="clear" w:color="auto" w:fill="auto"/>
            <w:vAlign w:val="center"/>
          </w:tcPr>
          <w:p w14:paraId="6D653FA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0CD03BD4">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宁江河一级保护区下边界下延326米的水域。</w:t>
            </w:r>
          </w:p>
        </w:tc>
        <w:tc>
          <w:tcPr>
            <w:tcW w:w="1615" w:type="pct"/>
            <w:shd w:val="clear" w:color="auto" w:fill="auto"/>
            <w:vAlign w:val="center"/>
          </w:tcPr>
          <w:p w14:paraId="2067AA86">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相应二级水源保护区水域两岸河堤背水坡脚向陆纵深1000米集雨范围内的陆域。</w:t>
            </w:r>
          </w:p>
        </w:tc>
        <w:tc>
          <w:tcPr>
            <w:tcW w:w="484" w:type="pct"/>
            <w:vMerge w:val="continue"/>
            <w:shd w:val="clear" w:color="auto" w:fill="auto"/>
            <w:vAlign w:val="center"/>
          </w:tcPr>
          <w:p w14:paraId="32832C27">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7087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598493BF">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009864A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133863B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vMerge w:val="continue"/>
            <w:shd w:val="clear" w:color="auto" w:fill="auto"/>
            <w:vAlign w:val="center"/>
          </w:tcPr>
          <w:p w14:paraId="3B214DE1">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522" w:type="pct"/>
            <w:shd w:val="clear" w:color="auto" w:fill="auto"/>
            <w:vAlign w:val="center"/>
          </w:tcPr>
          <w:p w14:paraId="5551BC6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合水水库五管区堤围与S225省道包络的正常水位线（138米）内的水域（一级保护区水域除外）。</w:t>
            </w:r>
          </w:p>
        </w:tc>
        <w:tc>
          <w:tcPr>
            <w:tcW w:w="1615" w:type="pct"/>
            <w:shd w:val="clear" w:color="auto" w:fill="auto"/>
            <w:vAlign w:val="center"/>
          </w:tcPr>
          <w:p w14:paraId="3C74F47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水库合水镇六管区刘屋山（E115.702175426°，N24.2809010969°）至白泡桥（E115.708977448°，N24.2861493594°）段二级水域保护区向陆纵深100米范围内的陆域，其余段为水库一级和二级水域保护区向陆纵深1000米范围内的陆域或至流域分水岭。</w:t>
            </w:r>
          </w:p>
        </w:tc>
        <w:tc>
          <w:tcPr>
            <w:tcW w:w="484" w:type="pct"/>
            <w:vMerge w:val="continue"/>
            <w:shd w:val="clear" w:color="auto" w:fill="auto"/>
            <w:vAlign w:val="center"/>
          </w:tcPr>
          <w:p w14:paraId="0D0A260F">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663E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36C5A36E">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181CB583">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761F6835">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191A8B8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准保护区</w:t>
            </w:r>
          </w:p>
        </w:tc>
        <w:tc>
          <w:tcPr>
            <w:tcW w:w="1522" w:type="pct"/>
            <w:shd w:val="clear" w:color="auto" w:fill="auto"/>
            <w:vAlign w:val="center"/>
          </w:tcPr>
          <w:p w14:paraId="0DCFA24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合水水库五管区堤围和S225省道分别向上游入库河流上溯5000米河段的水域。</w:t>
            </w:r>
          </w:p>
        </w:tc>
        <w:tc>
          <w:tcPr>
            <w:tcW w:w="1615" w:type="pct"/>
            <w:shd w:val="clear" w:color="auto" w:fill="auto"/>
            <w:vAlign w:val="center"/>
          </w:tcPr>
          <w:p w14:paraId="1B69D6E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相应准保护区水域向陆纵深200米范围内的陆域范围。</w:t>
            </w:r>
          </w:p>
        </w:tc>
        <w:tc>
          <w:tcPr>
            <w:tcW w:w="484" w:type="pct"/>
            <w:vMerge w:val="continue"/>
            <w:shd w:val="clear" w:color="auto" w:fill="auto"/>
            <w:vAlign w:val="center"/>
          </w:tcPr>
          <w:p w14:paraId="1F4A019C">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46EA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5C2D6CEF">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18</w:t>
            </w:r>
          </w:p>
        </w:tc>
        <w:tc>
          <w:tcPr>
            <w:tcW w:w="333" w:type="pct"/>
            <w:vMerge w:val="restart"/>
            <w:shd w:val="clear" w:color="auto" w:fill="auto"/>
            <w:vAlign w:val="center"/>
          </w:tcPr>
          <w:p w14:paraId="5092405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w:t>
            </w:r>
          </w:p>
        </w:tc>
        <w:tc>
          <w:tcPr>
            <w:tcW w:w="396" w:type="pct"/>
            <w:vMerge w:val="restart"/>
            <w:shd w:val="clear" w:color="auto" w:fill="auto"/>
            <w:vAlign w:val="center"/>
          </w:tcPr>
          <w:p w14:paraId="0BCC566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溜石塘溪饮用水源保护区</w:t>
            </w:r>
          </w:p>
        </w:tc>
        <w:tc>
          <w:tcPr>
            <w:tcW w:w="463" w:type="pct"/>
            <w:shd w:val="clear" w:color="auto" w:fill="auto"/>
            <w:vAlign w:val="center"/>
          </w:tcPr>
          <w:p w14:paraId="426FE4F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3F45B92A">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溜石塘溪取水口下游100米至福利水电站拦水坝的水域。</w:t>
            </w:r>
          </w:p>
        </w:tc>
        <w:tc>
          <w:tcPr>
            <w:tcW w:w="1615" w:type="pct"/>
            <w:shd w:val="clear" w:color="auto" w:fill="auto"/>
            <w:vAlign w:val="center"/>
          </w:tcPr>
          <w:p w14:paraId="69D4AE44">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相应一级保护区水域两岸向陆纵深50米的陆域。</w:t>
            </w:r>
          </w:p>
        </w:tc>
        <w:tc>
          <w:tcPr>
            <w:tcW w:w="484" w:type="pct"/>
            <w:vMerge w:val="restart"/>
            <w:shd w:val="clear" w:color="auto" w:fill="auto"/>
            <w:vAlign w:val="center"/>
          </w:tcPr>
          <w:p w14:paraId="7BE9D9AF">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粤府函</w:t>
            </w:r>
          </w:p>
          <w:p w14:paraId="6063288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〔2018〕428号</w:t>
            </w:r>
          </w:p>
        </w:tc>
      </w:tr>
      <w:tr w14:paraId="579A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3FB0AAD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55EDAE3C">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073E2D41">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5E1DA5F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00BEE39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从一级保护区水域上边界上溯至溜石塘溪上游两支流交汇处（2600米）、下边界下溯至福利水电站（240m）的水域。</w:t>
            </w:r>
          </w:p>
        </w:tc>
        <w:tc>
          <w:tcPr>
            <w:tcW w:w="1615" w:type="pct"/>
            <w:shd w:val="clear" w:color="auto" w:fill="auto"/>
            <w:vAlign w:val="center"/>
          </w:tcPr>
          <w:p w14:paraId="4875213B">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相应一级保护陆域和二级保护区水域两岸向陆纵深1000米的集雨范围。</w:t>
            </w:r>
          </w:p>
        </w:tc>
        <w:tc>
          <w:tcPr>
            <w:tcW w:w="484" w:type="pct"/>
            <w:vMerge w:val="continue"/>
            <w:shd w:val="clear" w:color="auto" w:fill="auto"/>
            <w:vAlign w:val="center"/>
          </w:tcPr>
          <w:p w14:paraId="199D0548">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4E0D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84" w:hRule="atLeast"/>
          <w:jc w:val="center"/>
        </w:trPr>
        <w:tc>
          <w:tcPr>
            <w:tcW w:w="183" w:type="pct"/>
            <w:shd w:val="clear" w:color="auto" w:fill="auto"/>
            <w:vAlign w:val="center"/>
          </w:tcPr>
          <w:p w14:paraId="3836AF84">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19</w:t>
            </w:r>
          </w:p>
        </w:tc>
        <w:tc>
          <w:tcPr>
            <w:tcW w:w="333" w:type="pct"/>
            <w:shd w:val="clear" w:color="auto" w:fill="auto"/>
            <w:vAlign w:val="center"/>
          </w:tcPr>
          <w:p w14:paraId="0900A71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w:t>
            </w:r>
          </w:p>
        </w:tc>
        <w:tc>
          <w:tcPr>
            <w:tcW w:w="396" w:type="pct"/>
            <w:shd w:val="clear" w:color="auto" w:fill="auto"/>
            <w:vAlign w:val="center"/>
          </w:tcPr>
          <w:p w14:paraId="7A255A6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黄坭坑水库饮用水源保护区</w:t>
            </w:r>
          </w:p>
        </w:tc>
        <w:tc>
          <w:tcPr>
            <w:tcW w:w="463" w:type="pct"/>
            <w:shd w:val="clear" w:color="auto" w:fill="auto"/>
            <w:vAlign w:val="center"/>
          </w:tcPr>
          <w:p w14:paraId="763BECB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19A357D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水库正常水位线（56米）以下的全部水域。</w:t>
            </w:r>
          </w:p>
        </w:tc>
        <w:tc>
          <w:tcPr>
            <w:tcW w:w="1615" w:type="pct"/>
            <w:shd w:val="clear" w:color="auto" w:fill="auto"/>
            <w:vAlign w:val="center"/>
          </w:tcPr>
          <w:p w14:paraId="7C90081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水库正常水位线至流域分水岭的陆域。</w:t>
            </w:r>
          </w:p>
        </w:tc>
        <w:tc>
          <w:tcPr>
            <w:tcW w:w="484" w:type="pct"/>
            <w:shd w:val="clear" w:color="auto" w:fill="auto"/>
            <w:vAlign w:val="center"/>
          </w:tcPr>
          <w:p w14:paraId="78B45FB9">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粤府函</w:t>
            </w:r>
          </w:p>
          <w:p w14:paraId="79930C6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〔2018〕428号</w:t>
            </w:r>
          </w:p>
        </w:tc>
      </w:tr>
      <w:tr w14:paraId="080D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14663C1D">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20</w:t>
            </w:r>
          </w:p>
        </w:tc>
        <w:tc>
          <w:tcPr>
            <w:tcW w:w="333" w:type="pct"/>
            <w:vMerge w:val="restart"/>
            <w:shd w:val="clear" w:color="auto" w:fill="auto"/>
            <w:vAlign w:val="center"/>
          </w:tcPr>
          <w:p w14:paraId="3951945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梅县畲江镇</w:t>
            </w:r>
          </w:p>
        </w:tc>
        <w:tc>
          <w:tcPr>
            <w:tcW w:w="396" w:type="pct"/>
            <w:vMerge w:val="restart"/>
            <w:shd w:val="clear" w:color="auto" w:fill="auto"/>
            <w:vAlign w:val="center"/>
          </w:tcPr>
          <w:p w14:paraId="4F1C510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畲江镇饮用水源保护区</w:t>
            </w:r>
          </w:p>
        </w:tc>
        <w:tc>
          <w:tcPr>
            <w:tcW w:w="463" w:type="pct"/>
            <w:shd w:val="clear" w:color="auto" w:fill="auto"/>
            <w:vAlign w:val="center"/>
          </w:tcPr>
          <w:p w14:paraId="2FDAA3F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731C9E4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梅江取水口上游1000米至取水口下游100米的多年平均水位对应的高程线以下的河道范围（航道除外）。</w:t>
            </w:r>
          </w:p>
        </w:tc>
        <w:tc>
          <w:tcPr>
            <w:tcW w:w="1615" w:type="pct"/>
            <w:shd w:val="clear" w:color="auto" w:fill="auto"/>
            <w:vAlign w:val="center"/>
          </w:tcPr>
          <w:p w14:paraId="66BFFA4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相应一级保护区水域两岸向陆纵深50米的陆域,但不超过防洪堤坝、省道S228邻水一侧路肩及乡道464邻水一侧路肩。</w:t>
            </w:r>
          </w:p>
        </w:tc>
        <w:tc>
          <w:tcPr>
            <w:tcW w:w="484" w:type="pct"/>
            <w:vMerge w:val="restart"/>
            <w:shd w:val="clear" w:color="auto" w:fill="auto"/>
            <w:vAlign w:val="center"/>
          </w:tcPr>
          <w:p w14:paraId="6156F106">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梅市府函</w:t>
            </w:r>
          </w:p>
          <w:p w14:paraId="038983CB">
            <w:pPr>
              <w:keepNext w:val="0"/>
              <w:keepLines w:val="0"/>
              <w:widowControl/>
              <w:suppressLineNumbers w:val="0"/>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〔2020〕254 号</w:t>
            </w:r>
          </w:p>
        </w:tc>
      </w:tr>
      <w:tr w14:paraId="5523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5857915C">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59F2F172">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28F17344">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213402F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1D06BC0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梅江取水口上游3000米至取水口下游300米的多年平均水位对应的高程线以下的河道范围（一级保护区及航道除外）。</w:t>
            </w:r>
          </w:p>
        </w:tc>
        <w:tc>
          <w:tcPr>
            <w:tcW w:w="1615" w:type="pct"/>
            <w:shd w:val="clear" w:color="auto" w:fill="auto"/>
            <w:vAlign w:val="center"/>
          </w:tcPr>
          <w:p w14:paraId="578BE5F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相应一级保护区陆域及二级保护区水域两岸向陆纵深1000米的陆域,但不超过防洪堤坝、乡道464邻水一侧路肩及流域分水岭范围。</w:t>
            </w:r>
          </w:p>
        </w:tc>
        <w:tc>
          <w:tcPr>
            <w:tcW w:w="484" w:type="pct"/>
            <w:vMerge w:val="continue"/>
            <w:shd w:val="clear" w:color="auto" w:fill="auto"/>
            <w:vAlign w:val="center"/>
          </w:tcPr>
          <w:p w14:paraId="3E21D414">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2C84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2BBC8A79">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21</w:t>
            </w:r>
          </w:p>
        </w:tc>
        <w:tc>
          <w:tcPr>
            <w:tcW w:w="333" w:type="pct"/>
            <w:vMerge w:val="restart"/>
            <w:shd w:val="clear" w:color="auto" w:fill="auto"/>
            <w:vAlign w:val="center"/>
          </w:tcPr>
          <w:p w14:paraId="2E8B260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w:t>
            </w:r>
          </w:p>
        </w:tc>
        <w:tc>
          <w:tcPr>
            <w:tcW w:w="396" w:type="pct"/>
            <w:vMerge w:val="restart"/>
            <w:shd w:val="clear" w:color="auto" w:fill="auto"/>
            <w:vAlign w:val="center"/>
          </w:tcPr>
          <w:p w14:paraId="0176A88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兴宁市福岭水库饮用水源保护区</w:t>
            </w:r>
          </w:p>
        </w:tc>
        <w:tc>
          <w:tcPr>
            <w:tcW w:w="463" w:type="pct"/>
            <w:shd w:val="clear" w:color="auto" w:fill="auto"/>
            <w:vAlign w:val="center"/>
          </w:tcPr>
          <w:p w14:paraId="6A3927A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0CE200E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福岭水库库区向兴宁机场供水点为中心800米范围内的水域，水质保护目标为Ⅱ类</w:t>
            </w:r>
          </w:p>
        </w:tc>
        <w:tc>
          <w:tcPr>
            <w:tcW w:w="1615" w:type="pct"/>
            <w:shd w:val="clear" w:color="auto" w:fill="auto"/>
            <w:vAlign w:val="center"/>
          </w:tcPr>
          <w:p w14:paraId="7DE6631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484" w:type="pct"/>
            <w:vMerge w:val="restart"/>
            <w:shd w:val="clear" w:color="auto" w:fill="auto"/>
            <w:vAlign w:val="center"/>
          </w:tcPr>
          <w:p w14:paraId="391A6589">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粤府函</w:t>
            </w:r>
          </w:p>
          <w:p w14:paraId="254468C5">
            <w:pPr>
              <w:keepNext w:val="0"/>
              <w:keepLines w:val="0"/>
              <w:widowControl/>
              <w:suppressLineNumbers w:val="0"/>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〔1999〕42号</w:t>
            </w:r>
          </w:p>
        </w:tc>
      </w:tr>
      <w:tr w14:paraId="6671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744B0CC8">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6CA8E197">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23C1ED3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1C10FAB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28DAA68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福岭水库62米正常水位线内除一级保护区外的水域，入库河流上溯1000米河段水域。水质保护目标为Ⅱ类</w:t>
            </w:r>
          </w:p>
        </w:tc>
        <w:tc>
          <w:tcPr>
            <w:tcW w:w="1615" w:type="pct"/>
            <w:shd w:val="clear" w:color="auto" w:fill="auto"/>
            <w:vAlign w:val="center"/>
          </w:tcPr>
          <w:p w14:paraId="3F22D10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福岭水库62米正常水位线向陆纵深1000米集雨区，入库河流相应二级保护区水域两岸向陆纵深200米陆域。</w:t>
            </w:r>
          </w:p>
        </w:tc>
        <w:tc>
          <w:tcPr>
            <w:tcW w:w="484" w:type="pct"/>
            <w:vMerge w:val="continue"/>
            <w:shd w:val="clear" w:color="auto" w:fill="auto"/>
            <w:vAlign w:val="center"/>
          </w:tcPr>
          <w:p w14:paraId="591CA286">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5EF1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0D7B0E8E">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22</w:t>
            </w:r>
          </w:p>
        </w:tc>
        <w:tc>
          <w:tcPr>
            <w:tcW w:w="333" w:type="pct"/>
            <w:vMerge w:val="restart"/>
            <w:shd w:val="clear" w:color="auto" w:fill="auto"/>
            <w:vAlign w:val="center"/>
          </w:tcPr>
          <w:p w14:paraId="371EC31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黄陂镇</w:t>
            </w:r>
          </w:p>
        </w:tc>
        <w:tc>
          <w:tcPr>
            <w:tcW w:w="396" w:type="pct"/>
            <w:vMerge w:val="restart"/>
            <w:shd w:val="clear" w:color="auto" w:fill="auto"/>
            <w:vAlign w:val="center"/>
          </w:tcPr>
          <w:p w14:paraId="1E40607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黄陂镇上翁村温公水库饮用水水源保护区</w:t>
            </w:r>
          </w:p>
        </w:tc>
        <w:tc>
          <w:tcPr>
            <w:tcW w:w="463" w:type="pct"/>
            <w:shd w:val="clear" w:color="auto" w:fill="auto"/>
            <w:vAlign w:val="center"/>
          </w:tcPr>
          <w:p w14:paraId="4565791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5BFBED0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温公水库取水口半径300米范围内多年</w:t>
            </w:r>
            <w:r>
              <w:rPr>
                <w:rFonts w:hint="default" w:ascii="Times New Roman" w:hAnsi="Times New Roman" w:eastAsia="仿宋_GB2312" w:cs="Times New Roman"/>
                <w:b w:val="0"/>
                <w:bCs w:val="0"/>
                <w:snapToGrid/>
                <w:color w:val="auto"/>
                <w:kern w:val="2"/>
                <w:sz w:val="24"/>
                <w:szCs w:val="21"/>
                <w:lang w:val="en-US" w:eastAsia="zh-CN" w:bidi="ar-SA"/>
              </w:rPr>
              <w:t>平均水位对应的高程线以下的全部水域。</w:t>
            </w:r>
          </w:p>
        </w:tc>
        <w:tc>
          <w:tcPr>
            <w:tcW w:w="1615" w:type="pct"/>
            <w:shd w:val="clear" w:color="auto" w:fill="auto"/>
            <w:vAlign w:val="center"/>
          </w:tcPr>
          <w:p w14:paraId="4E5C15F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相应一级保护区水域外200</w:t>
            </w:r>
            <w:r>
              <w:rPr>
                <w:rFonts w:hint="default" w:ascii="Times New Roman" w:hAnsi="Times New Roman" w:eastAsia="仿宋_GB2312" w:cs="Times New Roman"/>
                <w:b w:val="0"/>
                <w:bCs w:val="0"/>
                <w:snapToGrid/>
                <w:color w:val="auto"/>
                <w:kern w:val="2"/>
                <w:sz w:val="24"/>
                <w:szCs w:val="21"/>
                <w:lang w:val="en-US" w:eastAsia="zh-CN" w:bidi="ar-SA"/>
              </w:rPr>
              <w:t>米范围内的陆域，但不超过堤坝和流域分水岭范围。</w:t>
            </w:r>
          </w:p>
        </w:tc>
        <w:tc>
          <w:tcPr>
            <w:tcW w:w="484" w:type="pct"/>
            <w:vMerge w:val="restart"/>
            <w:shd w:val="clear" w:color="auto" w:fill="auto"/>
            <w:vAlign w:val="center"/>
          </w:tcPr>
          <w:p w14:paraId="338EDE19">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梅市府函</w:t>
            </w:r>
          </w:p>
          <w:p w14:paraId="35FEF8E8">
            <w:pPr>
              <w:keepNext w:val="0"/>
              <w:keepLines w:val="0"/>
              <w:widowControl/>
              <w:suppressLineNumbers w:val="0"/>
              <w:jc w:val="center"/>
              <w:rPr>
                <w:rFonts w:hint="eastAsia" w:ascii="仿宋" w:hAnsi="仿宋" w:eastAsia="仿宋" w:cs="仿宋"/>
                <w:snapToGrid w:val="0"/>
                <w:color w:val="auto"/>
                <w:kern w:val="0"/>
                <w:sz w:val="24"/>
                <w:szCs w:val="24"/>
                <w:lang w:val="en-US" w:eastAsia="zh-CN" w:bidi="ar"/>
              </w:rPr>
            </w:pPr>
            <w:r>
              <w:rPr>
                <w:rFonts w:hint="eastAsia" w:ascii="仿宋" w:hAnsi="仿宋" w:eastAsia="仿宋" w:cs="仿宋"/>
                <w:snapToGrid w:val="0"/>
                <w:color w:val="auto"/>
                <w:kern w:val="0"/>
                <w:sz w:val="24"/>
                <w:szCs w:val="24"/>
                <w:lang w:val="en-US" w:eastAsia="zh-CN" w:bidi="ar"/>
              </w:rPr>
              <w:t>〔2020〕</w:t>
            </w:r>
          </w:p>
          <w:p w14:paraId="6D5EB092">
            <w:pPr>
              <w:keepNext w:val="0"/>
              <w:keepLines w:val="0"/>
              <w:widowControl/>
              <w:suppressLineNumbers w:val="0"/>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254号</w:t>
            </w:r>
          </w:p>
        </w:tc>
      </w:tr>
      <w:tr w14:paraId="2FE1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70F0188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1EB77546">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0B0E74CD">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1F99513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7B5102E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温公水库平均水位对应的高程线以下的</w:t>
            </w:r>
            <w:r>
              <w:rPr>
                <w:rFonts w:hint="default" w:ascii="Times New Roman" w:hAnsi="Times New Roman" w:eastAsia="仿宋_GB2312" w:cs="Times New Roman"/>
                <w:b w:val="0"/>
                <w:bCs w:val="0"/>
                <w:snapToGrid/>
                <w:color w:val="auto"/>
                <w:kern w:val="2"/>
                <w:sz w:val="24"/>
                <w:szCs w:val="21"/>
                <w:lang w:val="en-US" w:eastAsia="zh-CN" w:bidi="ar-SA"/>
              </w:rPr>
              <w:t>全部水域（一级保护区水域范围除外）。</w:t>
            </w:r>
          </w:p>
        </w:tc>
        <w:tc>
          <w:tcPr>
            <w:tcW w:w="1615" w:type="pct"/>
            <w:shd w:val="clear" w:color="auto" w:fill="auto"/>
            <w:vAlign w:val="center"/>
          </w:tcPr>
          <w:p w14:paraId="11B4021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取水口上游流域分水岭范</w:t>
            </w:r>
            <w:r>
              <w:rPr>
                <w:rFonts w:hint="default" w:ascii="Times New Roman" w:hAnsi="Times New Roman" w:eastAsia="仿宋_GB2312" w:cs="Times New Roman"/>
                <w:b w:val="0"/>
                <w:bCs w:val="0"/>
                <w:snapToGrid/>
                <w:color w:val="auto"/>
                <w:kern w:val="2"/>
                <w:sz w:val="24"/>
                <w:szCs w:val="21"/>
                <w:lang w:val="en-US" w:eastAsia="zh-CN" w:bidi="ar-SA"/>
              </w:rPr>
              <w:t>围内的全部陆域（一级保护区陆域范围除外）。</w:t>
            </w:r>
          </w:p>
        </w:tc>
        <w:tc>
          <w:tcPr>
            <w:tcW w:w="484" w:type="pct"/>
            <w:vMerge w:val="continue"/>
            <w:shd w:val="clear" w:color="auto" w:fill="auto"/>
            <w:vAlign w:val="center"/>
          </w:tcPr>
          <w:p w14:paraId="1A177947">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0474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shd w:val="clear" w:color="auto" w:fill="auto"/>
            <w:vAlign w:val="center"/>
          </w:tcPr>
          <w:p w14:paraId="78CE65BF">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23</w:t>
            </w:r>
          </w:p>
        </w:tc>
        <w:tc>
          <w:tcPr>
            <w:tcW w:w="333" w:type="pct"/>
            <w:shd w:val="clear" w:color="auto" w:fill="auto"/>
            <w:vAlign w:val="center"/>
          </w:tcPr>
          <w:p w14:paraId="399D7E1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新圩镇</w:t>
            </w:r>
          </w:p>
        </w:tc>
        <w:tc>
          <w:tcPr>
            <w:tcW w:w="396" w:type="pct"/>
            <w:shd w:val="clear" w:color="auto" w:fill="auto"/>
            <w:vAlign w:val="center"/>
          </w:tcPr>
          <w:p w14:paraId="4E33CDB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新圩镇民新村黎陂寨水库饮用水水源保护区</w:t>
            </w:r>
          </w:p>
        </w:tc>
        <w:tc>
          <w:tcPr>
            <w:tcW w:w="463" w:type="pct"/>
            <w:shd w:val="clear" w:color="auto" w:fill="auto"/>
            <w:vAlign w:val="center"/>
          </w:tcPr>
          <w:p w14:paraId="620467C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1A71C95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黎陂寨水库多年平均水位对应的高程线以下全部水域。</w:t>
            </w:r>
          </w:p>
        </w:tc>
        <w:tc>
          <w:tcPr>
            <w:tcW w:w="1615" w:type="pct"/>
            <w:shd w:val="clear" w:color="auto" w:fill="auto"/>
            <w:vAlign w:val="center"/>
          </w:tcPr>
          <w:p w14:paraId="4AEBE95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取水口上游流域分水岭范</w:t>
            </w:r>
            <w:r>
              <w:rPr>
                <w:rFonts w:hint="default" w:ascii="Times New Roman" w:hAnsi="Times New Roman" w:eastAsia="仿宋_GB2312" w:cs="Times New Roman"/>
                <w:b w:val="0"/>
                <w:bCs w:val="0"/>
                <w:snapToGrid/>
                <w:color w:val="auto"/>
                <w:kern w:val="2"/>
                <w:sz w:val="24"/>
                <w:szCs w:val="21"/>
                <w:lang w:val="en-US" w:eastAsia="zh-CN" w:bidi="ar-SA"/>
              </w:rPr>
              <w:t>围内的全部陆域。</w:t>
            </w:r>
          </w:p>
        </w:tc>
        <w:tc>
          <w:tcPr>
            <w:tcW w:w="484" w:type="pct"/>
            <w:shd w:val="clear" w:color="auto" w:fill="auto"/>
            <w:vAlign w:val="center"/>
          </w:tcPr>
          <w:p w14:paraId="5C791634">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梅市府函</w:t>
            </w:r>
          </w:p>
          <w:p w14:paraId="7C1DE767">
            <w:pPr>
              <w:keepNext w:val="0"/>
              <w:keepLines w:val="0"/>
              <w:widowControl/>
              <w:suppressLineNumbers w:val="0"/>
              <w:jc w:val="center"/>
              <w:rPr>
                <w:rFonts w:hint="eastAsia" w:ascii="仿宋" w:hAnsi="仿宋" w:eastAsia="仿宋" w:cs="仿宋"/>
                <w:snapToGrid w:val="0"/>
                <w:color w:val="auto"/>
                <w:kern w:val="0"/>
                <w:sz w:val="24"/>
                <w:szCs w:val="24"/>
                <w:lang w:val="en-US" w:eastAsia="zh-CN" w:bidi="ar"/>
              </w:rPr>
            </w:pPr>
            <w:r>
              <w:rPr>
                <w:rFonts w:hint="eastAsia" w:ascii="仿宋" w:hAnsi="仿宋" w:eastAsia="仿宋" w:cs="仿宋"/>
                <w:snapToGrid w:val="0"/>
                <w:color w:val="auto"/>
                <w:kern w:val="0"/>
                <w:sz w:val="24"/>
                <w:szCs w:val="24"/>
                <w:lang w:val="en-US" w:eastAsia="zh-CN" w:bidi="ar"/>
              </w:rPr>
              <w:t>〔2020〕</w:t>
            </w:r>
          </w:p>
          <w:p w14:paraId="3F09539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254号</w:t>
            </w:r>
          </w:p>
        </w:tc>
      </w:tr>
      <w:tr w14:paraId="677F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restart"/>
            <w:shd w:val="clear" w:color="auto" w:fill="auto"/>
            <w:vAlign w:val="center"/>
          </w:tcPr>
          <w:p w14:paraId="7392D272">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24</w:t>
            </w:r>
          </w:p>
        </w:tc>
        <w:tc>
          <w:tcPr>
            <w:tcW w:w="333" w:type="pct"/>
            <w:vMerge w:val="restart"/>
            <w:shd w:val="clear" w:color="auto" w:fill="auto"/>
            <w:vAlign w:val="center"/>
          </w:tcPr>
          <w:p w14:paraId="4516539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永和镇</w:t>
            </w:r>
          </w:p>
        </w:tc>
        <w:tc>
          <w:tcPr>
            <w:tcW w:w="396" w:type="pct"/>
            <w:vMerge w:val="restart"/>
            <w:shd w:val="clear" w:color="auto" w:fill="auto"/>
            <w:vAlign w:val="center"/>
          </w:tcPr>
          <w:p w14:paraId="3E530A3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永和镇新寨村百二断饮用水水源保护区</w:t>
            </w:r>
          </w:p>
        </w:tc>
        <w:tc>
          <w:tcPr>
            <w:tcW w:w="463" w:type="pct"/>
            <w:shd w:val="clear" w:color="auto" w:fill="auto"/>
            <w:vAlign w:val="center"/>
          </w:tcPr>
          <w:p w14:paraId="0B68E3C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7572CCD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取水口上溯至东面山溪源头（约600</w:t>
            </w:r>
            <w:r>
              <w:rPr>
                <w:rFonts w:hint="default" w:ascii="Times New Roman" w:hAnsi="Times New Roman" w:eastAsia="仿宋_GB2312" w:cs="Times New Roman"/>
                <w:b w:val="0"/>
                <w:bCs w:val="0"/>
                <w:snapToGrid/>
                <w:color w:val="auto"/>
                <w:kern w:val="2"/>
                <w:sz w:val="24"/>
                <w:szCs w:val="21"/>
                <w:lang w:val="en-US" w:eastAsia="zh-CN" w:bidi="ar-SA"/>
              </w:rPr>
              <w:t>米）、取水口上溯约430米至百二断水库及取水口下游100米的山溪水域，百二断水库多年平均水位对应的高程线以下的全部水域。</w:t>
            </w:r>
          </w:p>
        </w:tc>
        <w:tc>
          <w:tcPr>
            <w:tcW w:w="1615" w:type="pct"/>
            <w:shd w:val="clear" w:color="auto" w:fill="auto"/>
            <w:vAlign w:val="center"/>
          </w:tcPr>
          <w:p w14:paraId="2127B21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相应一级保护区河道两岸</w:t>
            </w:r>
            <w:r>
              <w:rPr>
                <w:rFonts w:hint="default" w:ascii="Times New Roman" w:hAnsi="Times New Roman" w:eastAsia="仿宋_GB2312" w:cs="Times New Roman"/>
                <w:b w:val="0"/>
                <w:bCs w:val="0"/>
                <w:snapToGrid/>
                <w:color w:val="auto"/>
                <w:kern w:val="2"/>
                <w:sz w:val="24"/>
                <w:szCs w:val="21"/>
                <w:lang w:val="en-US" w:eastAsia="zh-CN" w:bidi="ar-SA"/>
              </w:rPr>
              <w:t>向陆纵深至第一重山脊线的陆域及百二断水库上游流域分水岭范围内的全部陆域。</w:t>
            </w:r>
          </w:p>
        </w:tc>
        <w:tc>
          <w:tcPr>
            <w:tcW w:w="484" w:type="pct"/>
            <w:vMerge w:val="restart"/>
            <w:shd w:val="clear" w:color="auto" w:fill="auto"/>
            <w:vAlign w:val="center"/>
          </w:tcPr>
          <w:p w14:paraId="0C3BD7A1">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梅市府函</w:t>
            </w:r>
          </w:p>
          <w:p w14:paraId="639C8916">
            <w:pPr>
              <w:keepNext w:val="0"/>
              <w:keepLines w:val="0"/>
              <w:widowControl/>
              <w:suppressLineNumbers w:val="0"/>
              <w:jc w:val="center"/>
              <w:rPr>
                <w:rFonts w:hint="eastAsia" w:ascii="仿宋" w:hAnsi="仿宋" w:eastAsia="仿宋" w:cs="仿宋"/>
                <w:snapToGrid w:val="0"/>
                <w:color w:val="auto"/>
                <w:kern w:val="0"/>
                <w:sz w:val="24"/>
                <w:szCs w:val="24"/>
                <w:lang w:val="en-US" w:eastAsia="zh-CN" w:bidi="ar"/>
              </w:rPr>
            </w:pPr>
            <w:r>
              <w:rPr>
                <w:rFonts w:hint="eastAsia" w:ascii="仿宋" w:hAnsi="仿宋" w:eastAsia="仿宋" w:cs="仿宋"/>
                <w:snapToGrid w:val="0"/>
                <w:color w:val="auto"/>
                <w:kern w:val="0"/>
                <w:sz w:val="24"/>
                <w:szCs w:val="24"/>
                <w:lang w:val="en-US" w:eastAsia="zh-CN" w:bidi="ar"/>
              </w:rPr>
              <w:t>〔2020〕</w:t>
            </w:r>
          </w:p>
          <w:p w14:paraId="597A9D6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254号</w:t>
            </w:r>
          </w:p>
        </w:tc>
      </w:tr>
      <w:tr w14:paraId="08A8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vMerge w:val="continue"/>
            <w:shd w:val="clear" w:color="auto" w:fill="auto"/>
            <w:vAlign w:val="center"/>
          </w:tcPr>
          <w:p w14:paraId="2D2B042E">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33" w:type="pct"/>
            <w:vMerge w:val="continue"/>
            <w:shd w:val="clear" w:color="auto" w:fill="auto"/>
            <w:vAlign w:val="center"/>
          </w:tcPr>
          <w:p w14:paraId="3C1FD6D6">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396" w:type="pct"/>
            <w:vMerge w:val="continue"/>
            <w:shd w:val="clear" w:color="auto" w:fill="auto"/>
            <w:vAlign w:val="center"/>
          </w:tcPr>
          <w:p w14:paraId="70EC74D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63" w:type="pct"/>
            <w:shd w:val="clear" w:color="auto" w:fill="auto"/>
            <w:vAlign w:val="center"/>
          </w:tcPr>
          <w:p w14:paraId="60FC2A0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二级保护区</w:t>
            </w:r>
          </w:p>
        </w:tc>
        <w:tc>
          <w:tcPr>
            <w:tcW w:w="1522" w:type="pct"/>
            <w:shd w:val="clear" w:color="auto" w:fill="auto"/>
            <w:vAlign w:val="center"/>
          </w:tcPr>
          <w:p w14:paraId="27D7153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w:t>
            </w:r>
          </w:p>
        </w:tc>
        <w:tc>
          <w:tcPr>
            <w:tcW w:w="1615" w:type="pct"/>
            <w:shd w:val="clear" w:color="auto" w:fill="auto"/>
            <w:vAlign w:val="center"/>
          </w:tcPr>
          <w:p w14:paraId="673267B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取水口上游流域分水岭范</w:t>
            </w:r>
            <w:r>
              <w:rPr>
                <w:rFonts w:hint="default" w:ascii="Times New Roman" w:hAnsi="Times New Roman" w:eastAsia="仿宋_GB2312" w:cs="Times New Roman"/>
                <w:b w:val="0"/>
                <w:bCs w:val="0"/>
                <w:snapToGrid/>
                <w:color w:val="auto"/>
                <w:kern w:val="2"/>
                <w:sz w:val="24"/>
                <w:szCs w:val="21"/>
                <w:lang w:val="en-US" w:eastAsia="zh-CN" w:bidi="ar-SA"/>
              </w:rPr>
              <w:t>围内的全部陆域（一级保护区陆域范围除外）。</w:t>
            </w:r>
          </w:p>
        </w:tc>
        <w:tc>
          <w:tcPr>
            <w:tcW w:w="484" w:type="pct"/>
            <w:vMerge w:val="continue"/>
            <w:shd w:val="clear" w:color="auto" w:fill="auto"/>
            <w:vAlign w:val="center"/>
          </w:tcPr>
          <w:p w14:paraId="129A83C6">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6E7A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4" w:hRule="atLeast"/>
          <w:jc w:val="center"/>
        </w:trPr>
        <w:tc>
          <w:tcPr>
            <w:tcW w:w="183" w:type="pct"/>
            <w:shd w:val="clear" w:color="auto" w:fill="auto"/>
            <w:vAlign w:val="center"/>
          </w:tcPr>
          <w:p w14:paraId="1FD68031">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25</w:t>
            </w:r>
          </w:p>
        </w:tc>
        <w:tc>
          <w:tcPr>
            <w:tcW w:w="333" w:type="pct"/>
            <w:shd w:val="clear" w:color="auto" w:fill="auto"/>
            <w:vAlign w:val="center"/>
          </w:tcPr>
          <w:p w14:paraId="1A31791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新陂镇</w:t>
            </w:r>
          </w:p>
        </w:tc>
        <w:tc>
          <w:tcPr>
            <w:tcW w:w="396" w:type="pct"/>
            <w:shd w:val="clear" w:color="auto" w:fill="auto"/>
            <w:vAlign w:val="center"/>
          </w:tcPr>
          <w:p w14:paraId="0964FF6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新陂镇乐仙村仙人坐石水库饮用水水源保护区</w:t>
            </w:r>
          </w:p>
        </w:tc>
        <w:tc>
          <w:tcPr>
            <w:tcW w:w="463" w:type="pct"/>
            <w:shd w:val="clear" w:color="auto" w:fill="auto"/>
            <w:vAlign w:val="center"/>
          </w:tcPr>
          <w:p w14:paraId="17A2C11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301DC10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仙人坐石水库多年平均水位对应的高程线以下的全部水域。</w:t>
            </w:r>
          </w:p>
        </w:tc>
        <w:tc>
          <w:tcPr>
            <w:tcW w:w="1615" w:type="pct"/>
            <w:shd w:val="clear" w:color="auto" w:fill="auto"/>
            <w:vAlign w:val="center"/>
          </w:tcPr>
          <w:p w14:paraId="7C20D04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取水口上游流域分水岭范</w:t>
            </w:r>
            <w:r>
              <w:rPr>
                <w:rFonts w:hint="default" w:ascii="Times New Roman" w:hAnsi="Times New Roman" w:eastAsia="仿宋_GB2312" w:cs="Times New Roman"/>
                <w:b w:val="0"/>
                <w:bCs w:val="0"/>
                <w:snapToGrid/>
                <w:color w:val="auto"/>
                <w:kern w:val="2"/>
                <w:sz w:val="24"/>
                <w:szCs w:val="21"/>
                <w:lang w:val="en-US" w:eastAsia="zh-CN" w:bidi="ar-SA"/>
              </w:rPr>
              <w:t>围内的全部陆域（兴宁市新陂镇第一石场范围除外）。</w:t>
            </w:r>
          </w:p>
        </w:tc>
        <w:tc>
          <w:tcPr>
            <w:tcW w:w="484" w:type="pct"/>
            <w:shd w:val="clear" w:color="auto" w:fill="auto"/>
            <w:vAlign w:val="center"/>
          </w:tcPr>
          <w:p w14:paraId="5E723E1A">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梅市府函</w:t>
            </w:r>
          </w:p>
          <w:p w14:paraId="0CB2857A">
            <w:pPr>
              <w:keepNext w:val="0"/>
              <w:keepLines w:val="0"/>
              <w:widowControl/>
              <w:suppressLineNumbers w:val="0"/>
              <w:jc w:val="center"/>
              <w:rPr>
                <w:rFonts w:hint="eastAsia" w:ascii="仿宋" w:hAnsi="仿宋" w:eastAsia="仿宋" w:cs="仿宋"/>
                <w:snapToGrid w:val="0"/>
                <w:color w:val="auto"/>
                <w:kern w:val="0"/>
                <w:sz w:val="24"/>
                <w:szCs w:val="24"/>
                <w:lang w:val="en-US" w:eastAsia="zh-CN" w:bidi="ar"/>
              </w:rPr>
            </w:pPr>
            <w:r>
              <w:rPr>
                <w:rFonts w:hint="eastAsia" w:ascii="仿宋" w:hAnsi="仿宋" w:eastAsia="仿宋" w:cs="仿宋"/>
                <w:snapToGrid w:val="0"/>
                <w:color w:val="auto"/>
                <w:kern w:val="0"/>
                <w:sz w:val="24"/>
                <w:szCs w:val="24"/>
                <w:lang w:val="en-US" w:eastAsia="zh-CN" w:bidi="ar"/>
              </w:rPr>
              <w:t>〔2020〕</w:t>
            </w:r>
          </w:p>
          <w:p w14:paraId="10B662E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254号</w:t>
            </w:r>
          </w:p>
        </w:tc>
      </w:tr>
      <w:tr w14:paraId="4394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shd w:val="clear" w:color="auto" w:fill="auto"/>
            <w:vAlign w:val="center"/>
          </w:tcPr>
          <w:p w14:paraId="18DCBB4C">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26</w:t>
            </w:r>
          </w:p>
        </w:tc>
        <w:tc>
          <w:tcPr>
            <w:tcW w:w="333" w:type="pct"/>
            <w:shd w:val="clear" w:color="auto" w:fill="auto"/>
            <w:vAlign w:val="center"/>
          </w:tcPr>
          <w:p w14:paraId="55D3A48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石马镇</w:t>
            </w:r>
          </w:p>
        </w:tc>
        <w:tc>
          <w:tcPr>
            <w:tcW w:w="396" w:type="pct"/>
            <w:shd w:val="clear" w:color="auto" w:fill="auto"/>
            <w:vAlign w:val="center"/>
          </w:tcPr>
          <w:p w14:paraId="7ED2577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石马镇大觉村山寮下饮用水水源保护区</w:t>
            </w:r>
          </w:p>
        </w:tc>
        <w:tc>
          <w:tcPr>
            <w:tcW w:w="463" w:type="pct"/>
            <w:shd w:val="clear" w:color="auto" w:fill="auto"/>
            <w:vAlign w:val="center"/>
          </w:tcPr>
          <w:p w14:paraId="24A2F72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386E2EC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取水口上溯至山溪源头（约770米）、取</w:t>
            </w:r>
            <w:r>
              <w:rPr>
                <w:rFonts w:hint="default" w:ascii="Times New Roman" w:hAnsi="Times New Roman" w:eastAsia="仿宋_GB2312" w:cs="Times New Roman"/>
                <w:b w:val="0"/>
                <w:bCs w:val="0"/>
                <w:snapToGrid/>
                <w:color w:val="auto"/>
                <w:kern w:val="2"/>
                <w:sz w:val="24"/>
                <w:szCs w:val="21"/>
                <w:lang w:val="en-US" w:eastAsia="zh-CN" w:bidi="ar-SA"/>
              </w:rPr>
              <w:t>水口下游100米的山溪水域。</w:t>
            </w:r>
          </w:p>
        </w:tc>
        <w:tc>
          <w:tcPr>
            <w:tcW w:w="1615" w:type="pct"/>
            <w:shd w:val="clear" w:color="auto" w:fill="auto"/>
            <w:vAlign w:val="center"/>
          </w:tcPr>
          <w:p w14:paraId="647FC8A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相应取水口下游一级保护</w:t>
            </w:r>
            <w:r>
              <w:rPr>
                <w:rFonts w:hint="default" w:ascii="Times New Roman" w:hAnsi="Times New Roman" w:eastAsia="仿宋_GB2312" w:cs="Times New Roman"/>
                <w:b w:val="0"/>
                <w:bCs w:val="0"/>
                <w:snapToGrid/>
                <w:color w:val="auto"/>
                <w:kern w:val="2"/>
                <w:sz w:val="24"/>
                <w:szCs w:val="21"/>
                <w:lang w:val="en-US" w:eastAsia="zh-CN" w:bidi="ar-SA"/>
              </w:rPr>
              <w:t>区水域两岸向陆纵深50米的陆域及取水口上游流域分水岭范围内的全部陆域。</w:t>
            </w:r>
          </w:p>
        </w:tc>
        <w:tc>
          <w:tcPr>
            <w:tcW w:w="484" w:type="pct"/>
            <w:shd w:val="clear" w:color="auto" w:fill="auto"/>
            <w:vAlign w:val="center"/>
          </w:tcPr>
          <w:p w14:paraId="1DBDE831">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梅市府函</w:t>
            </w:r>
          </w:p>
          <w:p w14:paraId="67F73651">
            <w:pPr>
              <w:keepNext w:val="0"/>
              <w:keepLines w:val="0"/>
              <w:widowControl/>
              <w:suppressLineNumbers w:val="0"/>
              <w:jc w:val="center"/>
              <w:rPr>
                <w:rFonts w:hint="eastAsia" w:ascii="仿宋" w:hAnsi="仿宋" w:eastAsia="仿宋" w:cs="仿宋"/>
                <w:snapToGrid w:val="0"/>
                <w:color w:val="auto"/>
                <w:kern w:val="0"/>
                <w:sz w:val="24"/>
                <w:szCs w:val="24"/>
                <w:lang w:val="en-US" w:eastAsia="zh-CN" w:bidi="ar"/>
              </w:rPr>
            </w:pPr>
            <w:r>
              <w:rPr>
                <w:rFonts w:hint="eastAsia" w:ascii="仿宋" w:hAnsi="仿宋" w:eastAsia="仿宋" w:cs="仿宋"/>
                <w:snapToGrid w:val="0"/>
                <w:color w:val="auto"/>
                <w:kern w:val="0"/>
                <w:sz w:val="24"/>
                <w:szCs w:val="24"/>
                <w:lang w:val="en-US" w:eastAsia="zh-CN" w:bidi="ar"/>
              </w:rPr>
              <w:t>〔2020〕</w:t>
            </w:r>
          </w:p>
          <w:p w14:paraId="6876B83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254号</w:t>
            </w:r>
          </w:p>
        </w:tc>
      </w:tr>
      <w:tr w14:paraId="6DFC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3" w:type="pct"/>
            <w:shd w:val="clear" w:color="auto" w:fill="auto"/>
            <w:vAlign w:val="center"/>
          </w:tcPr>
          <w:p w14:paraId="5674799C">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27</w:t>
            </w:r>
          </w:p>
        </w:tc>
        <w:tc>
          <w:tcPr>
            <w:tcW w:w="333" w:type="pct"/>
            <w:shd w:val="clear" w:color="auto" w:fill="auto"/>
            <w:vAlign w:val="center"/>
          </w:tcPr>
          <w:p w14:paraId="27D9E87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w:t>
            </w:r>
          </w:p>
        </w:tc>
        <w:tc>
          <w:tcPr>
            <w:tcW w:w="396" w:type="pct"/>
            <w:shd w:val="clear" w:color="auto" w:fill="auto"/>
            <w:vAlign w:val="center"/>
          </w:tcPr>
          <w:p w14:paraId="038727E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径南镇马山村饮用水水源保护区</w:t>
            </w:r>
          </w:p>
        </w:tc>
        <w:tc>
          <w:tcPr>
            <w:tcW w:w="463" w:type="pct"/>
            <w:shd w:val="clear" w:color="auto" w:fill="auto"/>
            <w:vAlign w:val="center"/>
          </w:tcPr>
          <w:p w14:paraId="722D462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一级保护区</w:t>
            </w:r>
          </w:p>
        </w:tc>
        <w:tc>
          <w:tcPr>
            <w:tcW w:w="1522" w:type="pct"/>
            <w:shd w:val="clear" w:color="auto" w:fill="auto"/>
            <w:vAlign w:val="center"/>
          </w:tcPr>
          <w:p w14:paraId="507A494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1号取水口上溯至山溪源头（约500米）、</w:t>
            </w:r>
            <w:r>
              <w:rPr>
                <w:rFonts w:hint="default" w:ascii="Times New Roman" w:hAnsi="Times New Roman" w:eastAsia="仿宋_GB2312" w:cs="Times New Roman"/>
                <w:b w:val="0"/>
                <w:bCs w:val="0"/>
                <w:snapToGrid/>
                <w:color w:val="auto"/>
                <w:kern w:val="2"/>
                <w:sz w:val="24"/>
                <w:szCs w:val="21"/>
                <w:lang w:val="en-US" w:eastAsia="zh-CN" w:bidi="ar-SA"/>
              </w:rPr>
              <w:t>取水口下游100米的山溪水域；2号取水口上溯至山溪源头（西南侧支流约650米、东南侧支流约600米、东北侧支流约280米）、取水口下游100米的山溪水域。</w:t>
            </w:r>
          </w:p>
        </w:tc>
        <w:tc>
          <w:tcPr>
            <w:tcW w:w="1615" w:type="pct"/>
            <w:shd w:val="clear" w:color="auto" w:fill="auto"/>
            <w:vAlign w:val="center"/>
          </w:tcPr>
          <w:p w14:paraId="2D89AD0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相应取水口下游一级保护</w:t>
            </w:r>
            <w:r>
              <w:rPr>
                <w:rFonts w:hint="default" w:ascii="Times New Roman" w:hAnsi="Times New Roman" w:eastAsia="仿宋_GB2312" w:cs="Times New Roman"/>
                <w:b w:val="0"/>
                <w:bCs w:val="0"/>
                <w:snapToGrid/>
                <w:color w:val="auto"/>
                <w:kern w:val="2"/>
                <w:sz w:val="24"/>
                <w:szCs w:val="21"/>
                <w:lang w:val="en-US" w:eastAsia="zh-CN" w:bidi="ar-SA"/>
              </w:rPr>
              <w:t>区水域两岸向陆纵深50米的陆域及取水口上游流域分水岭范围内的全部陆域。</w:t>
            </w:r>
          </w:p>
        </w:tc>
        <w:tc>
          <w:tcPr>
            <w:tcW w:w="484" w:type="pct"/>
            <w:shd w:val="clear" w:color="auto" w:fill="auto"/>
            <w:vAlign w:val="center"/>
          </w:tcPr>
          <w:p w14:paraId="4C2C7490">
            <w:pPr>
              <w:keepNext w:val="0"/>
              <w:keepLines w:val="0"/>
              <w:widowControl/>
              <w:suppressLineNumbers w:val="0"/>
              <w:jc w:val="center"/>
              <w:rPr>
                <w:color w:val="auto"/>
              </w:rPr>
            </w:pPr>
            <w:r>
              <w:rPr>
                <w:rFonts w:ascii="仿宋" w:hAnsi="仿宋" w:eastAsia="仿宋" w:cs="仿宋"/>
                <w:snapToGrid w:val="0"/>
                <w:color w:val="auto"/>
                <w:kern w:val="0"/>
                <w:sz w:val="24"/>
                <w:szCs w:val="24"/>
                <w:lang w:val="en-US" w:eastAsia="zh-CN" w:bidi="ar"/>
              </w:rPr>
              <w:t>梅市府函</w:t>
            </w:r>
          </w:p>
          <w:p w14:paraId="1631F5CE">
            <w:pPr>
              <w:keepNext w:val="0"/>
              <w:keepLines w:val="0"/>
              <w:widowControl/>
              <w:suppressLineNumbers w:val="0"/>
              <w:jc w:val="center"/>
              <w:rPr>
                <w:rFonts w:hint="eastAsia" w:ascii="仿宋" w:hAnsi="仿宋" w:eastAsia="仿宋" w:cs="仿宋"/>
                <w:snapToGrid w:val="0"/>
                <w:color w:val="auto"/>
                <w:kern w:val="0"/>
                <w:sz w:val="24"/>
                <w:szCs w:val="24"/>
                <w:lang w:val="en-US" w:eastAsia="zh-CN" w:bidi="ar"/>
              </w:rPr>
            </w:pPr>
            <w:r>
              <w:rPr>
                <w:rFonts w:hint="eastAsia" w:ascii="仿宋" w:hAnsi="仿宋" w:eastAsia="仿宋" w:cs="仿宋"/>
                <w:snapToGrid w:val="0"/>
                <w:color w:val="auto"/>
                <w:kern w:val="0"/>
                <w:sz w:val="24"/>
                <w:szCs w:val="24"/>
                <w:lang w:val="en-US" w:eastAsia="zh-CN" w:bidi="ar"/>
              </w:rPr>
              <w:t>〔2020〕</w:t>
            </w:r>
          </w:p>
          <w:p w14:paraId="0B77D9D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仿宋" w:hAnsi="仿宋" w:eastAsia="仿宋" w:cs="仿宋"/>
                <w:snapToGrid w:val="0"/>
                <w:color w:val="auto"/>
                <w:kern w:val="0"/>
                <w:sz w:val="24"/>
                <w:szCs w:val="24"/>
                <w:lang w:val="en-US" w:eastAsia="zh-CN" w:bidi="ar"/>
              </w:rPr>
              <w:t>254号</w:t>
            </w:r>
          </w:p>
        </w:tc>
      </w:tr>
    </w:tbl>
    <w:p w14:paraId="2B855BFD">
      <w:pPr>
        <w:rPr>
          <w:rFonts w:ascii="Arial"/>
          <w:color w:val="auto"/>
          <w:sz w:val="21"/>
        </w:rPr>
      </w:pPr>
    </w:p>
    <w:p w14:paraId="3E1345D1">
      <w:pPr>
        <w:rPr>
          <w:rFonts w:ascii="Arial" w:hAnsi="Arial" w:eastAsia="Arial" w:cs="Arial"/>
          <w:color w:val="auto"/>
          <w:sz w:val="21"/>
          <w:szCs w:val="21"/>
        </w:rPr>
        <w:sectPr>
          <w:footerReference r:id="rId8" w:type="default"/>
          <w:pgSz w:w="16839" w:h="11907"/>
          <w:pgMar w:top="1012" w:right="1312" w:bottom="1377" w:left="1312" w:header="0" w:footer="1214" w:gutter="0"/>
          <w:pgBorders>
            <w:top w:val="none" w:sz="0" w:space="0"/>
            <w:left w:val="none" w:sz="0" w:space="0"/>
            <w:bottom w:val="none" w:sz="0" w:space="0"/>
            <w:right w:val="none" w:sz="0" w:space="0"/>
          </w:pgBorders>
          <w:pgNumType w:fmt="decimal"/>
          <w:cols w:space="720" w:num="1"/>
        </w:sectPr>
      </w:pPr>
    </w:p>
    <w:p w14:paraId="4D0D5FE4">
      <w:pPr>
        <w:keepNext w:val="0"/>
        <w:keepLines w:val="0"/>
        <w:pageBreakBefore w:val="0"/>
        <w:widowControl/>
        <w:kinsoku w:val="0"/>
        <w:wordWrap/>
        <w:overflowPunct/>
        <w:topLinePunct w:val="0"/>
        <w:autoSpaceDE w:val="0"/>
        <w:autoSpaceDN w:val="0"/>
        <w:bidi w:val="0"/>
        <w:adjustRightInd w:val="0"/>
        <w:snapToGrid w:val="0"/>
        <w:jc w:val="left"/>
        <w:textAlignment w:val="baseline"/>
        <w:outlineLvl w:val="0"/>
        <w:rPr>
          <w:rFonts w:hint="eastAsia" w:ascii="Times New Roman" w:hAnsi="Times New Roman" w:eastAsia="仿宋_GB2312" w:cs="Times New Roman"/>
          <w:b/>
          <w:bCs/>
          <w:snapToGrid/>
          <w:color w:val="auto"/>
          <w:kern w:val="2"/>
          <w:sz w:val="24"/>
          <w:szCs w:val="21"/>
          <w:lang w:val="en-US" w:eastAsia="zh-CN" w:bidi="ar-SA"/>
        </w:rPr>
      </w:pPr>
      <w:bookmarkStart w:id="10" w:name="_Toc31396"/>
      <w:r>
        <w:rPr>
          <w:rFonts w:hint="eastAsia" w:ascii="Times New Roman" w:hAnsi="Times New Roman" w:eastAsia="仿宋_GB2312" w:cs="Times New Roman"/>
          <w:snapToGrid/>
          <w:color w:val="auto"/>
          <w:kern w:val="2"/>
          <w:sz w:val="28"/>
          <w:szCs w:val="22"/>
          <w:lang w:val="en-US" w:eastAsia="zh-CN" w:bidi="ar-SA"/>
        </w:rPr>
        <w:t>附表2  兴宁市自然保护地</w:t>
      </w:r>
      <w:bookmarkEnd w:id="10"/>
    </w:p>
    <w:tbl>
      <w:tblPr>
        <w:tblStyle w:val="10"/>
        <w:tblW w:w="5402" w:type="pct"/>
        <w:jc w:val="center"/>
        <w:tblLayout w:type="fixed"/>
        <w:tblCellMar>
          <w:top w:w="0" w:type="dxa"/>
          <w:left w:w="57" w:type="dxa"/>
          <w:bottom w:w="0" w:type="dxa"/>
          <w:right w:w="57" w:type="dxa"/>
        </w:tblCellMar>
      </w:tblPr>
      <w:tblGrid>
        <w:gridCol w:w="619"/>
        <w:gridCol w:w="4073"/>
        <w:gridCol w:w="1339"/>
        <w:gridCol w:w="1229"/>
        <w:gridCol w:w="2026"/>
      </w:tblGrid>
      <w:tr w14:paraId="34984284">
        <w:tblPrEx>
          <w:tblCellMar>
            <w:top w:w="0" w:type="dxa"/>
            <w:left w:w="57" w:type="dxa"/>
            <w:bottom w:w="0" w:type="dxa"/>
            <w:right w:w="57" w:type="dxa"/>
          </w:tblCellMar>
        </w:tblPrEx>
        <w:trPr>
          <w:trHeight w:val="340" w:hRule="atLeast"/>
          <w:tblHeader/>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31FCF4C">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序号</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BDFFBCA">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自然保护地名称</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0A6AEA6">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类型</w:t>
            </w:r>
          </w:p>
        </w:tc>
        <w:tc>
          <w:tcPr>
            <w:tcW w:w="1220" w:type="dxa"/>
            <w:tcBorders>
              <w:top w:val="single" w:color="000000" w:sz="4" w:space="0"/>
              <w:left w:val="single" w:color="000000" w:sz="4" w:space="0"/>
              <w:bottom w:val="single" w:color="000000" w:sz="4" w:space="0"/>
              <w:right w:val="single" w:color="000000" w:sz="4" w:space="0"/>
            </w:tcBorders>
            <w:vAlign w:val="center"/>
          </w:tcPr>
          <w:p w14:paraId="730D4AD3">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级别</w:t>
            </w:r>
          </w:p>
        </w:tc>
        <w:tc>
          <w:tcPr>
            <w:tcW w:w="2012" w:type="dxa"/>
            <w:tcBorders>
              <w:top w:val="single" w:color="000000" w:sz="4" w:space="0"/>
              <w:left w:val="single" w:color="000000" w:sz="4" w:space="0"/>
              <w:bottom w:val="single" w:color="000000" w:sz="4" w:space="0"/>
              <w:right w:val="single" w:color="000000" w:sz="4" w:space="0"/>
            </w:tcBorders>
            <w:vAlign w:val="center"/>
          </w:tcPr>
          <w:p w14:paraId="52067AAC">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依据文件</w:t>
            </w:r>
          </w:p>
        </w:tc>
      </w:tr>
      <w:tr w14:paraId="62C34CE0">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98489B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45BB01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梅州铁山渡田河地方级自然保护区</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6E76A9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自然保护区</w:t>
            </w:r>
          </w:p>
        </w:tc>
        <w:tc>
          <w:tcPr>
            <w:tcW w:w="1220" w:type="dxa"/>
            <w:tcBorders>
              <w:top w:val="single" w:color="000000" w:sz="4" w:space="0"/>
              <w:left w:val="single" w:color="000000" w:sz="4" w:space="0"/>
              <w:bottom w:val="single" w:color="000000" w:sz="4" w:space="0"/>
              <w:right w:val="single" w:color="000000" w:sz="4" w:space="0"/>
            </w:tcBorders>
            <w:vAlign w:val="center"/>
          </w:tcPr>
          <w:p w14:paraId="5E07420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restart"/>
            <w:tcBorders>
              <w:top w:val="single" w:color="000000" w:sz="4" w:space="0"/>
              <w:left w:val="single" w:color="000000" w:sz="4" w:space="0"/>
              <w:right w:val="single" w:color="000000" w:sz="4" w:space="0"/>
            </w:tcBorders>
            <w:vAlign w:val="center"/>
          </w:tcPr>
          <w:p w14:paraId="3BF9A4D1">
            <w:pPr>
              <w:spacing w:line="360" w:lineRule="exact"/>
              <w:jc w:val="center"/>
              <w:rPr>
                <w:rFonts w:hint="eastAsia" w:ascii="仿宋" w:hAnsi="仿宋" w:eastAsia="仿宋" w:cs="仿宋"/>
                <w:b w:val="0"/>
                <w:bCs/>
                <w:color w:val="auto"/>
                <w:sz w:val="24"/>
                <w:szCs w:val="24"/>
                <w:lang w:eastAsia="zh-CN"/>
              </w:rPr>
            </w:pPr>
            <w:r>
              <w:rPr>
                <w:rFonts w:hint="eastAsia" w:ascii="仿宋" w:hAnsi="仿宋" w:eastAsia="仿宋" w:cs="仿宋"/>
                <w:b w:val="0"/>
                <w:bCs/>
                <w:color w:val="auto"/>
                <w:sz w:val="24"/>
                <w:szCs w:val="24"/>
                <w:lang w:eastAsia="zh-CN"/>
              </w:rPr>
              <w:t>《兴宁市自然保护地整合优化方案》</w:t>
            </w:r>
          </w:p>
        </w:tc>
      </w:tr>
      <w:tr w14:paraId="5C4CFF8D">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188DB4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102461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w:t>
            </w:r>
            <w:r>
              <w:rPr>
                <w:rFonts w:hint="eastAsia" w:ascii="Times New Roman" w:hAnsi="Times New Roman" w:eastAsia="仿宋_GB2312" w:cs="Times New Roman"/>
                <w:b w:val="0"/>
                <w:bCs w:val="0"/>
                <w:snapToGrid/>
                <w:color w:val="auto"/>
                <w:kern w:val="2"/>
                <w:sz w:val="24"/>
                <w:szCs w:val="21"/>
                <w:lang w:val="en-US" w:eastAsia="en-US" w:bidi="ar-SA"/>
              </w:rPr>
              <w:t>白鹤仙师</w:t>
            </w:r>
            <w:r>
              <w:rPr>
                <w:rFonts w:hint="eastAsia" w:ascii="Times New Roman" w:hAnsi="Times New Roman" w:eastAsia="仿宋_GB2312" w:cs="Times New Roman"/>
                <w:b w:val="0"/>
                <w:bCs w:val="0"/>
                <w:snapToGrid/>
                <w:color w:val="auto"/>
                <w:kern w:val="2"/>
                <w:sz w:val="24"/>
                <w:szCs w:val="21"/>
                <w:lang w:val="en-US" w:eastAsia="zh-CN" w:bidi="ar-SA"/>
              </w:rPr>
              <w:t>地方级</w:t>
            </w:r>
            <w:r>
              <w:rPr>
                <w:rFonts w:hint="eastAsia" w:ascii="Times New Roman" w:hAnsi="Times New Roman" w:eastAsia="仿宋_GB2312" w:cs="Times New Roman"/>
                <w:b w:val="0"/>
                <w:bCs w:val="0"/>
                <w:snapToGrid/>
                <w:color w:val="auto"/>
                <w:kern w:val="2"/>
                <w:sz w:val="24"/>
                <w:szCs w:val="21"/>
                <w:lang w:val="en-US" w:eastAsia="en-US" w:bidi="ar-SA"/>
              </w:rPr>
              <w:t>自然保护区</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B6FB58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自然保护区</w:t>
            </w:r>
          </w:p>
        </w:tc>
        <w:tc>
          <w:tcPr>
            <w:tcW w:w="1220" w:type="dxa"/>
            <w:tcBorders>
              <w:top w:val="single" w:color="000000" w:sz="4" w:space="0"/>
              <w:left w:val="single" w:color="000000" w:sz="4" w:space="0"/>
              <w:bottom w:val="single" w:color="000000" w:sz="4" w:space="0"/>
              <w:right w:val="single" w:color="000000" w:sz="4" w:space="0"/>
            </w:tcBorders>
            <w:vAlign w:val="center"/>
          </w:tcPr>
          <w:p w14:paraId="262A6A8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512FCC3A">
            <w:pPr>
              <w:spacing w:line="360" w:lineRule="exact"/>
              <w:jc w:val="center"/>
              <w:rPr>
                <w:rFonts w:hint="eastAsia" w:ascii="仿宋" w:hAnsi="仿宋" w:eastAsia="仿宋" w:cs="仿宋"/>
                <w:b w:val="0"/>
                <w:bCs/>
                <w:color w:val="auto"/>
                <w:sz w:val="24"/>
                <w:szCs w:val="24"/>
                <w:lang w:eastAsia="zh-CN"/>
              </w:rPr>
            </w:pPr>
          </w:p>
        </w:tc>
      </w:tr>
      <w:tr w14:paraId="203B0CD8">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665285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8326B4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w:t>
            </w:r>
            <w:r>
              <w:rPr>
                <w:rFonts w:hint="eastAsia" w:ascii="Times New Roman" w:hAnsi="Times New Roman" w:eastAsia="仿宋_GB2312" w:cs="Times New Roman"/>
                <w:b w:val="0"/>
                <w:bCs w:val="0"/>
                <w:snapToGrid/>
                <w:color w:val="auto"/>
                <w:kern w:val="2"/>
                <w:sz w:val="24"/>
                <w:szCs w:val="21"/>
                <w:lang w:val="en-US" w:eastAsia="en-US" w:bidi="ar-SA"/>
              </w:rPr>
              <w:t>兴宁石壁</w:t>
            </w:r>
            <w:r>
              <w:rPr>
                <w:rFonts w:hint="eastAsia" w:ascii="Times New Roman" w:hAnsi="Times New Roman" w:eastAsia="仿宋_GB2312" w:cs="Times New Roman"/>
                <w:b w:val="0"/>
                <w:bCs w:val="0"/>
                <w:snapToGrid/>
                <w:color w:val="auto"/>
                <w:kern w:val="2"/>
                <w:sz w:val="24"/>
                <w:szCs w:val="21"/>
                <w:lang w:val="en-US" w:eastAsia="zh-CN" w:bidi="ar-SA"/>
              </w:rPr>
              <w:t>地方级</w:t>
            </w:r>
            <w:r>
              <w:rPr>
                <w:rFonts w:hint="eastAsia" w:ascii="Times New Roman" w:hAnsi="Times New Roman" w:eastAsia="仿宋_GB2312" w:cs="Times New Roman"/>
                <w:b w:val="0"/>
                <w:bCs w:val="0"/>
                <w:snapToGrid/>
                <w:color w:val="auto"/>
                <w:kern w:val="2"/>
                <w:sz w:val="24"/>
                <w:szCs w:val="21"/>
                <w:lang w:val="en-US" w:eastAsia="en-US" w:bidi="ar-SA"/>
              </w:rPr>
              <w:t>自然保护区</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9C888F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自然保护区</w:t>
            </w:r>
          </w:p>
        </w:tc>
        <w:tc>
          <w:tcPr>
            <w:tcW w:w="1220" w:type="dxa"/>
            <w:tcBorders>
              <w:top w:val="single" w:color="000000" w:sz="4" w:space="0"/>
              <w:left w:val="single" w:color="000000" w:sz="4" w:space="0"/>
              <w:bottom w:val="single" w:color="000000" w:sz="4" w:space="0"/>
              <w:right w:val="single" w:color="000000" w:sz="4" w:space="0"/>
            </w:tcBorders>
            <w:vAlign w:val="center"/>
          </w:tcPr>
          <w:p w14:paraId="6D71AC5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144C7B64">
            <w:pPr>
              <w:spacing w:line="360" w:lineRule="exact"/>
              <w:jc w:val="center"/>
              <w:rPr>
                <w:rFonts w:hint="eastAsia" w:ascii="仿宋" w:hAnsi="仿宋" w:eastAsia="仿宋" w:cs="仿宋"/>
                <w:b w:val="0"/>
                <w:bCs/>
                <w:color w:val="auto"/>
                <w:sz w:val="24"/>
                <w:szCs w:val="24"/>
                <w:lang w:eastAsia="zh-CN"/>
              </w:rPr>
            </w:pPr>
          </w:p>
        </w:tc>
      </w:tr>
      <w:tr w14:paraId="76937104">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A8043F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7F3F85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梅州兴宁四望嶂地方级自然保护区</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FC6E57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自然保护区</w:t>
            </w:r>
          </w:p>
        </w:tc>
        <w:tc>
          <w:tcPr>
            <w:tcW w:w="1220" w:type="dxa"/>
            <w:tcBorders>
              <w:top w:val="single" w:color="000000" w:sz="4" w:space="0"/>
              <w:left w:val="single" w:color="000000" w:sz="4" w:space="0"/>
              <w:bottom w:val="single" w:color="000000" w:sz="4" w:space="0"/>
              <w:right w:val="single" w:color="000000" w:sz="4" w:space="0"/>
            </w:tcBorders>
            <w:vAlign w:val="center"/>
          </w:tcPr>
          <w:p w14:paraId="6743B58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77BD0713">
            <w:pPr>
              <w:spacing w:line="360" w:lineRule="exact"/>
              <w:jc w:val="center"/>
              <w:rPr>
                <w:rFonts w:hint="eastAsia" w:ascii="仿宋" w:hAnsi="仿宋" w:eastAsia="仿宋" w:cs="仿宋"/>
                <w:b w:val="0"/>
                <w:bCs/>
                <w:color w:val="auto"/>
                <w:sz w:val="24"/>
                <w:szCs w:val="24"/>
                <w:lang w:eastAsia="zh-CN"/>
              </w:rPr>
            </w:pPr>
          </w:p>
        </w:tc>
      </w:tr>
      <w:tr w14:paraId="066DD2F4">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5279C4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AD035C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广东神光山国家森林公园</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03AEEF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森林公园</w:t>
            </w:r>
          </w:p>
        </w:tc>
        <w:tc>
          <w:tcPr>
            <w:tcW w:w="1220" w:type="dxa"/>
            <w:tcBorders>
              <w:top w:val="single" w:color="000000" w:sz="4" w:space="0"/>
              <w:left w:val="single" w:color="000000" w:sz="4" w:space="0"/>
              <w:bottom w:val="single" w:color="000000" w:sz="4" w:space="0"/>
              <w:right w:val="single" w:color="000000" w:sz="4" w:space="0"/>
            </w:tcBorders>
            <w:vAlign w:val="center"/>
          </w:tcPr>
          <w:p w14:paraId="6F3AD1B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国家级</w:t>
            </w:r>
          </w:p>
        </w:tc>
        <w:tc>
          <w:tcPr>
            <w:tcW w:w="2012" w:type="dxa"/>
            <w:vMerge w:val="continue"/>
            <w:tcBorders>
              <w:left w:val="single" w:color="000000" w:sz="4" w:space="0"/>
              <w:right w:val="single" w:color="000000" w:sz="4" w:space="0"/>
            </w:tcBorders>
            <w:vAlign w:val="center"/>
          </w:tcPr>
          <w:p w14:paraId="24FE2816">
            <w:pPr>
              <w:spacing w:line="360" w:lineRule="exact"/>
              <w:jc w:val="center"/>
              <w:rPr>
                <w:rFonts w:hint="eastAsia" w:ascii="仿宋" w:hAnsi="仿宋" w:eastAsia="仿宋" w:cs="仿宋"/>
                <w:b w:val="0"/>
                <w:bCs/>
                <w:color w:val="auto"/>
                <w:sz w:val="24"/>
                <w:szCs w:val="24"/>
                <w:lang w:eastAsia="zh-CN"/>
              </w:rPr>
            </w:pPr>
          </w:p>
        </w:tc>
      </w:tr>
      <w:tr w14:paraId="3C5FF23A">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70C4F7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5F6517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梅州兴宁宝山地方级森林公园</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F48643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森林公园</w:t>
            </w:r>
          </w:p>
        </w:tc>
        <w:tc>
          <w:tcPr>
            <w:tcW w:w="1220" w:type="dxa"/>
            <w:tcBorders>
              <w:top w:val="single" w:color="000000" w:sz="4" w:space="0"/>
              <w:left w:val="single" w:color="000000" w:sz="4" w:space="0"/>
              <w:bottom w:val="single" w:color="000000" w:sz="4" w:space="0"/>
              <w:right w:val="single" w:color="000000" w:sz="4" w:space="0"/>
            </w:tcBorders>
            <w:vAlign w:val="center"/>
          </w:tcPr>
          <w:p w14:paraId="4B5AC98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010EF401">
            <w:pPr>
              <w:spacing w:line="360" w:lineRule="exact"/>
              <w:jc w:val="center"/>
              <w:rPr>
                <w:rFonts w:hint="eastAsia" w:ascii="仿宋" w:hAnsi="仿宋" w:eastAsia="仿宋" w:cs="仿宋"/>
                <w:b w:val="0"/>
                <w:bCs/>
                <w:color w:val="auto"/>
                <w:sz w:val="24"/>
                <w:szCs w:val="24"/>
                <w:lang w:eastAsia="zh-CN"/>
              </w:rPr>
            </w:pPr>
          </w:p>
        </w:tc>
      </w:tr>
      <w:tr w14:paraId="4A83774F">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7FDEC8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7</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01024F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梅州兴宁和山岩地方级森林公园</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8D350F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森林公园</w:t>
            </w:r>
          </w:p>
        </w:tc>
        <w:tc>
          <w:tcPr>
            <w:tcW w:w="1220" w:type="dxa"/>
            <w:tcBorders>
              <w:top w:val="single" w:color="000000" w:sz="4" w:space="0"/>
              <w:left w:val="single" w:color="000000" w:sz="4" w:space="0"/>
              <w:bottom w:val="single" w:color="000000" w:sz="4" w:space="0"/>
              <w:right w:val="single" w:color="000000" w:sz="4" w:space="0"/>
            </w:tcBorders>
            <w:vAlign w:val="center"/>
          </w:tcPr>
          <w:p w14:paraId="7F0D7C3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1EC0529F">
            <w:pPr>
              <w:spacing w:line="360" w:lineRule="exact"/>
              <w:jc w:val="center"/>
              <w:rPr>
                <w:rFonts w:hint="eastAsia" w:ascii="仿宋" w:hAnsi="仿宋" w:eastAsia="仿宋" w:cs="仿宋"/>
                <w:b w:val="0"/>
                <w:bCs/>
                <w:color w:val="auto"/>
                <w:sz w:val="24"/>
                <w:szCs w:val="24"/>
                <w:lang w:eastAsia="zh-CN"/>
              </w:rPr>
            </w:pPr>
          </w:p>
        </w:tc>
      </w:tr>
      <w:tr w14:paraId="2F837F08">
        <w:tblPrEx>
          <w:tblCellMar>
            <w:top w:w="0" w:type="dxa"/>
            <w:left w:w="57" w:type="dxa"/>
            <w:bottom w:w="0" w:type="dxa"/>
            <w:right w:w="57" w:type="dxa"/>
          </w:tblCellMar>
        </w:tblPrEx>
        <w:trPr>
          <w:trHeight w:val="407"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9B509A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8</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72F9BB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梅州兴宁黄龙寨地方级森林公园</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D7B5BE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森林公园</w:t>
            </w:r>
          </w:p>
        </w:tc>
        <w:tc>
          <w:tcPr>
            <w:tcW w:w="1220" w:type="dxa"/>
            <w:tcBorders>
              <w:top w:val="single" w:color="000000" w:sz="4" w:space="0"/>
              <w:left w:val="single" w:color="000000" w:sz="4" w:space="0"/>
              <w:bottom w:val="single" w:color="000000" w:sz="4" w:space="0"/>
              <w:right w:val="single" w:color="000000" w:sz="4" w:space="0"/>
            </w:tcBorders>
            <w:vAlign w:val="center"/>
          </w:tcPr>
          <w:p w14:paraId="72BCE98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79ABD074">
            <w:pPr>
              <w:spacing w:line="360" w:lineRule="exact"/>
              <w:jc w:val="center"/>
              <w:rPr>
                <w:rFonts w:hint="eastAsia" w:ascii="仿宋" w:hAnsi="仿宋" w:eastAsia="仿宋" w:cs="仿宋"/>
                <w:b w:val="0"/>
                <w:bCs/>
                <w:color w:val="auto"/>
                <w:sz w:val="24"/>
                <w:szCs w:val="24"/>
                <w:lang w:eastAsia="zh-CN"/>
              </w:rPr>
            </w:pPr>
          </w:p>
        </w:tc>
      </w:tr>
      <w:tr w14:paraId="10C79C2F">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53FD63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9</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70480A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梅州兴宁乐仙地方级森林公园</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F39301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森林公园</w:t>
            </w:r>
          </w:p>
        </w:tc>
        <w:tc>
          <w:tcPr>
            <w:tcW w:w="1220" w:type="dxa"/>
            <w:tcBorders>
              <w:top w:val="single" w:color="000000" w:sz="4" w:space="0"/>
              <w:left w:val="single" w:color="000000" w:sz="4" w:space="0"/>
              <w:bottom w:val="single" w:color="000000" w:sz="4" w:space="0"/>
              <w:right w:val="single" w:color="000000" w:sz="4" w:space="0"/>
            </w:tcBorders>
            <w:vAlign w:val="center"/>
          </w:tcPr>
          <w:p w14:paraId="45146F0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61CC42E1">
            <w:pPr>
              <w:spacing w:line="360" w:lineRule="exact"/>
              <w:jc w:val="center"/>
              <w:rPr>
                <w:rFonts w:hint="eastAsia" w:ascii="仿宋" w:hAnsi="仿宋" w:eastAsia="仿宋" w:cs="仿宋"/>
                <w:b w:val="0"/>
                <w:bCs/>
                <w:color w:val="auto"/>
                <w:sz w:val="24"/>
                <w:szCs w:val="24"/>
                <w:lang w:eastAsia="zh-CN"/>
              </w:rPr>
            </w:pPr>
          </w:p>
        </w:tc>
      </w:tr>
      <w:tr w14:paraId="49417CBD">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C75FD0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10</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518E4EC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梅州兴宁龙母嶂地方级森林公园</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45E526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森林公园</w:t>
            </w:r>
          </w:p>
        </w:tc>
        <w:tc>
          <w:tcPr>
            <w:tcW w:w="1220" w:type="dxa"/>
            <w:tcBorders>
              <w:top w:val="single" w:color="000000" w:sz="4" w:space="0"/>
              <w:left w:val="single" w:color="000000" w:sz="4" w:space="0"/>
              <w:bottom w:val="single" w:color="000000" w:sz="4" w:space="0"/>
              <w:right w:val="single" w:color="000000" w:sz="4" w:space="0"/>
            </w:tcBorders>
            <w:vAlign w:val="center"/>
          </w:tcPr>
          <w:p w14:paraId="127314C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387B0C2A">
            <w:pPr>
              <w:spacing w:line="360" w:lineRule="exact"/>
              <w:jc w:val="center"/>
              <w:rPr>
                <w:rFonts w:hint="eastAsia" w:ascii="仿宋" w:hAnsi="仿宋" w:eastAsia="仿宋" w:cs="仿宋"/>
                <w:b w:val="0"/>
                <w:bCs/>
                <w:color w:val="auto"/>
                <w:sz w:val="24"/>
                <w:szCs w:val="24"/>
                <w:lang w:eastAsia="zh-CN"/>
              </w:rPr>
            </w:pPr>
          </w:p>
        </w:tc>
      </w:tr>
      <w:tr w14:paraId="6E30A11A">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4643571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11</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55828E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梅州兴宁狮子岩地方级森林公园</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78C34B9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森林公园</w:t>
            </w:r>
          </w:p>
        </w:tc>
        <w:tc>
          <w:tcPr>
            <w:tcW w:w="1220" w:type="dxa"/>
            <w:tcBorders>
              <w:top w:val="single" w:color="000000" w:sz="4" w:space="0"/>
              <w:left w:val="single" w:color="000000" w:sz="4" w:space="0"/>
              <w:bottom w:val="single" w:color="000000" w:sz="4" w:space="0"/>
              <w:right w:val="single" w:color="000000" w:sz="4" w:space="0"/>
            </w:tcBorders>
            <w:vAlign w:val="center"/>
          </w:tcPr>
          <w:p w14:paraId="2CB813C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right w:val="single" w:color="000000" w:sz="4" w:space="0"/>
            </w:tcBorders>
            <w:vAlign w:val="center"/>
          </w:tcPr>
          <w:p w14:paraId="53D70D6B">
            <w:pPr>
              <w:spacing w:line="360" w:lineRule="exact"/>
              <w:jc w:val="center"/>
              <w:rPr>
                <w:rFonts w:hint="eastAsia" w:ascii="仿宋" w:hAnsi="仿宋" w:eastAsia="仿宋" w:cs="仿宋"/>
                <w:b w:val="0"/>
                <w:bCs/>
                <w:color w:val="auto"/>
                <w:sz w:val="24"/>
                <w:szCs w:val="24"/>
                <w:lang w:eastAsia="zh-CN"/>
              </w:rPr>
            </w:pPr>
          </w:p>
        </w:tc>
      </w:tr>
      <w:tr w14:paraId="55B87B76">
        <w:tblPrEx>
          <w:tblCellMar>
            <w:top w:w="0" w:type="dxa"/>
            <w:left w:w="57" w:type="dxa"/>
            <w:bottom w:w="0" w:type="dxa"/>
            <w:right w:w="57" w:type="dxa"/>
          </w:tblCellMar>
        </w:tblPrEx>
        <w:trPr>
          <w:trHeight w:val="340" w:hRule="atLeast"/>
          <w:jc w:val="center"/>
        </w:trPr>
        <w:tc>
          <w:tcPr>
            <w:tcW w:w="615"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08CBE24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12</w:t>
            </w:r>
          </w:p>
        </w:tc>
        <w:tc>
          <w:tcPr>
            <w:tcW w:w="404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66FB9EF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梅州兴宁合水地方级湿地公园</w:t>
            </w:r>
          </w:p>
        </w:tc>
        <w:tc>
          <w:tcPr>
            <w:tcW w:w="1329"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197EBD4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湿地公园</w:t>
            </w:r>
          </w:p>
        </w:tc>
        <w:tc>
          <w:tcPr>
            <w:tcW w:w="1220" w:type="dxa"/>
            <w:tcBorders>
              <w:top w:val="single" w:color="000000" w:sz="4" w:space="0"/>
              <w:left w:val="single" w:color="000000" w:sz="4" w:space="0"/>
              <w:bottom w:val="single" w:color="000000" w:sz="4" w:space="0"/>
              <w:right w:val="single" w:color="000000" w:sz="4" w:space="0"/>
            </w:tcBorders>
            <w:vAlign w:val="center"/>
          </w:tcPr>
          <w:p w14:paraId="58CA2D7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地方级</w:t>
            </w:r>
          </w:p>
        </w:tc>
        <w:tc>
          <w:tcPr>
            <w:tcW w:w="2012" w:type="dxa"/>
            <w:vMerge w:val="continue"/>
            <w:tcBorders>
              <w:left w:val="single" w:color="000000" w:sz="4" w:space="0"/>
              <w:bottom w:val="single" w:color="000000" w:sz="4" w:space="0"/>
              <w:right w:val="single" w:color="000000" w:sz="4" w:space="0"/>
            </w:tcBorders>
            <w:vAlign w:val="center"/>
          </w:tcPr>
          <w:p w14:paraId="179F6775">
            <w:pPr>
              <w:spacing w:line="360" w:lineRule="exact"/>
              <w:jc w:val="center"/>
              <w:rPr>
                <w:rFonts w:hint="eastAsia" w:ascii="仿宋" w:hAnsi="仿宋" w:eastAsia="仿宋" w:cs="仿宋"/>
                <w:b w:val="0"/>
                <w:bCs/>
                <w:color w:val="auto"/>
                <w:sz w:val="24"/>
                <w:szCs w:val="24"/>
                <w:lang w:eastAsia="zh-CN"/>
              </w:rPr>
            </w:pPr>
          </w:p>
        </w:tc>
      </w:tr>
    </w:tbl>
    <w:p w14:paraId="0620BBF3">
      <w:pPr>
        <w:rPr>
          <w:rFonts w:hint="eastAsia" w:ascii="仿宋" w:hAnsi="仿宋" w:eastAsia="仿宋" w:cs="仿宋"/>
          <w:color w:val="auto"/>
          <w:sz w:val="24"/>
          <w:szCs w:val="24"/>
        </w:rPr>
      </w:pPr>
    </w:p>
    <w:p w14:paraId="53D3DA01">
      <w:pPr>
        <w:rPr>
          <w:rFonts w:ascii="Arial"/>
          <w:color w:val="auto"/>
          <w:sz w:val="21"/>
        </w:rPr>
      </w:pPr>
    </w:p>
    <w:p w14:paraId="68859FFB">
      <w:pPr>
        <w:rPr>
          <w:rFonts w:ascii="Arial" w:hAnsi="Arial" w:eastAsia="Arial" w:cs="Arial"/>
          <w:color w:val="auto"/>
          <w:sz w:val="21"/>
          <w:szCs w:val="21"/>
        </w:rPr>
        <w:sectPr>
          <w:footerReference r:id="rId9" w:type="default"/>
          <w:pgSz w:w="11907" w:h="16839"/>
          <w:pgMar w:top="1431" w:right="1687" w:bottom="1377" w:left="1687" w:header="0" w:footer="1214" w:gutter="0"/>
          <w:pgBorders>
            <w:top w:val="none" w:sz="0" w:space="0"/>
            <w:left w:val="none" w:sz="0" w:space="0"/>
            <w:bottom w:val="none" w:sz="0" w:space="0"/>
            <w:right w:val="none" w:sz="0" w:space="0"/>
          </w:pgBorders>
          <w:pgNumType w:fmt="decimal"/>
          <w:cols w:space="720" w:num="1"/>
        </w:sectPr>
      </w:pPr>
    </w:p>
    <w:p w14:paraId="7C8104B1">
      <w:pPr>
        <w:pStyle w:val="5"/>
        <w:spacing w:before="214" w:line="227" w:lineRule="auto"/>
        <w:outlineLvl w:val="0"/>
        <w:rPr>
          <w:rFonts w:hint="eastAsia" w:ascii="Times New Roman" w:hAnsi="Times New Roman" w:eastAsia="仿宋_GB2312" w:cs="Times New Roman"/>
          <w:snapToGrid/>
          <w:color w:val="auto"/>
          <w:kern w:val="2"/>
          <w:sz w:val="28"/>
          <w:szCs w:val="22"/>
          <w:lang w:val="en-US" w:eastAsia="zh-CN" w:bidi="ar-SA"/>
        </w:rPr>
      </w:pPr>
      <w:bookmarkStart w:id="11" w:name="_Toc22344"/>
      <w:r>
        <w:rPr>
          <w:rFonts w:hint="eastAsia" w:ascii="Times New Roman" w:hAnsi="Times New Roman" w:eastAsia="仿宋_GB2312" w:cs="Times New Roman"/>
          <w:snapToGrid/>
          <w:color w:val="auto"/>
          <w:kern w:val="2"/>
          <w:sz w:val="28"/>
          <w:szCs w:val="22"/>
          <w:lang w:val="en-US" w:eastAsia="zh-CN" w:bidi="ar-SA"/>
        </w:rPr>
        <w:t>附表3  兴宁市重要地表水体功能区</w:t>
      </w:r>
      <w:bookmarkEnd w:id="11"/>
    </w:p>
    <w:p w14:paraId="4C5384F1">
      <w:pPr>
        <w:pStyle w:val="17"/>
        <w:spacing w:beforeLines="50"/>
        <w:rPr>
          <w:rFonts w:hint="eastAsia" w:ascii="Times New Roman" w:hAnsi="Times New Roman" w:eastAsia="仿宋_GB2312" w:cs="Times New Roman"/>
          <w:b w:val="0"/>
          <w:snapToGrid/>
          <w:color w:val="auto"/>
          <w:kern w:val="2"/>
          <w:sz w:val="28"/>
          <w:szCs w:val="22"/>
          <w:lang w:val="en-US" w:eastAsia="zh-CN" w:bidi="ar-SA"/>
        </w:rPr>
      </w:pPr>
      <w:bookmarkStart w:id="12" w:name="_Hlk182771345"/>
      <w:r>
        <w:rPr>
          <w:rFonts w:hint="eastAsia" w:ascii="Times New Roman" w:hAnsi="Times New Roman" w:eastAsia="仿宋_GB2312" w:cs="Times New Roman"/>
          <w:b w:val="0"/>
          <w:snapToGrid/>
          <w:color w:val="auto"/>
          <w:kern w:val="2"/>
          <w:sz w:val="24"/>
          <w:szCs w:val="21"/>
          <w:lang w:val="en-US" w:eastAsia="zh-CN" w:bidi="ar-SA"/>
        </w:rPr>
        <w:t>附表3-1 兴宁市主干河流信息表</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89"/>
        <w:gridCol w:w="1242"/>
        <w:gridCol w:w="1560"/>
        <w:gridCol w:w="1598"/>
        <w:gridCol w:w="1043"/>
        <w:gridCol w:w="761"/>
        <w:gridCol w:w="798"/>
        <w:gridCol w:w="1329"/>
      </w:tblGrid>
      <w:tr w14:paraId="523C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277" w:type="pct"/>
            <w:vMerge w:val="restart"/>
            <w:shd w:val="clear" w:color="auto" w:fill="auto"/>
            <w:vAlign w:val="center"/>
          </w:tcPr>
          <w:p w14:paraId="3FF321BB">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序号</w:t>
            </w:r>
          </w:p>
        </w:tc>
        <w:tc>
          <w:tcPr>
            <w:tcW w:w="704" w:type="pct"/>
            <w:vMerge w:val="restart"/>
            <w:shd w:val="clear" w:color="auto" w:fill="auto"/>
            <w:vAlign w:val="center"/>
          </w:tcPr>
          <w:p w14:paraId="248A4DB0">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河流名称</w:t>
            </w:r>
          </w:p>
        </w:tc>
        <w:tc>
          <w:tcPr>
            <w:tcW w:w="2381" w:type="pct"/>
            <w:gridSpan w:val="3"/>
            <w:shd w:val="clear" w:color="auto" w:fill="auto"/>
            <w:vAlign w:val="center"/>
          </w:tcPr>
          <w:p w14:paraId="2EA03EFF">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兴宁市境内</w:t>
            </w:r>
          </w:p>
        </w:tc>
        <w:tc>
          <w:tcPr>
            <w:tcW w:w="431" w:type="pct"/>
            <w:vMerge w:val="restart"/>
            <w:shd w:val="clear" w:color="auto" w:fill="auto"/>
            <w:vAlign w:val="center"/>
          </w:tcPr>
          <w:p w14:paraId="32391F06">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水质</w:t>
            </w:r>
          </w:p>
          <w:p w14:paraId="13F11246">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目标</w:t>
            </w:r>
          </w:p>
        </w:tc>
        <w:tc>
          <w:tcPr>
            <w:tcW w:w="452" w:type="pct"/>
            <w:vMerge w:val="restart"/>
            <w:shd w:val="clear" w:color="auto" w:fill="auto"/>
            <w:vAlign w:val="center"/>
          </w:tcPr>
          <w:p w14:paraId="1DEEA6CF">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主导</w:t>
            </w:r>
          </w:p>
          <w:p w14:paraId="336A87BE">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功能</w:t>
            </w:r>
          </w:p>
        </w:tc>
        <w:tc>
          <w:tcPr>
            <w:tcW w:w="753" w:type="pct"/>
            <w:vMerge w:val="restart"/>
            <w:shd w:val="clear" w:color="auto" w:fill="auto"/>
            <w:vAlign w:val="center"/>
          </w:tcPr>
          <w:p w14:paraId="577A1F0C">
            <w:pPr>
              <w:jc w:val="center"/>
              <w:rPr>
                <w:rFonts w:hint="default"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依据文件</w:t>
            </w:r>
          </w:p>
        </w:tc>
      </w:tr>
      <w:tr w14:paraId="45F1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277" w:type="pct"/>
            <w:vMerge w:val="continue"/>
            <w:shd w:val="clear" w:color="auto" w:fill="auto"/>
            <w:vAlign w:val="center"/>
          </w:tcPr>
          <w:p w14:paraId="5471B03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704" w:type="pct"/>
            <w:vMerge w:val="continue"/>
            <w:shd w:val="clear" w:color="auto" w:fill="auto"/>
            <w:vAlign w:val="center"/>
          </w:tcPr>
          <w:p w14:paraId="4EC4AC9A">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884" w:type="pct"/>
            <w:shd w:val="clear" w:color="auto" w:fill="auto"/>
            <w:vAlign w:val="center"/>
          </w:tcPr>
          <w:p w14:paraId="1B0B1EFF">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起点</w:t>
            </w:r>
          </w:p>
        </w:tc>
        <w:tc>
          <w:tcPr>
            <w:tcW w:w="905" w:type="pct"/>
            <w:shd w:val="clear" w:color="auto" w:fill="auto"/>
            <w:vAlign w:val="center"/>
          </w:tcPr>
          <w:p w14:paraId="27CD5C21">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终点</w:t>
            </w:r>
          </w:p>
        </w:tc>
        <w:tc>
          <w:tcPr>
            <w:tcW w:w="591" w:type="pct"/>
          </w:tcPr>
          <w:p w14:paraId="5D2948DA">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河长/km</w:t>
            </w:r>
          </w:p>
        </w:tc>
        <w:tc>
          <w:tcPr>
            <w:tcW w:w="431" w:type="pct"/>
            <w:vMerge w:val="continue"/>
            <w:shd w:val="clear" w:color="auto" w:fill="auto"/>
            <w:vAlign w:val="center"/>
          </w:tcPr>
          <w:p w14:paraId="1675AE37">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52" w:type="pct"/>
            <w:vMerge w:val="continue"/>
            <w:shd w:val="clear" w:color="auto" w:fill="auto"/>
            <w:vAlign w:val="center"/>
          </w:tcPr>
          <w:p w14:paraId="63DA3B83">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753" w:type="pct"/>
            <w:vMerge w:val="continue"/>
            <w:shd w:val="clear" w:color="auto" w:fill="auto"/>
            <w:vAlign w:val="center"/>
          </w:tcPr>
          <w:p w14:paraId="47E259A0">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1662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09" w:hRule="atLeast"/>
          <w:jc w:val="center"/>
        </w:trPr>
        <w:tc>
          <w:tcPr>
            <w:tcW w:w="277" w:type="pct"/>
            <w:vMerge w:val="restart"/>
            <w:shd w:val="clear" w:color="auto" w:fill="auto"/>
            <w:noWrap/>
            <w:vAlign w:val="center"/>
          </w:tcPr>
          <w:p w14:paraId="2E50B46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704" w:type="pct"/>
            <w:vMerge w:val="restart"/>
            <w:shd w:val="clear" w:color="auto" w:fill="auto"/>
            <w:vAlign w:val="center"/>
          </w:tcPr>
          <w:p w14:paraId="4B7DDB0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梅江</w:t>
            </w:r>
          </w:p>
        </w:tc>
        <w:tc>
          <w:tcPr>
            <w:tcW w:w="884" w:type="pct"/>
            <w:shd w:val="clear" w:color="auto" w:fill="auto"/>
            <w:noWrap/>
            <w:vAlign w:val="center"/>
          </w:tcPr>
          <w:p w14:paraId="149CFFC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五华兴宁边界</w:t>
            </w:r>
          </w:p>
        </w:tc>
        <w:tc>
          <w:tcPr>
            <w:tcW w:w="905" w:type="pct"/>
            <w:shd w:val="clear" w:color="auto" w:fill="auto"/>
            <w:noWrap/>
            <w:vAlign w:val="center"/>
          </w:tcPr>
          <w:p w14:paraId="1DDE237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兴宁市水口</w:t>
            </w:r>
          </w:p>
        </w:tc>
        <w:tc>
          <w:tcPr>
            <w:tcW w:w="591" w:type="pct"/>
            <w:vAlign w:val="center"/>
          </w:tcPr>
          <w:p w14:paraId="778E4D8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431" w:type="pct"/>
            <w:vMerge w:val="restart"/>
            <w:shd w:val="clear" w:color="auto" w:fill="auto"/>
            <w:noWrap/>
            <w:vAlign w:val="center"/>
          </w:tcPr>
          <w:p w14:paraId="4233ACE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Ⅱ</w:t>
            </w:r>
          </w:p>
        </w:tc>
        <w:tc>
          <w:tcPr>
            <w:tcW w:w="452" w:type="pct"/>
            <w:vMerge w:val="restart"/>
            <w:shd w:val="clear" w:color="auto" w:fill="auto"/>
            <w:vAlign w:val="center"/>
          </w:tcPr>
          <w:p w14:paraId="6F33F8F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农饮</w:t>
            </w:r>
          </w:p>
        </w:tc>
        <w:tc>
          <w:tcPr>
            <w:tcW w:w="753" w:type="pct"/>
            <w:vMerge w:val="restart"/>
            <w:shd w:val="clear" w:color="auto" w:fill="auto"/>
            <w:vAlign w:val="center"/>
          </w:tcPr>
          <w:p w14:paraId="147A7A9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《广东省地表水环境功能区划》（粤环〔2011〕14号）</w:t>
            </w:r>
          </w:p>
        </w:tc>
      </w:tr>
      <w:tr w14:paraId="507B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61" w:hRule="atLeast"/>
          <w:jc w:val="center"/>
        </w:trPr>
        <w:tc>
          <w:tcPr>
            <w:tcW w:w="277" w:type="pct"/>
            <w:vMerge w:val="continue"/>
            <w:shd w:val="clear" w:color="auto" w:fill="auto"/>
            <w:noWrap/>
            <w:vAlign w:val="center"/>
          </w:tcPr>
          <w:p w14:paraId="0BA6295D">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704" w:type="pct"/>
            <w:vMerge w:val="continue"/>
            <w:shd w:val="clear" w:color="auto" w:fill="auto"/>
            <w:vAlign w:val="center"/>
          </w:tcPr>
          <w:p w14:paraId="4FE77437">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884" w:type="pct"/>
            <w:shd w:val="clear" w:color="auto" w:fill="auto"/>
            <w:noWrap/>
            <w:vAlign w:val="center"/>
          </w:tcPr>
          <w:p w14:paraId="3086702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兴宁市水口</w:t>
            </w:r>
          </w:p>
        </w:tc>
        <w:tc>
          <w:tcPr>
            <w:tcW w:w="905" w:type="pct"/>
            <w:shd w:val="clear" w:color="auto" w:fill="auto"/>
            <w:noWrap/>
            <w:vAlign w:val="center"/>
          </w:tcPr>
          <w:p w14:paraId="5DC2A63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畲江镇官铺</w:t>
            </w:r>
          </w:p>
        </w:tc>
        <w:tc>
          <w:tcPr>
            <w:tcW w:w="591" w:type="pct"/>
            <w:vAlign w:val="center"/>
          </w:tcPr>
          <w:p w14:paraId="1A9F802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8.6</w:t>
            </w:r>
          </w:p>
        </w:tc>
        <w:tc>
          <w:tcPr>
            <w:tcW w:w="431" w:type="pct"/>
            <w:vMerge w:val="continue"/>
            <w:shd w:val="clear" w:color="auto" w:fill="auto"/>
            <w:noWrap/>
            <w:vAlign w:val="center"/>
          </w:tcPr>
          <w:p w14:paraId="755ACBFC">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452" w:type="pct"/>
            <w:vMerge w:val="continue"/>
            <w:shd w:val="clear" w:color="auto" w:fill="auto"/>
            <w:vAlign w:val="center"/>
          </w:tcPr>
          <w:p w14:paraId="05DD46D2">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753" w:type="pct"/>
            <w:vMerge w:val="continue"/>
            <w:shd w:val="clear" w:color="auto" w:fill="auto"/>
            <w:vAlign w:val="center"/>
          </w:tcPr>
          <w:p w14:paraId="117B5D8A">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71B2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29" w:hRule="atLeast"/>
          <w:jc w:val="center"/>
        </w:trPr>
        <w:tc>
          <w:tcPr>
            <w:tcW w:w="277" w:type="pct"/>
            <w:vMerge w:val="restart"/>
            <w:shd w:val="clear" w:color="auto" w:fill="auto"/>
            <w:noWrap/>
            <w:vAlign w:val="center"/>
          </w:tcPr>
          <w:p w14:paraId="3DFA415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704" w:type="pct"/>
            <w:vMerge w:val="restart"/>
            <w:shd w:val="clear" w:color="auto" w:fill="auto"/>
            <w:vAlign w:val="center"/>
          </w:tcPr>
          <w:p w14:paraId="72590BD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宁江</w:t>
            </w:r>
          </w:p>
        </w:tc>
        <w:tc>
          <w:tcPr>
            <w:tcW w:w="884" w:type="pct"/>
            <w:shd w:val="clear" w:color="auto" w:fill="auto"/>
            <w:noWrap/>
            <w:vAlign w:val="center"/>
          </w:tcPr>
          <w:p w14:paraId="683DE8F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兴宁方村坝</w:t>
            </w:r>
          </w:p>
        </w:tc>
        <w:tc>
          <w:tcPr>
            <w:tcW w:w="905" w:type="pct"/>
            <w:shd w:val="clear" w:color="auto" w:fill="auto"/>
            <w:noWrap/>
            <w:vAlign w:val="center"/>
          </w:tcPr>
          <w:p w14:paraId="3AE0AC3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望江桥闸</w:t>
            </w:r>
          </w:p>
        </w:tc>
        <w:tc>
          <w:tcPr>
            <w:tcW w:w="591" w:type="pct"/>
            <w:vAlign w:val="center"/>
          </w:tcPr>
          <w:p w14:paraId="6B399B8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18.34</w:t>
            </w:r>
          </w:p>
        </w:tc>
        <w:tc>
          <w:tcPr>
            <w:tcW w:w="431" w:type="pct"/>
            <w:shd w:val="clear" w:color="auto" w:fill="auto"/>
            <w:noWrap/>
            <w:vAlign w:val="center"/>
          </w:tcPr>
          <w:p w14:paraId="48C64CF4">
            <w:pPr>
              <w:jc w:val="center"/>
              <w:rPr>
                <w:rFonts w:hint="eastAsia" w:ascii="Times New Roman" w:hAnsi="Times New Roman" w:eastAsia="仿宋_GB2312" w:cs="Times New Roman"/>
                <w:b w:val="0"/>
                <w:bCs w:val="0"/>
                <w:snapToGrid/>
                <w:color w:val="auto"/>
                <w:kern w:val="2"/>
                <w:sz w:val="24"/>
                <w:szCs w:val="21"/>
                <w:lang w:val="en-US" w:eastAsia="en-US" w:bidi="ar-SA"/>
              </w:rPr>
            </w:pPr>
            <w:r>
              <w:rPr>
                <w:rFonts w:hint="eastAsia" w:ascii="Times New Roman" w:hAnsi="Times New Roman" w:eastAsia="仿宋_GB2312" w:cs="Times New Roman"/>
                <w:b w:val="0"/>
                <w:bCs w:val="0"/>
                <w:snapToGrid/>
                <w:color w:val="auto"/>
                <w:kern w:val="2"/>
                <w:sz w:val="24"/>
                <w:szCs w:val="21"/>
                <w:lang w:val="en-US" w:eastAsia="zh-CN" w:bidi="ar-SA"/>
              </w:rPr>
              <w:t>Ⅱ</w:t>
            </w:r>
          </w:p>
        </w:tc>
        <w:tc>
          <w:tcPr>
            <w:tcW w:w="452" w:type="pct"/>
            <w:vMerge w:val="restart"/>
            <w:shd w:val="clear" w:color="auto" w:fill="auto"/>
            <w:vAlign w:val="center"/>
          </w:tcPr>
          <w:p w14:paraId="2A346B9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农饮</w:t>
            </w:r>
          </w:p>
        </w:tc>
        <w:tc>
          <w:tcPr>
            <w:tcW w:w="753" w:type="pct"/>
            <w:vMerge w:val="continue"/>
            <w:shd w:val="clear" w:color="auto" w:fill="auto"/>
            <w:vAlign w:val="center"/>
          </w:tcPr>
          <w:p w14:paraId="40B6C109">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3BE4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21" w:hRule="atLeast"/>
          <w:jc w:val="center"/>
        </w:trPr>
        <w:tc>
          <w:tcPr>
            <w:tcW w:w="277" w:type="pct"/>
            <w:vMerge w:val="continue"/>
            <w:shd w:val="clear" w:color="auto" w:fill="auto"/>
            <w:noWrap/>
            <w:vAlign w:val="center"/>
          </w:tcPr>
          <w:p w14:paraId="5B4AF485">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704" w:type="pct"/>
            <w:vMerge w:val="continue"/>
            <w:shd w:val="clear" w:color="auto" w:fill="auto"/>
            <w:vAlign w:val="center"/>
          </w:tcPr>
          <w:p w14:paraId="2B1562B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884" w:type="pct"/>
            <w:shd w:val="clear" w:color="auto" w:fill="auto"/>
            <w:noWrap/>
            <w:vAlign w:val="center"/>
          </w:tcPr>
          <w:p w14:paraId="7E11519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望江桥闸</w:t>
            </w:r>
          </w:p>
        </w:tc>
        <w:tc>
          <w:tcPr>
            <w:tcW w:w="905" w:type="pct"/>
            <w:shd w:val="clear" w:color="auto" w:fill="auto"/>
            <w:noWrap/>
            <w:vAlign w:val="center"/>
          </w:tcPr>
          <w:p w14:paraId="436C122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兴宁水口</w:t>
            </w:r>
          </w:p>
        </w:tc>
        <w:tc>
          <w:tcPr>
            <w:tcW w:w="591" w:type="pct"/>
            <w:vAlign w:val="center"/>
          </w:tcPr>
          <w:p w14:paraId="7664404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25.2</w:t>
            </w:r>
          </w:p>
        </w:tc>
        <w:tc>
          <w:tcPr>
            <w:tcW w:w="431" w:type="pct"/>
            <w:shd w:val="clear" w:color="auto" w:fill="auto"/>
            <w:noWrap/>
            <w:vAlign w:val="center"/>
          </w:tcPr>
          <w:p w14:paraId="0393602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Ⅲ</w:t>
            </w:r>
          </w:p>
        </w:tc>
        <w:tc>
          <w:tcPr>
            <w:tcW w:w="452" w:type="pct"/>
            <w:vMerge w:val="continue"/>
            <w:shd w:val="clear" w:color="auto" w:fill="auto"/>
            <w:vAlign w:val="center"/>
          </w:tcPr>
          <w:p w14:paraId="34900F9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753" w:type="pct"/>
            <w:vMerge w:val="continue"/>
            <w:shd w:val="clear" w:color="auto" w:fill="auto"/>
            <w:vAlign w:val="center"/>
          </w:tcPr>
          <w:p w14:paraId="5E95F455">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6DAF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77" w:type="pct"/>
            <w:shd w:val="clear" w:color="auto" w:fill="auto"/>
            <w:noWrap/>
            <w:vAlign w:val="center"/>
          </w:tcPr>
          <w:p w14:paraId="71FFD24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704" w:type="pct"/>
            <w:shd w:val="clear" w:color="auto" w:fill="auto"/>
            <w:vAlign w:val="center"/>
          </w:tcPr>
          <w:p w14:paraId="4CCEE76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东江</w:t>
            </w:r>
          </w:p>
          <w:p w14:paraId="5185CDE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（罗浮水）</w:t>
            </w:r>
          </w:p>
        </w:tc>
        <w:tc>
          <w:tcPr>
            <w:tcW w:w="884" w:type="pct"/>
            <w:shd w:val="clear" w:color="auto" w:fill="auto"/>
            <w:noWrap/>
            <w:vAlign w:val="center"/>
          </w:tcPr>
          <w:p w14:paraId="3F517C6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兴宁杨坑寨</w:t>
            </w:r>
          </w:p>
        </w:tc>
        <w:tc>
          <w:tcPr>
            <w:tcW w:w="905" w:type="pct"/>
            <w:shd w:val="clear" w:color="auto" w:fill="auto"/>
            <w:noWrap/>
            <w:vAlign w:val="center"/>
          </w:tcPr>
          <w:p w14:paraId="3C1F52B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龙川矮寨</w:t>
            </w:r>
          </w:p>
        </w:tc>
        <w:tc>
          <w:tcPr>
            <w:tcW w:w="591" w:type="pct"/>
            <w:vAlign w:val="center"/>
          </w:tcPr>
          <w:p w14:paraId="7B29050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24</w:t>
            </w:r>
          </w:p>
        </w:tc>
        <w:tc>
          <w:tcPr>
            <w:tcW w:w="431" w:type="pct"/>
            <w:shd w:val="clear" w:color="auto" w:fill="auto"/>
            <w:noWrap/>
            <w:vAlign w:val="center"/>
          </w:tcPr>
          <w:p w14:paraId="725BE96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Ⅱ</w:t>
            </w:r>
          </w:p>
        </w:tc>
        <w:tc>
          <w:tcPr>
            <w:tcW w:w="452" w:type="pct"/>
            <w:shd w:val="clear" w:color="auto" w:fill="auto"/>
            <w:vAlign w:val="center"/>
          </w:tcPr>
          <w:p w14:paraId="013748C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农</w:t>
            </w:r>
          </w:p>
        </w:tc>
        <w:tc>
          <w:tcPr>
            <w:tcW w:w="753" w:type="pct"/>
            <w:vMerge w:val="continue"/>
            <w:shd w:val="clear" w:color="auto" w:fill="auto"/>
            <w:vAlign w:val="center"/>
          </w:tcPr>
          <w:p w14:paraId="6E71146A">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0672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77" w:type="pct"/>
            <w:vMerge w:val="restart"/>
            <w:shd w:val="clear" w:color="auto" w:fill="auto"/>
            <w:noWrap/>
            <w:vAlign w:val="center"/>
          </w:tcPr>
          <w:p w14:paraId="6B99B6A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w:t>
            </w:r>
          </w:p>
        </w:tc>
        <w:tc>
          <w:tcPr>
            <w:tcW w:w="704" w:type="pct"/>
            <w:vMerge w:val="restart"/>
            <w:shd w:val="clear" w:color="auto" w:fill="auto"/>
            <w:vAlign w:val="center"/>
          </w:tcPr>
          <w:p w14:paraId="5F9F9C4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黄陂水</w:t>
            </w:r>
          </w:p>
        </w:tc>
        <w:tc>
          <w:tcPr>
            <w:tcW w:w="884" w:type="pct"/>
            <w:shd w:val="clear" w:color="auto" w:fill="auto"/>
            <w:noWrap/>
            <w:vAlign w:val="center"/>
          </w:tcPr>
          <w:p w14:paraId="0F0A961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兴宁白少溪</w:t>
            </w:r>
          </w:p>
        </w:tc>
        <w:tc>
          <w:tcPr>
            <w:tcW w:w="905" w:type="pct"/>
            <w:shd w:val="clear" w:color="auto" w:fill="auto"/>
            <w:noWrap/>
            <w:vAlign w:val="center"/>
          </w:tcPr>
          <w:p w14:paraId="055032A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兴宁岗背</w:t>
            </w:r>
          </w:p>
        </w:tc>
        <w:tc>
          <w:tcPr>
            <w:tcW w:w="591" w:type="pct"/>
            <w:vAlign w:val="center"/>
          </w:tcPr>
          <w:p w14:paraId="637A4C3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47</w:t>
            </w:r>
          </w:p>
        </w:tc>
        <w:tc>
          <w:tcPr>
            <w:tcW w:w="431" w:type="pct"/>
            <w:shd w:val="clear" w:color="auto" w:fill="auto"/>
            <w:noWrap/>
            <w:vAlign w:val="center"/>
          </w:tcPr>
          <w:p w14:paraId="1C814AD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Ⅱ</w:t>
            </w:r>
          </w:p>
        </w:tc>
        <w:tc>
          <w:tcPr>
            <w:tcW w:w="452" w:type="pct"/>
            <w:shd w:val="clear" w:color="auto" w:fill="auto"/>
            <w:vAlign w:val="center"/>
          </w:tcPr>
          <w:p w14:paraId="3611B9A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饮</w:t>
            </w:r>
          </w:p>
        </w:tc>
        <w:tc>
          <w:tcPr>
            <w:tcW w:w="753" w:type="pct"/>
            <w:vMerge w:val="continue"/>
            <w:shd w:val="clear" w:color="auto" w:fill="auto"/>
            <w:vAlign w:val="center"/>
          </w:tcPr>
          <w:p w14:paraId="23C72FFC">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73BD4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77" w:type="pct"/>
            <w:vMerge w:val="continue"/>
            <w:shd w:val="clear" w:color="auto" w:fill="auto"/>
            <w:noWrap/>
            <w:vAlign w:val="center"/>
          </w:tcPr>
          <w:p w14:paraId="498B68DA">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704" w:type="pct"/>
            <w:vMerge w:val="continue"/>
            <w:shd w:val="clear" w:color="auto" w:fill="auto"/>
            <w:vAlign w:val="center"/>
          </w:tcPr>
          <w:p w14:paraId="1DD862CE">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884" w:type="pct"/>
            <w:shd w:val="clear" w:color="auto" w:fill="auto"/>
            <w:noWrap/>
            <w:vAlign w:val="center"/>
          </w:tcPr>
          <w:p w14:paraId="5500D20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兴宁岗背</w:t>
            </w:r>
          </w:p>
        </w:tc>
        <w:tc>
          <w:tcPr>
            <w:tcW w:w="905" w:type="pct"/>
            <w:shd w:val="clear" w:color="auto" w:fill="auto"/>
            <w:noWrap/>
            <w:vAlign w:val="center"/>
          </w:tcPr>
          <w:p w14:paraId="19684B7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合水水库入口</w:t>
            </w:r>
          </w:p>
        </w:tc>
        <w:tc>
          <w:tcPr>
            <w:tcW w:w="591" w:type="pct"/>
            <w:vAlign w:val="center"/>
          </w:tcPr>
          <w:p w14:paraId="5B30428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w:t>
            </w:r>
          </w:p>
        </w:tc>
        <w:tc>
          <w:tcPr>
            <w:tcW w:w="431" w:type="pct"/>
            <w:shd w:val="clear" w:color="auto" w:fill="auto"/>
            <w:noWrap/>
            <w:vAlign w:val="center"/>
          </w:tcPr>
          <w:p w14:paraId="6563D2C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Ⅲ</w:t>
            </w:r>
          </w:p>
        </w:tc>
        <w:tc>
          <w:tcPr>
            <w:tcW w:w="452" w:type="pct"/>
            <w:shd w:val="clear" w:color="auto" w:fill="auto"/>
            <w:vAlign w:val="center"/>
          </w:tcPr>
          <w:p w14:paraId="3C95915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饮</w:t>
            </w:r>
          </w:p>
        </w:tc>
        <w:tc>
          <w:tcPr>
            <w:tcW w:w="753" w:type="pct"/>
            <w:vMerge w:val="continue"/>
            <w:shd w:val="clear" w:color="auto" w:fill="auto"/>
            <w:vAlign w:val="center"/>
          </w:tcPr>
          <w:p w14:paraId="77903DA1">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3AF1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277" w:type="pct"/>
            <w:shd w:val="clear" w:color="auto" w:fill="auto"/>
            <w:noWrap/>
            <w:vAlign w:val="center"/>
          </w:tcPr>
          <w:p w14:paraId="6FBC48B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w:t>
            </w:r>
          </w:p>
        </w:tc>
        <w:tc>
          <w:tcPr>
            <w:tcW w:w="704" w:type="pct"/>
            <w:shd w:val="clear" w:color="auto" w:fill="auto"/>
            <w:vAlign w:val="center"/>
          </w:tcPr>
          <w:p w14:paraId="2DAF5F9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罗岗河</w:t>
            </w:r>
          </w:p>
        </w:tc>
        <w:tc>
          <w:tcPr>
            <w:tcW w:w="884" w:type="pct"/>
            <w:shd w:val="clear" w:color="auto" w:fill="auto"/>
            <w:noWrap/>
            <w:vAlign w:val="center"/>
          </w:tcPr>
          <w:p w14:paraId="6CEC2B1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兴宁方村坝</w:t>
            </w:r>
          </w:p>
        </w:tc>
        <w:tc>
          <w:tcPr>
            <w:tcW w:w="905" w:type="pct"/>
            <w:shd w:val="clear" w:color="auto" w:fill="auto"/>
            <w:noWrap/>
            <w:vAlign w:val="center"/>
          </w:tcPr>
          <w:p w14:paraId="295FB94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合水水库入口</w:t>
            </w:r>
          </w:p>
        </w:tc>
        <w:tc>
          <w:tcPr>
            <w:tcW w:w="591" w:type="pct"/>
            <w:vAlign w:val="center"/>
          </w:tcPr>
          <w:p w14:paraId="3B6402F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18.3</w:t>
            </w:r>
          </w:p>
        </w:tc>
        <w:tc>
          <w:tcPr>
            <w:tcW w:w="431" w:type="pct"/>
            <w:shd w:val="clear" w:color="auto" w:fill="auto"/>
            <w:noWrap/>
            <w:vAlign w:val="center"/>
          </w:tcPr>
          <w:p w14:paraId="0BA876D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Ⅱ</w:t>
            </w:r>
          </w:p>
        </w:tc>
        <w:tc>
          <w:tcPr>
            <w:tcW w:w="452" w:type="pct"/>
            <w:shd w:val="clear" w:color="auto" w:fill="auto"/>
            <w:vAlign w:val="center"/>
          </w:tcPr>
          <w:p w14:paraId="7B74BA5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饮农</w:t>
            </w:r>
          </w:p>
        </w:tc>
        <w:tc>
          <w:tcPr>
            <w:tcW w:w="753" w:type="pct"/>
            <w:vMerge w:val="continue"/>
            <w:shd w:val="clear" w:color="auto" w:fill="auto"/>
            <w:vAlign w:val="center"/>
          </w:tcPr>
          <w:p w14:paraId="2D42B8CC">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bl>
    <w:p w14:paraId="06639F1E">
      <w:pPr>
        <w:pStyle w:val="17"/>
        <w:spacing w:beforeLines="50"/>
        <w:rPr>
          <w:rFonts w:hint="eastAsia" w:ascii="仿宋" w:hAnsi="仿宋" w:eastAsia="仿宋" w:cs="仿宋"/>
          <w:color w:val="auto"/>
          <w:sz w:val="24"/>
          <w:szCs w:val="24"/>
        </w:rPr>
      </w:pPr>
      <w:r>
        <w:rPr>
          <w:rFonts w:hint="eastAsia" w:ascii="Times New Roman" w:hAnsi="Times New Roman" w:eastAsia="仿宋_GB2312" w:cs="Times New Roman"/>
          <w:b w:val="0"/>
          <w:snapToGrid/>
          <w:color w:val="auto"/>
          <w:kern w:val="2"/>
          <w:sz w:val="24"/>
          <w:szCs w:val="21"/>
          <w:lang w:val="en-US" w:eastAsia="zh-CN" w:bidi="ar-SA"/>
        </w:rPr>
        <w:t>附表3-2  兴宁市大、中型水库信息表</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96"/>
        <w:gridCol w:w="2085"/>
        <w:gridCol w:w="768"/>
        <w:gridCol w:w="1741"/>
        <w:gridCol w:w="1100"/>
        <w:gridCol w:w="1181"/>
        <w:gridCol w:w="1349"/>
      </w:tblGrid>
      <w:tr w14:paraId="1A27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37" w:type="pct"/>
            <w:shd w:val="clear" w:color="auto" w:fill="auto"/>
            <w:noWrap/>
            <w:vAlign w:val="center"/>
          </w:tcPr>
          <w:p w14:paraId="4D8697BF">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序号</w:t>
            </w:r>
          </w:p>
        </w:tc>
        <w:tc>
          <w:tcPr>
            <w:tcW w:w="1181" w:type="pct"/>
            <w:shd w:val="clear" w:color="auto" w:fill="auto"/>
            <w:vAlign w:val="center"/>
          </w:tcPr>
          <w:p w14:paraId="7A0FCE7F">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水库名称</w:t>
            </w:r>
          </w:p>
        </w:tc>
        <w:tc>
          <w:tcPr>
            <w:tcW w:w="435" w:type="pct"/>
            <w:shd w:val="clear" w:color="auto" w:fill="auto"/>
            <w:noWrap/>
            <w:vAlign w:val="center"/>
          </w:tcPr>
          <w:p w14:paraId="18CED541">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类型</w:t>
            </w:r>
          </w:p>
        </w:tc>
        <w:tc>
          <w:tcPr>
            <w:tcW w:w="986" w:type="pct"/>
            <w:shd w:val="clear" w:color="auto" w:fill="auto"/>
            <w:noWrap/>
            <w:vAlign w:val="center"/>
          </w:tcPr>
          <w:p w14:paraId="4678D072">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总库容</w:t>
            </w:r>
          </w:p>
        </w:tc>
        <w:tc>
          <w:tcPr>
            <w:tcW w:w="623" w:type="pct"/>
            <w:vAlign w:val="center"/>
          </w:tcPr>
          <w:p w14:paraId="26E6C444">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水质目标</w:t>
            </w:r>
          </w:p>
        </w:tc>
        <w:tc>
          <w:tcPr>
            <w:tcW w:w="669" w:type="pct"/>
            <w:vAlign w:val="center"/>
          </w:tcPr>
          <w:p w14:paraId="53F65030">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主导功能</w:t>
            </w:r>
          </w:p>
        </w:tc>
        <w:tc>
          <w:tcPr>
            <w:tcW w:w="764" w:type="pct"/>
            <w:vAlign w:val="center"/>
          </w:tcPr>
          <w:p w14:paraId="5D79DBDF">
            <w:pPr>
              <w:jc w:val="center"/>
              <w:rPr>
                <w:rFonts w:hint="default"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依据文件</w:t>
            </w:r>
          </w:p>
        </w:tc>
      </w:tr>
      <w:tr w14:paraId="6599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37" w:type="pct"/>
            <w:shd w:val="clear" w:color="auto" w:fill="auto"/>
            <w:noWrap/>
            <w:vAlign w:val="center"/>
          </w:tcPr>
          <w:p w14:paraId="57D86FA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1181" w:type="pct"/>
            <w:shd w:val="clear" w:color="auto" w:fill="auto"/>
            <w:vAlign w:val="center"/>
          </w:tcPr>
          <w:p w14:paraId="684BA10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兴宁市合水水库</w:t>
            </w:r>
          </w:p>
        </w:tc>
        <w:tc>
          <w:tcPr>
            <w:tcW w:w="435" w:type="pct"/>
            <w:shd w:val="clear" w:color="auto" w:fill="auto"/>
            <w:noWrap/>
            <w:vAlign w:val="center"/>
          </w:tcPr>
          <w:p w14:paraId="608DE27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大型</w:t>
            </w:r>
          </w:p>
        </w:tc>
        <w:tc>
          <w:tcPr>
            <w:tcW w:w="986" w:type="pct"/>
            <w:shd w:val="clear" w:color="auto" w:fill="auto"/>
            <w:noWrap/>
            <w:vAlign w:val="center"/>
          </w:tcPr>
          <w:p w14:paraId="0FBAD26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1.1亿立方米</w:t>
            </w:r>
          </w:p>
        </w:tc>
        <w:tc>
          <w:tcPr>
            <w:tcW w:w="623" w:type="pct"/>
            <w:vAlign w:val="center"/>
          </w:tcPr>
          <w:p w14:paraId="617B7AF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Ⅲ</w:t>
            </w:r>
          </w:p>
        </w:tc>
        <w:tc>
          <w:tcPr>
            <w:tcW w:w="669" w:type="pct"/>
            <w:vAlign w:val="center"/>
          </w:tcPr>
          <w:p w14:paraId="2D32F32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饮农防发</w:t>
            </w:r>
          </w:p>
        </w:tc>
        <w:tc>
          <w:tcPr>
            <w:tcW w:w="764" w:type="pct"/>
            <w:vMerge w:val="restart"/>
            <w:vAlign w:val="center"/>
          </w:tcPr>
          <w:p w14:paraId="1AC7846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《广东省地表水环境功能区划》（粤环〔2011〕14号）</w:t>
            </w:r>
          </w:p>
        </w:tc>
      </w:tr>
      <w:tr w14:paraId="27D6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37" w:type="pct"/>
            <w:shd w:val="clear" w:color="auto" w:fill="auto"/>
            <w:noWrap/>
            <w:vAlign w:val="center"/>
          </w:tcPr>
          <w:p w14:paraId="38C6168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1181" w:type="pct"/>
            <w:shd w:val="clear" w:color="auto" w:fill="auto"/>
            <w:vAlign w:val="center"/>
          </w:tcPr>
          <w:p w14:paraId="4AD1497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兴宁市石壁水库</w:t>
            </w:r>
          </w:p>
        </w:tc>
        <w:tc>
          <w:tcPr>
            <w:tcW w:w="435" w:type="pct"/>
            <w:shd w:val="clear" w:color="auto" w:fill="auto"/>
            <w:noWrap/>
            <w:vAlign w:val="center"/>
          </w:tcPr>
          <w:p w14:paraId="2317C87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中型</w:t>
            </w:r>
          </w:p>
        </w:tc>
        <w:tc>
          <w:tcPr>
            <w:tcW w:w="986" w:type="pct"/>
            <w:shd w:val="clear" w:color="auto" w:fill="auto"/>
            <w:noWrap/>
            <w:vAlign w:val="center"/>
          </w:tcPr>
          <w:p w14:paraId="75706A3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1235万立方米</w:t>
            </w:r>
          </w:p>
        </w:tc>
        <w:tc>
          <w:tcPr>
            <w:tcW w:w="623" w:type="pct"/>
            <w:vAlign w:val="center"/>
          </w:tcPr>
          <w:p w14:paraId="4FE49D5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Ⅱ</w:t>
            </w:r>
          </w:p>
        </w:tc>
        <w:tc>
          <w:tcPr>
            <w:tcW w:w="669" w:type="pct"/>
            <w:vAlign w:val="center"/>
          </w:tcPr>
          <w:p w14:paraId="45BF9CF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饮农发</w:t>
            </w:r>
          </w:p>
        </w:tc>
        <w:tc>
          <w:tcPr>
            <w:tcW w:w="764" w:type="pct"/>
            <w:vMerge w:val="continue"/>
            <w:vAlign w:val="center"/>
          </w:tcPr>
          <w:p w14:paraId="4444921D">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7227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37" w:type="pct"/>
            <w:shd w:val="clear" w:color="auto" w:fill="auto"/>
            <w:noWrap/>
            <w:vAlign w:val="center"/>
          </w:tcPr>
          <w:p w14:paraId="34A04B7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1181" w:type="pct"/>
            <w:shd w:val="clear" w:color="auto" w:fill="auto"/>
            <w:vAlign w:val="center"/>
          </w:tcPr>
          <w:p w14:paraId="397FEFB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兴宁市和山岩水库</w:t>
            </w:r>
          </w:p>
        </w:tc>
        <w:tc>
          <w:tcPr>
            <w:tcW w:w="435" w:type="pct"/>
            <w:shd w:val="clear" w:color="auto" w:fill="auto"/>
            <w:noWrap/>
            <w:vAlign w:val="center"/>
          </w:tcPr>
          <w:p w14:paraId="0CD65DE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中型</w:t>
            </w:r>
          </w:p>
        </w:tc>
        <w:tc>
          <w:tcPr>
            <w:tcW w:w="986" w:type="pct"/>
            <w:shd w:val="clear" w:color="auto" w:fill="auto"/>
            <w:noWrap/>
            <w:vAlign w:val="center"/>
          </w:tcPr>
          <w:p w14:paraId="796E20F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2048万立方米</w:t>
            </w:r>
          </w:p>
        </w:tc>
        <w:tc>
          <w:tcPr>
            <w:tcW w:w="623" w:type="pct"/>
            <w:vAlign w:val="center"/>
          </w:tcPr>
          <w:p w14:paraId="154D6D4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Ⅱ</w:t>
            </w:r>
          </w:p>
        </w:tc>
        <w:tc>
          <w:tcPr>
            <w:tcW w:w="669" w:type="pct"/>
            <w:vAlign w:val="center"/>
          </w:tcPr>
          <w:p w14:paraId="2C8CF07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饮农发</w:t>
            </w:r>
          </w:p>
        </w:tc>
        <w:tc>
          <w:tcPr>
            <w:tcW w:w="764" w:type="pct"/>
            <w:vMerge w:val="continue"/>
            <w:vAlign w:val="center"/>
          </w:tcPr>
          <w:p w14:paraId="592C34AF">
            <w:pPr>
              <w:jc w:val="center"/>
              <w:rPr>
                <w:rFonts w:hint="eastAsia" w:ascii="Times New Roman" w:hAnsi="Times New Roman" w:eastAsia="仿宋_GB2312" w:cs="Times New Roman"/>
                <w:b w:val="0"/>
                <w:bCs w:val="0"/>
                <w:snapToGrid/>
                <w:color w:val="auto"/>
                <w:kern w:val="2"/>
                <w:sz w:val="24"/>
                <w:szCs w:val="21"/>
                <w:lang w:val="en-US" w:eastAsia="zh-CN" w:bidi="ar-SA"/>
              </w:rPr>
            </w:pPr>
          </w:p>
        </w:tc>
      </w:tr>
      <w:tr w14:paraId="598FF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337" w:type="pct"/>
            <w:shd w:val="clear" w:color="auto" w:fill="auto"/>
            <w:noWrap/>
            <w:vAlign w:val="center"/>
          </w:tcPr>
          <w:p w14:paraId="3EA0C17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w:t>
            </w:r>
          </w:p>
        </w:tc>
        <w:tc>
          <w:tcPr>
            <w:tcW w:w="1181" w:type="pct"/>
            <w:shd w:val="clear" w:color="auto" w:fill="auto"/>
            <w:vAlign w:val="center"/>
          </w:tcPr>
          <w:p w14:paraId="7789E00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兴宁市温公水库</w:t>
            </w:r>
          </w:p>
        </w:tc>
        <w:tc>
          <w:tcPr>
            <w:tcW w:w="435" w:type="pct"/>
            <w:shd w:val="clear" w:color="auto" w:fill="auto"/>
            <w:noWrap/>
            <w:vAlign w:val="center"/>
          </w:tcPr>
          <w:p w14:paraId="44ADDA6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中型</w:t>
            </w:r>
          </w:p>
        </w:tc>
        <w:tc>
          <w:tcPr>
            <w:tcW w:w="986" w:type="pct"/>
            <w:shd w:val="clear" w:color="auto" w:fill="auto"/>
            <w:noWrap/>
            <w:vAlign w:val="center"/>
          </w:tcPr>
          <w:p w14:paraId="455FA0B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2200万立方米</w:t>
            </w:r>
          </w:p>
        </w:tc>
        <w:tc>
          <w:tcPr>
            <w:tcW w:w="623" w:type="pct"/>
            <w:vAlign w:val="center"/>
          </w:tcPr>
          <w:p w14:paraId="27F7CFC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Ⅱ</w:t>
            </w:r>
          </w:p>
        </w:tc>
        <w:tc>
          <w:tcPr>
            <w:tcW w:w="669" w:type="pct"/>
            <w:vAlign w:val="center"/>
          </w:tcPr>
          <w:p w14:paraId="6F4DCCB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饮农发</w:t>
            </w:r>
          </w:p>
        </w:tc>
        <w:tc>
          <w:tcPr>
            <w:tcW w:w="764" w:type="pct"/>
            <w:vMerge w:val="continue"/>
            <w:vAlign w:val="center"/>
          </w:tcPr>
          <w:p w14:paraId="428639EC">
            <w:pPr>
              <w:jc w:val="center"/>
              <w:rPr>
                <w:rFonts w:hint="eastAsia" w:ascii="Times New Roman" w:hAnsi="Times New Roman" w:eastAsia="仿宋_GB2312" w:cs="Times New Roman"/>
                <w:b w:val="0"/>
                <w:bCs w:val="0"/>
                <w:snapToGrid/>
                <w:color w:val="auto"/>
                <w:kern w:val="2"/>
                <w:sz w:val="24"/>
                <w:szCs w:val="21"/>
                <w:lang w:val="en-US" w:eastAsia="zh-CN" w:bidi="ar-SA"/>
              </w:rPr>
            </w:pPr>
          </w:p>
        </w:tc>
      </w:tr>
      <w:bookmarkEnd w:id="12"/>
    </w:tbl>
    <w:p w14:paraId="5A4685F7">
      <w:pPr>
        <w:rPr>
          <w:color w:val="auto"/>
          <w:spacing w:val="2"/>
        </w:rPr>
      </w:pPr>
      <w:r>
        <w:rPr>
          <w:color w:val="auto"/>
          <w:spacing w:val="2"/>
        </w:rPr>
        <w:br w:type="page"/>
      </w:r>
    </w:p>
    <w:p w14:paraId="2B611EFB">
      <w:pPr>
        <w:pStyle w:val="5"/>
        <w:spacing w:before="214" w:line="227" w:lineRule="auto"/>
        <w:outlineLvl w:val="0"/>
        <w:rPr>
          <w:rFonts w:hint="eastAsia" w:ascii="Times New Roman" w:hAnsi="Times New Roman" w:eastAsia="仿宋_GB2312" w:cs="Times New Roman"/>
          <w:snapToGrid/>
          <w:color w:val="auto"/>
          <w:kern w:val="2"/>
          <w:sz w:val="28"/>
          <w:szCs w:val="22"/>
          <w:lang w:val="en-US" w:eastAsia="zh-CN" w:bidi="ar-SA"/>
        </w:rPr>
      </w:pPr>
      <w:bookmarkStart w:id="13" w:name="_Toc26965"/>
      <w:r>
        <w:rPr>
          <w:rFonts w:hint="eastAsia" w:ascii="Times New Roman" w:hAnsi="Times New Roman" w:eastAsia="仿宋_GB2312" w:cs="Times New Roman"/>
          <w:snapToGrid/>
          <w:color w:val="auto"/>
          <w:kern w:val="2"/>
          <w:sz w:val="28"/>
          <w:szCs w:val="22"/>
          <w:lang w:val="en-US" w:eastAsia="zh-CN" w:bidi="ar-SA"/>
        </w:rPr>
        <w:t>附表4  兴宁市主要工业园区</w:t>
      </w:r>
      <w:bookmarkEnd w:id="13"/>
    </w:p>
    <w:p w14:paraId="6B174F87">
      <w:pPr>
        <w:spacing w:line="132" w:lineRule="auto"/>
        <w:rPr>
          <w:rFonts w:ascii="Arial"/>
          <w:color w:val="auto"/>
          <w:sz w:val="2"/>
        </w:rPr>
      </w:pPr>
    </w:p>
    <w:tbl>
      <w:tblPr>
        <w:tblStyle w:val="19"/>
        <w:tblW w:w="501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4"/>
        <w:gridCol w:w="1114"/>
        <w:gridCol w:w="2604"/>
        <w:gridCol w:w="4038"/>
      </w:tblGrid>
      <w:tr w14:paraId="1BC48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563" w:type="pct"/>
            <w:tcBorders>
              <w:bottom w:val="single" w:color="000000" w:sz="2" w:space="0"/>
            </w:tcBorders>
            <w:vAlign w:val="center"/>
          </w:tcPr>
          <w:p w14:paraId="341E6436">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序号</w:t>
            </w:r>
          </w:p>
        </w:tc>
        <w:tc>
          <w:tcPr>
            <w:tcW w:w="637" w:type="pct"/>
            <w:tcBorders>
              <w:bottom w:val="single" w:color="000000" w:sz="2" w:space="0"/>
            </w:tcBorders>
            <w:vAlign w:val="center"/>
          </w:tcPr>
          <w:p w14:paraId="396BA716">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类型</w:t>
            </w:r>
          </w:p>
        </w:tc>
        <w:tc>
          <w:tcPr>
            <w:tcW w:w="1489" w:type="pct"/>
            <w:tcBorders>
              <w:bottom w:val="single" w:color="000000" w:sz="2" w:space="0"/>
            </w:tcBorders>
            <w:vAlign w:val="center"/>
          </w:tcPr>
          <w:p w14:paraId="2ACB7B13">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名称</w:t>
            </w:r>
          </w:p>
        </w:tc>
        <w:tc>
          <w:tcPr>
            <w:tcW w:w="2309" w:type="pct"/>
            <w:tcBorders>
              <w:bottom w:val="single" w:color="000000" w:sz="2" w:space="0"/>
            </w:tcBorders>
            <w:vAlign w:val="center"/>
          </w:tcPr>
          <w:p w14:paraId="3C31B7F7">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四至范围</w:t>
            </w:r>
          </w:p>
        </w:tc>
      </w:tr>
      <w:tr w14:paraId="53FCC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563" w:type="pct"/>
            <w:tcBorders>
              <w:top w:val="single" w:color="000000" w:sz="2" w:space="0"/>
              <w:bottom w:val="single" w:color="000000" w:sz="2" w:space="0"/>
            </w:tcBorders>
            <w:vAlign w:val="center"/>
          </w:tcPr>
          <w:p w14:paraId="67AE6E4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637" w:type="pct"/>
            <w:vMerge w:val="restart"/>
            <w:tcBorders>
              <w:top w:val="single" w:color="000000" w:sz="2" w:space="0"/>
            </w:tcBorders>
            <w:vAlign w:val="center"/>
          </w:tcPr>
          <w:p w14:paraId="0EEF2F7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工业园区</w:t>
            </w:r>
          </w:p>
        </w:tc>
        <w:tc>
          <w:tcPr>
            <w:tcW w:w="1489" w:type="pct"/>
            <w:tcBorders>
              <w:top w:val="single" w:color="000000" w:sz="2" w:space="0"/>
              <w:bottom w:val="single" w:color="000000" w:sz="2" w:space="0"/>
            </w:tcBorders>
            <w:vAlign w:val="center"/>
          </w:tcPr>
          <w:p w14:paraId="15B6B18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广州（梅州）产业转移工业园</w:t>
            </w:r>
          </w:p>
        </w:tc>
        <w:tc>
          <w:tcPr>
            <w:tcW w:w="2309" w:type="pct"/>
            <w:tcBorders>
              <w:top w:val="single" w:color="000000" w:sz="2" w:space="0"/>
              <w:bottom w:val="single" w:color="000000" w:sz="2" w:space="0"/>
            </w:tcBorders>
            <w:vAlign w:val="center"/>
          </w:tcPr>
          <w:p w14:paraId="583D567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属梅州高新区兴宁市水口镇境内区域</w:t>
            </w:r>
          </w:p>
        </w:tc>
      </w:tr>
      <w:tr w14:paraId="1C875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563" w:type="pct"/>
            <w:tcBorders>
              <w:top w:val="single" w:color="000000" w:sz="2" w:space="0"/>
              <w:bottom w:val="single" w:color="000000" w:sz="2" w:space="0"/>
            </w:tcBorders>
            <w:vAlign w:val="center"/>
          </w:tcPr>
          <w:p w14:paraId="6B82815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637" w:type="pct"/>
            <w:vMerge w:val="continue"/>
            <w:vAlign w:val="center"/>
          </w:tcPr>
          <w:p w14:paraId="19CA0F6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489" w:type="pct"/>
            <w:tcBorders>
              <w:top w:val="single" w:color="000000" w:sz="2" w:space="0"/>
              <w:bottom w:val="single" w:color="000000" w:sz="2" w:space="0"/>
            </w:tcBorders>
            <w:vAlign w:val="center"/>
          </w:tcPr>
          <w:p w14:paraId="349C572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广东兴宁市产业转移工业园区南区</w:t>
            </w:r>
          </w:p>
        </w:tc>
        <w:tc>
          <w:tcPr>
            <w:tcW w:w="2309" w:type="pct"/>
            <w:tcBorders>
              <w:top w:val="single" w:color="000000" w:sz="2" w:space="0"/>
              <w:bottom w:val="single" w:color="000000" w:sz="2" w:space="0"/>
            </w:tcBorders>
            <w:vAlign w:val="center"/>
          </w:tcPr>
          <w:p w14:paraId="2DDC7C9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东至叶塘同众村，西至叶塘彭陂、龙坪村，北至北塘、大众村，南至新陂新金村、华新村</w:t>
            </w:r>
          </w:p>
        </w:tc>
      </w:tr>
      <w:tr w14:paraId="206CE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63" w:type="pct"/>
            <w:tcBorders>
              <w:top w:val="single" w:color="000000" w:sz="2" w:space="0"/>
              <w:bottom w:val="single" w:color="000000" w:sz="2" w:space="0"/>
            </w:tcBorders>
            <w:vAlign w:val="center"/>
          </w:tcPr>
          <w:p w14:paraId="5E6D369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637" w:type="pct"/>
            <w:vMerge w:val="continue"/>
            <w:vAlign w:val="center"/>
          </w:tcPr>
          <w:p w14:paraId="637A1089">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489" w:type="pct"/>
            <w:tcBorders>
              <w:top w:val="single" w:color="000000" w:sz="2" w:space="0"/>
              <w:bottom w:val="single" w:color="000000" w:sz="2" w:space="0"/>
            </w:tcBorders>
            <w:vAlign w:val="center"/>
          </w:tcPr>
          <w:p w14:paraId="3C9990E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广东兴宁市产业转移工业园区北区</w:t>
            </w:r>
          </w:p>
        </w:tc>
        <w:tc>
          <w:tcPr>
            <w:tcW w:w="2309" w:type="pct"/>
            <w:tcBorders>
              <w:top w:val="single" w:color="000000" w:sz="2" w:space="0"/>
              <w:bottom w:val="single" w:color="000000" w:sz="2" w:space="0"/>
            </w:tcBorders>
            <w:vAlign w:val="center"/>
          </w:tcPr>
          <w:p w14:paraId="0D6F0A4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东至合水镇罗陂村，西至合水镇霞洞村、龙田镇水陂村，北至合水水库，南至石马河</w:t>
            </w:r>
          </w:p>
        </w:tc>
      </w:tr>
      <w:tr w14:paraId="0A3FA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63" w:type="pct"/>
            <w:tcBorders>
              <w:top w:val="single" w:color="000000" w:sz="2" w:space="0"/>
              <w:bottom w:val="single" w:color="000000" w:sz="2" w:space="0"/>
            </w:tcBorders>
            <w:vAlign w:val="center"/>
          </w:tcPr>
          <w:p w14:paraId="4D164BA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w:t>
            </w:r>
          </w:p>
        </w:tc>
        <w:tc>
          <w:tcPr>
            <w:tcW w:w="637" w:type="pct"/>
            <w:vMerge w:val="continue"/>
            <w:vAlign w:val="center"/>
          </w:tcPr>
          <w:p w14:paraId="697DDDBF">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489" w:type="pct"/>
            <w:tcBorders>
              <w:top w:val="single" w:color="000000" w:sz="2" w:space="0"/>
              <w:bottom w:val="single" w:color="000000" w:sz="2" w:space="0"/>
            </w:tcBorders>
            <w:vAlign w:val="center"/>
          </w:tcPr>
          <w:p w14:paraId="407D48A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中伟新能源</w:t>
            </w:r>
          </w:p>
        </w:tc>
        <w:tc>
          <w:tcPr>
            <w:tcW w:w="2309" w:type="pct"/>
            <w:tcBorders>
              <w:top w:val="single" w:color="000000" w:sz="2" w:space="0"/>
              <w:bottom w:val="single" w:color="000000" w:sz="2" w:space="0"/>
            </w:tcBorders>
            <w:vAlign w:val="center"/>
          </w:tcPr>
          <w:p w14:paraId="0614FC4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东至S226，西至济广高速三口塘村段，北至教礼村伯公窝，南至三口塘村长塘</w:t>
            </w:r>
          </w:p>
        </w:tc>
      </w:tr>
      <w:tr w14:paraId="508C7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63" w:type="pct"/>
            <w:tcBorders>
              <w:top w:val="single" w:color="000000" w:sz="2" w:space="0"/>
              <w:bottom w:val="single" w:color="000000" w:sz="2" w:space="0"/>
            </w:tcBorders>
            <w:vAlign w:val="center"/>
          </w:tcPr>
          <w:p w14:paraId="467A8D4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w:t>
            </w:r>
          </w:p>
        </w:tc>
        <w:tc>
          <w:tcPr>
            <w:tcW w:w="637" w:type="pct"/>
            <w:vMerge w:val="continue"/>
            <w:vAlign w:val="center"/>
          </w:tcPr>
          <w:p w14:paraId="004E7880">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489" w:type="pct"/>
            <w:tcBorders>
              <w:top w:val="single" w:color="000000" w:sz="2" w:space="0"/>
              <w:bottom w:val="single" w:color="000000" w:sz="2" w:space="0"/>
            </w:tcBorders>
            <w:vAlign w:val="center"/>
          </w:tcPr>
          <w:p w14:paraId="1CDF1FE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永和工业园</w:t>
            </w:r>
          </w:p>
        </w:tc>
        <w:tc>
          <w:tcPr>
            <w:tcW w:w="2309" w:type="pct"/>
            <w:tcBorders>
              <w:top w:val="single" w:color="000000" w:sz="2" w:space="0"/>
              <w:bottom w:val="single" w:color="000000" w:sz="2" w:space="0"/>
            </w:tcBorders>
            <w:vAlign w:val="center"/>
          </w:tcPr>
          <w:p w14:paraId="0323A25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东至新中村雷公坑，西至新中村打石岭，北至福岭水库，南至新中村俄山屋</w:t>
            </w:r>
          </w:p>
        </w:tc>
      </w:tr>
      <w:tr w14:paraId="5ACE4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63" w:type="pct"/>
            <w:tcBorders>
              <w:top w:val="single" w:color="000000" w:sz="2" w:space="0"/>
              <w:bottom w:val="single" w:color="000000" w:sz="2" w:space="0"/>
            </w:tcBorders>
            <w:vAlign w:val="center"/>
          </w:tcPr>
          <w:p w14:paraId="549ACDD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w:t>
            </w:r>
          </w:p>
        </w:tc>
        <w:tc>
          <w:tcPr>
            <w:tcW w:w="637" w:type="pct"/>
            <w:vMerge w:val="continue"/>
            <w:vAlign w:val="center"/>
          </w:tcPr>
          <w:p w14:paraId="4D31A9A8">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489" w:type="pct"/>
            <w:tcBorders>
              <w:top w:val="single" w:color="000000" w:sz="2" w:space="0"/>
              <w:bottom w:val="single" w:color="000000" w:sz="2" w:space="0"/>
            </w:tcBorders>
            <w:vAlign w:val="center"/>
          </w:tcPr>
          <w:p w14:paraId="5DBEA56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望江老工业区</w:t>
            </w:r>
          </w:p>
        </w:tc>
        <w:tc>
          <w:tcPr>
            <w:tcW w:w="2309" w:type="pct"/>
            <w:tcBorders>
              <w:top w:val="single" w:color="000000" w:sz="2" w:space="0"/>
              <w:bottom w:val="single" w:color="000000" w:sz="2" w:space="0"/>
            </w:tcBorders>
            <w:vAlign w:val="center"/>
          </w:tcPr>
          <w:p w14:paraId="1D8C2B0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东至古塘村上新屋，西至宁江，北至市委党校，南至兴宁气象局</w:t>
            </w:r>
          </w:p>
        </w:tc>
      </w:tr>
      <w:tr w14:paraId="6DC94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63" w:type="pct"/>
            <w:tcBorders>
              <w:top w:val="single" w:color="000000" w:sz="2" w:space="0"/>
              <w:bottom w:val="single" w:color="000000" w:sz="2" w:space="0"/>
            </w:tcBorders>
            <w:vAlign w:val="center"/>
          </w:tcPr>
          <w:p w14:paraId="78DBF49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7</w:t>
            </w:r>
          </w:p>
        </w:tc>
        <w:tc>
          <w:tcPr>
            <w:tcW w:w="637" w:type="pct"/>
            <w:vMerge w:val="continue"/>
            <w:vAlign w:val="center"/>
          </w:tcPr>
          <w:p w14:paraId="034169DB">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489" w:type="pct"/>
            <w:tcBorders>
              <w:top w:val="single" w:color="000000" w:sz="2" w:space="0"/>
              <w:bottom w:val="single" w:color="000000" w:sz="2" w:space="0"/>
            </w:tcBorders>
            <w:vAlign w:val="center"/>
          </w:tcPr>
          <w:p w14:paraId="629F35D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华丰工业园</w:t>
            </w:r>
          </w:p>
        </w:tc>
        <w:tc>
          <w:tcPr>
            <w:tcW w:w="2309" w:type="pct"/>
            <w:tcBorders>
              <w:top w:val="single" w:color="000000" w:sz="2" w:space="0"/>
              <w:bottom w:val="single" w:color="000000" w:sz="2" w:space="0"/>
            </w:tcBorders>
            <w:vAlign w:val="center"/>
          </w:tcPr>
          <w:p w14:paraId="589766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东至锦华村上墩郭屋，西至锦华村甘葛岭路，北至人民大道，南至锦华村民委员会</w:t>
            </w:r>
          </w:p>
        </w:tc>
      </w:tr>
      <w:tr w14:paraId="670A7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563" w:type="pct"/>
            <w:tcBorders>
              <w:top w:val="single" w:color="000000" w:sz="2" w:space="0"/>
              <w:bottom w:val="single" w:color="000000" w:sz="2" w:space="0"/>
            </w:tcBorders>
            <w:vAlign w:val="center"/>
          </w:tcPr>
          <w:p w14:paraId="6876DA78">
            <w:pPr>
              <w:jc w:val="center"/>
              <w:rPr>
                <w:rFonts w:hint="default"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8</w:t>
            </w:r>
          </w:p>
        </w:tc>
        <w:tc>
          <w:tcPr>
            <w:tcW w:w="637" w:type="pct"/>
            <w:vMerge w:val="continue"/>
            <w:tcBorders>
              <w:bottom w:val="single" w:color="000000" w:sz="2" w:space="0"/>
            </w:tcBorders>
            <w:vAlign w:val="center"/>
          </w:tcPr>
          <w:p w14:paraId="69355CD1">
            <w:pPr>
              <w:jc w:val="center"/>
              <w:rPr>
                <w:rFonts w:hint="eastAsia" w:ascii="Times New Roman" w:hAnsi="Times New Roman" w:eastAsia="仿宋_GB2312" w:cs="Times New Roman"/>
                <w:b w:val="0"/>
                <w:bCs w:val="0"/>
                <w:snapToGrid/>
                <w:color w:val="auto"/>
                <w:kern w:val="2"/>
                <w:sz w:val="24"/>
                <w:szCs w:val="21"/>
                <w:lang w:val="en-US" w:eastAsia="zh-CN" w:bidi="ar-SA"/>
              </w:rPr>
            </w:pPr>
          </w:p>
        </w:tc>
        <w:tc>
          <w:tcPr>
            <w:tcW w:w="1489" w:type="pct"/>
            <w:tcBorders>
              <w:top w:val="single" w:color="000000" w:sz="2" w:space="0"/>
              <w:bottom w:val="single" w:color="000000" w:sz="2" w:space="0"/>
            </w:tcBorders>
            <w:vAlign w:val="center"/>
          </w:tcPr>
          <w:p w14:paraId="56FF298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丰江水混和创强砼</w:t>
            </w:r>
          </w:p>
        </w:tc>
        <w:tc>
          <w:tcPr>
            <w:tcW w:w="2309" w:type="pct"/>
            <w:tcBorders>
              <w:top w:val="single" w:color="000000" w:sz="2" w:space="0"/>
              <w:bottom w:val="single" w:color="000000" w:sz="2" w:space="0"/>
            </w:tcBorders>
            <w:vAlign w:val="center"/>
          </w:tcPr>
          <w:p w14:paraId="29CC056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东至鸳塘村鹿鸣围，西至龙田客运站，北至龙田镇人民法院，南至五一村鹿子坪村道</w:t>
            </w:r>
          </w:p>
        </w:tc>
      </w:tr>
    </w:tbl>
    <w:p w14:paraId="5870E1DB">
      <w:pPr>
        <w:rPr>
          <w:rFonts w:ascii="Arial"/>
          <w:color w:val="auto"/>
          <w:sz w:val="21"/>
        </w:rPr>
      </w:pPr>
    </w:p>
    <w:p w14:paraId="6BC41020">
      <w:pPr>
        <w:rPr>
          <w:rFonts w:ascii="Arial" w:hAnsi="Arial" w:eastAsia="Arial" w:cs="Arial"/>
          <w:color w:val="auto"/>
          <w:sz w:val="21"/>
          <w:szCs w:val="21"/>
        </w:rPr>
        <w:sectPr>
          <w:footerReference r:id="rId10" w:type="default"/>
          <w:pgSz w:w="11907" w:h="16839"/>
          <w:pgMar w:top="1431" w:right="1598" w:bottom="1377" w:left="1598" w:header="0" w:footer="1214" w:gutter="0"/>
          <w:pgBorders>
            <w:top w:val="none" w:sz="0" w:space="0"/>
            <w:left w:val="none" w:sz="0" w:space="0"/>
            <w:bottom w:val="none" w:sz="0" w:space="0"/>
            <w:right w:val="none" w:sz="0" w:space="0"/>
          </w:pgBorders>
          <w:pgNumType w:fmt="decimal"/>
          <w:cols w:space="720" w:num="1"/>
        </w:sectPr>
      </w:pPr>
    </w:p>
    <w:p w14:paraId="34501A54">
      <w:pPr>
        <w:pStyle w:val="5"/>
        <w:spacing w:before="214" w:line="227" w:lineRule="auto"/>
        <w:outlineLvl w:val="0"/>
        <w:rPr>
          <w:rFonts w:hint="eastAsia" w:ascii="Times New Roman" w:hAnsi="Times New Roman" w:eastAsia="仿宋_GB2312" w:cs="Times New Roman"/>
          <w:snapToGrid/>
          <w:color w:val="auto"/>
          <w:kern w:val="2"/>
          <w:sz w:val="28"/>
          <w:szCs w:val="22"/>
          <w:lang w:val="en-US" w:eastAsia="zh-CN" w:bidi="ar-SA"/>
        </w:rPr>
      </w:pPr>
      <w:bookmarkStart w:id="14" w:name="_Toc3694"/>
      <w:r>
        <w:rPr>
          <w:rFonts w:hint="eastAsia" w:ascii="Times New Roman" w:hAnsi="Times New Roman" w:eastAsia="仿宋_GB2312" w:cs="Times New Roman"/>
          <w:snapToGrid/>
          <w:color w:val="auto"/>
          <w:kern w:val="2"/>
          <w:sz w:val="28"/>
          <w:szCs w:val="22"/>
          <w:lang w:val="en-US" w:eastAsia="zh-CN" w:bidi="ar-SA"/>
        </w:rPr>
        <w:t>附表5  兴宁市主要交通路网</w:t>
      </w:r>
      <w:bookmarkEnd w:id="14"/>
    </w:p>
    <w:p w14:paraId="002FC455">
      <w:pPr>
        <w:spacing w:line="107" w:lineRule="auto"/>
        <w:rPr>
          <w:rFonts w:ascii="Arial"/>
          <w:color w:val="auto"/>
          <w:sz w:val="2"/>
        </w:rPr>
      </w:pPr>
    </w:p>
    <w:p w14:paraId="5CAFF5A9">
      <w:pPr>
        <w:pStyle w:val="17"/>
        <w:spacing w:beforeLines="50"/>
        <w:rPr>
          <w:rFonts w:hint="eastAsia" w:ascii="仿宋" w:hAnsi="仿宋" w:eastAsia="仿宋" w:cs="仿宋"/>
          <w:color w:val="auto"/>
          <w:sz w:val="24"/>
          <w:szCs w:val="24"/>
        </w:rPr>
      </w:pPr>
      <w:r>
        <w:rPr>
          <w:rFonts w:hint="eastAsia" w:ascii="Times New Roman" w:hAnsi="Times New Roman" w:eastAsia="仿宋_GB2312" w:cs="Times New Roman"/>
          <w:b w:val="0"/>
          <w:snapToGrid/>
          <w:color w:val="auto"/>
          <w:kern w:val="2"/>
          <w:sz w:val="24"/>
          <w:szCs w:val="21"/>
          <w:lang w:val="en-US" w:eastAsia="zh-CN" w:bidi="ar-SA"/>
        </w:rPr>
        <w:t>附表5-1  兴宁市高速公路、国道、省道路线表</w:t>
      </w:r>
    </w:p>
    <w:tbl>
      <w:tblPr>
        <w:tblStyle w:val="10"/>
        <w:tblW w:w="5000" w:type="pct"/>
        <w:jc w:val="center"/>
        <w:tblLayout w:type="autofit"/>
        <w:tblCellMar>
          <w:top w:w="0" w:type="dxa"/>
          <w:left w:w="108" w:type="dxa"/>
          <w:bottom w:w="0" w:type="dxa"/>
          <w:right w:w="108" w:type="dxa"/>
        </w:tblCellMar>
      </w:tblPr>
      <w:tblGrid>
        <w:gridCol w:w="698"/>
        <w:gridCol w:w="2465"/>
        <w:gridCol w:w="3384"/>
        <w:gridCol w:w="2380"/>
      </w:tblGrid>
      <w:tr w14:paraId="220FAC8B">
        <w:tblPrEx>
          <w:tblCellMar>
            <w:top w:w="0" w:type="dxa"/>
            <w:left w:w="108" w:type="dxa"/>
            <w:bottom w:w="0" w:type="dxa"/>
            <w:right w:w="108" w:type="dxa"/>
          </w:tblCellMar>
        </w:tblPrEx>
        <w:trPr>
          <w:trHeight w:val="340" w:hRule="atLeast"/>
          <w:tblHeader/>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39CC3">
            <w:pPr>
              <w:jc w:val="center"/>
              <w:rPr>
                <w:rFonts w:hint="eastAsia" w:ascii="Times New Roman" w:hAnsi="Times New Roman" w:eastAsia="仿宋_GB2312" w:cs="Times New Roman"/>
                <w:b/>
                <w:bCs/>
                <w:snapToGrid/>
                <w:color w:val="auto"/>
                <w:kern w:val="2"/>
                <w:sz w:val="24"/>
                <w:szCs w:val="21"/>
                <w:lang w:val="en-US" w:eastAsia="zh-CN" w:bidi="ar-SA"/>
              </w:rPr>
            </w:pPr>
            <w:bookmarkStart w:id="15" w:name="_Hlk182770031"/>
            <w:r>
              <w:rPr>
                <w:rFonts w:hint="eastAsia" w:ascii="Times New Roman" w:hAnsi="Times New Roman" w:eastAsia="仿宋_GB2312" w:cs="Times New Roman"/>
                <w:b/>
                <w:bCs/>
                <w:snapToGrid/>
                <w:color w:val="auto"/>
                <w:kern w:val="2"/>
                <w:sz w:val="24"/>
                <w:szCs w:val="21"/>
                <w:lang w:val="en-US" w:eastAsia="zh-CN" w:bidi="ar-SA"/>
              </w:rPr>
              <w:t>序号</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CE1A6">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线路编号</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FB14">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线路名称</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C5101">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境内里程（km）</w:t>
            </w:r>
          </w:p>
        </w:tc>
      </w:tr>
      <w:tr w14:paraId="2A7B2426">
        <w:tblPrEx>
          <w:tblCellMar>
            <w:top w:w="0" w:type="dxa"/>
            <w:left w:w="108" w:type="dxa"/>
            <w:bottom w:w="0" w:type="dxa"/>
            <w:right w:w="108" w:type="dxa"/>
          </w:tblCellMar>
        </w:tblPrEx>
        <w:trPr>
          <w:trHeight w:val="34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758F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高速公路</w:t>
            </w:r>
          </w:p>
        </w:tc>
      </w:tr>
      <w:tr w14:paraId="19546155">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BD3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D793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G35</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3249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济广高速</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BF1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46.83</w:t>
            </w:r>
          </w:p>
        </w:tc>
      </w:tr>
      <w:tr w14:paraId="0A8DA740">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197D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D77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G25</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34BE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长深高速</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EA3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32.66</w:t>
            </w:r>
          </w:p>
        </w:tc>
      </w:tr>
      <w:tr w14:paraId="61CF3018">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979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66E0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G78</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1FE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兴畲高速</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9BA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24.22</w:t>
            </w:r>
          </w:p>
        </w:tc>
      </w:tr>
      <w:tr w14:paraId="19192185">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B0EB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BAE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S19</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80C3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梅汕高速</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2578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8.2</w:t>
            </w:r>
          </w:p>
        </w:tc>
      </w:tr>
      <w:tr w14:paraId="0F033EAA">
        <w:tblPrEx>
          <w:tblCellMar>
            <w:top w:w="0" w:type="dxa"/>
            <w:left w:w="108" w:type="dxa"/>
            <w:bottom w:w="0" w:type="dxa"/>
            <w:right w:w="108" w:type="dxa"/>
          </w:tblCellMar>
        </w:tblPrEx>
        <w:trPr>
          <w:trHeight w:val="340"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D069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国道、省道</w:t>
            </w:r>
          </w:p>
        </w:tc>
      </w:tr>
      <w:tr w14:paraId="0AC93B33">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A8FE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E2BD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G205</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A1BA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G205国道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D3CC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41.43</w:t>
            </w:r>
          </w:p>
        </w:tc>
      </w:tr>
      <w:tr w14:paraId="4A2ECF1A">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2145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A7E8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G206</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C4E1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G206国道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33B4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4.43</w:t>
            </w:r>
          </w:p>
        </w:tc>
      </w:tr>
      <w:tr w14:paraId="0293DA61">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9C0A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DC9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G355</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4E70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G355国道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0B0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14.05</w:t>
            </w:r>
          </w:p>
        </w:tc>
      </w:tr>
      <w:tr w14:paraId="32248AE8">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655F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0DC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S223</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10B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S223省道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44BB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29.146</w:t>
            </w:r>
          </w:p>
        </w:tc>
      </w:tr>
      <w:tr w14:paraId="109C513D">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E78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D7E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S225</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57F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S225省道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67F5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79.130</w:t>
            </w:r>
          </w:p>
        </w:tc>
      </w:tr>
      <w:tr w14:paraId="60D94F3E">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8F31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0B3D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S226</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B1B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S226省道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590F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91.027</w:t>
            </w:r>
          </w:p>
        </w:tc>
      </w:tr>
      <w:tr w14:paraId="24777217">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5B5F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7</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C57D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S228</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5FF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S228省道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DC86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93.551</w:t>
            </w:r>
          </w:p>
        </w:tc>
      </w:tr>
      <w:tr w14:paraId="62207F82">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3945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8</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EFCB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S239</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1E4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S239省道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EA8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51.281</w:t>
            </w:r>
          </w:p>
        </w:tc>
      </w:tr>
      <w:tr w14:paraId="06DF1745">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7C6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9</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A328">
            <w:pPr>
              <w:jc w:val="center"/>
              <w:rPr>
                <w:rFonts w:hint="eastAsia" w:ascii="Times New Roman" w:hAnsi="Times New Roman" w:eastAsia="仿宋_GB2312" w:cs="Times New Roman"/>
                <w:b w:val="0"/>
                <w:bCs w:val="0"/>
                <w:snapToGrid/>
                <w:color w:val="auto"/>
                <w:kern w:val="2"/>
                <w:sz w:val="24"/>
                <w:szCs w:val="21"/>
                <w:lang w:val="en-US" w:eastAsia="en-US" w:bidi="ar-SA"/>
              </w:rPr>
            </w:pPr>
            <w:r>
              <w:rPr>
                <w:rFonts w:hint="eastAsia" w:ascii="Times New Roman" w:hAnsi="Times New Roman" w:eastAsia="仿宋_GB2312" w:cs="Times New Roman"/>
                <w:b w:val="0"/>
                <w:bCs w:val="0"/>
                <w:snapToGrid/>
                <w:color w:val="auto"/>
                <w:kern w:val="2"/>
                <w:sz w:val="24"/>
                <w:szCs w:val="21"/>
                <w:lang w:val="en-US" w:eastAsia="zh-CN" w:bidi="ar-SA"/>
              </w:rPr>
              <w:t>S333</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09B7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S333省道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3F8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21.972</w:t>
            </w:r>
          </w:p>
        </w:tc>
      </w:tr>
      <w:tr w14:paraId="575695DE">
        <w:tblPrEx>
          <w:tblCellMar>
            <w:top w:w="0" w:type="dxa"/>
            <w:left w:w="108" w:type="dxa"/>
            <w:bottom w:w="0" w:type="dxa"/>
            <w:right w:w="108" w:type="dxa"/>
          </w:tblCellMar>
        </w:tblPrEx>
        <w:trPr>
          <w:trHeight w:val="340" w:hRule="atLeast"/>
          <w:jc w:val="center"/>
        </w:trPr>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4D1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10</w:t>
            </w:r>
          </w:p>
        </w:tc>
        <w:tc>
          <w:tcPr>
            <w:tcW w:w="13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40959">
            <w:pPr>
              <w:jc w:val="center"/>
              <w:rPr>
                <w:rFonts w:hint="eastAsia" w:ascii="Times New Roman" w:hAnsi="Times New Roman" w:eastAsia="仿宋_GB2312" w:cs="Times New Roman"/>
                <w:b w:val="0"/>
                <w:bCs w:val="0"/>
                <w:snapToGrid/>
                <w:color w:val="auto"/>
                <w:kern w:val="2"/>
                <w:sz w:val="24"/>
                <w:szCs w:val="21"/>
                <w:lang w:val="en-US" w:eastAsia="en-US" w:bidi="ar-SA"/>
              </w:rPr>
            </w:pPr>
            <w:r>
              <w:rPr>
                <w:rFonts w:hint="eastAsia" w:ascii="Times New Roman" w:hAnsi="Times New Roman" w:eastAsia="仿宋_GB2312" w:cs="Times New Roman"/>
                <w:b w:val="0"/>
                <w:bCs w:val="0"/>
                <w:snapToGrid/>
                <w:color w:val="auto"/>
                <w:kern w:val="2"/>
                <w:sz w:val="24"/>
                <w:szCs w:val="21"/>
                <w:lang w:val="en-US" w:eastAsia="zh-CN" w:bidi="ar-SA"/>
              </w:rPr>
              <w:t>S339</w:t>
            </w:r>
          </w:p>
        </w:tc>
        <w:tc>
          <w:tcPr>
            <w:tcW w:w="18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A1D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S339省道</w:t>
            </w:r>
          </w:p>
        </w:tc>
        <w:tc>
          <w:tcPr>
            <w:tcW w:w="13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7721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21.295</w:t>
            </w:r>
          </w:p>
        </w:tc>
      </w:tr>
      <w:bookmarkEnd w:id="15"/>
    </w:tbl>
    <w:p w14:paraId="7DF6CF90">
      <w:pPr>
        <w:pStyle w:val="17"/>
        <w:spacing w:beforeLines="50"/>
        <w:rPr>
          <w:rFonts w:hint="eastAsia" w:ascii="Times New Roman" w:hAnsi="Times New Roman" w:eastAsia="仿宋_GB2312" w:cs="Times New Roman"/>
          <w:b w:val="0"/>
          <w:snapToGrid/>
          <w:color w:val="auto"/>
          <w:kern w:val="2"/>
          <w:sz w:val="24"/>
          <w:szCs w:val="21"/>
          <w:lang w:val="en-US" w:eastAsia="zh-CN" w:bidi="ar-SA"/>
        </w:rPr>
      </w:pPr>
      <w:r>
        <w:rPr>
          <w:rFonts w:hint="eastAsia" w:ascii="Times New Roman" w:hAnsi="Times New Roman" w:eastAsia="仿宋_GB2312" w:cs="Times New Roman"/>
          <w:b w:val="0"/>
          <w:snapToGrid/>
          <w:color w:val="auto"/>
          <w:kern w:val="2"/>
          <w:sz w:val="24"/>
          <w:szCs w:val="21"/>
          <w:lang w:val="en-US" w:eastAsia="zh-CN" w:bidi="ar-SA"/>
        </w:rPr>
        <w:t>附表5-2  兴宁市铁路路线表</w:t>
      </w:r>
    </w:p>
    <w:tbl>
      <w:tblPr>
        <w:tblStyle w:val="10"/>
        <w:tblW w:w="5000" w:type="pct"/>
        <w:jc w:val="center"/>
        <w:tblLayout w:type="fixed"/>
        <w:tblCellMar>
          <w:top w:w="0" w:type="dxa"/>
          <w:left w:w="108" w:type="dxa"/>
          <w:bottom w:w="0" w:type="dxa"/>
          <w:right w:w="108" w:type="dxa"/>
        </w:tblCellMar>
      </w:tblPr>
      <w:tblGrid>
        <w:gridCol w:w="1063"/>
        <w:gridCol w:w="2234"/>
        <w:gridCol w:w="3720"/>
        <w:gridCol w:w="1910"/>
      </w:tblGrid>
      <w:tr w14:paraId="097C1A70">
        <w:tblPrEx>
          <w:tblCellMar>
            <w:top w:w="0" w:type="dxa"/>
            <w:left w:w="108" w:type="dxa"/>
            <w:bottom w:w="0" w:type="dxa"/>
            <w:right w:w="108" w:type="dxa"/>
          </w:tblCellMar>
        </w:tblPrEx>
        <w:trPr>
          <w:trHeight w:val="340"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4890B">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序号</w:t>
            </w:r>
          </w:p>
        </w:tc>
        <w:tc>
          <w:tcPr>
            <w:tcW w:w="2234" w:type="dxa"/>
            <w:tcBorders>
              <w:top w:val="single" w:color="000000" w:sz="4" w:space="0"/>
              <w:left w:val="single" w:color="000000" w:sz="4" w:space="0"/>
              <w:bottom w:val="single" w:color="000000" w:sz="4" w:space="0"/>
              <w:right w:val="single" w:color="000000" w:sz="4" w:space="0"/>
            </w:tcBorders>
            <w:vAlign w:val="center"/>
          </w:tcPr>
          <w:p w14:paraId="74A41DAF">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线路名称</w:t>
            </w:r>
          </w:p>
        </w:tc>
        <w:tc>
          <w:tcPr>
            <w:tcW w:w="3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A2885">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途经镇区</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4B2DD">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境内里程（km）</w:t>
            </w:r>
          </w:p>
        </w:tc>
      </w:tr>
      <w:tr w14:paraId="5D3138C3">
        <w:tblPrEx>
          <w:tblCellMar>
            <w:top w:w="0" w:type="dxa"/>
            <w:left w:w="108" w:type="dxa"/>
            <w:bottom w:w="0" w:type="dxa"/>
            <w:right w:w="108" w:type="dxa"/>
          </w:tblCellMar>
        </w:tblPrEx>
        <w:trPr>
          <w:trHeight w:val="340"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4262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2234" w:type="dxa"/>
            <w:tcBorders>
              <w:top w:val="single" w:color="000000" w:sz="4" w:space="0"/>
              <w:left w:val="single" w:color="000000" w:sz="4" w:space="0"/>
              <w:bottom w:val="single" w:color="000000" w:sz="4" w:space="0"/>
              <w:right w:val="single" w:color="000000" w:sz="4" w:space="0"/>
            </w:tcBorders>
            <w:vAlign w:val="center"/>
          </w:tcPr>
          <w:p w14:paraId="0011429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广梅汕铁路</w:t>
            </w:r>
          </w:p>
        </w:tc>
        <w:tc>
          <w:tcPr>
            <w:tcW w:w="3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AE6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新陂，福兴，刁坊，坭陂，新圩</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5FF2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33.1</w:t>
            </w:r>
          </w:p>
        </w:tc>
      </w:tr>
      <w:tr w14:paraId="0C123712">
        <w:tblPrEx>
          <w:tblCellMar>
            <w:top w:w="0" w:type="dxa"/>
            <w:left w:w="108" w:type="dxa"/>
            <w:bottom w:w="0" w:type="dxa"/>
            <w:right w:w="108" w:type="dxa"/>
          </w:tblCellMar>
        </w:tblPrEx>
        <w:trPr>
          <w:trHeight w:val="340" w:hRule="atLeast"/>
          <w:jc w:val="center"/>
        </w:trPr>
        <w:tc>
          <w:tcPr>
            <w:tcW w:w="10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031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2234" w:type="dxa"/>
            <w:tcBorders>
              <w:top w:val="single" w:color="000000" w:sz="4" w:space="0"/>
              <w:left w:val="single" w:color="000000" w:sz="4" w:space="0"/>
              <w:bottom w:val="single" w:color="000000" w:sz="4" w:space="0"/>
              <w:right w:val="single" w:color="000000" w:sz="4" w:space="0"/>
            </w:tcBorders>
            <w:vAlign w:val="center"/>
          </w:tcPr>
          <w:p w14:paraId="68A9EEA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兴宁梅龙高铁</w:t>
            </w:r>
          </w:p>
        </w:tc>
        <w:tc>
          <w:tcPr>
            <w:tcW w:w="3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EA35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径南，永和，坭陂，刁坊，福兴</w:t>
            </w:r>
          </w:p>
        </w:tc>
        <w:tc>
          <w:tcPr>
            <w:tcW w:w="1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7DA5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30.2</w:t>
            </w:r>
          </w:p>
        </w:tc>
      </w:tr>
    </w:tbl>
    <w:p w14:paraId="0F415FC2">
      <w:pPr>
        <w:rPr>
          <w:rFonts w:ascii="Arial"/>
          <w:color w:val="auto"/>
          <w:sz w:val="21"/>
        </w:rPr>
      </w:pPr>
    </w:p>
    <w:p w14:paraId="12C0EA67">
      <w:pPr>
        <w:rPr>
          <w:rFonts w:ascii="Arial" w:hAnsi="Arial" w:eastAsia="Arial" w:cs="Arial"/>
          <w:color w:val="auto"/>
          <w:sz w:val="21"/>
          <w:szCs w:val="21"/>
        </w:rPr>
        <w:sectPr>
          <w:footerReference r:id="rId11" w:type="default"/>
          <w:pgSz w:w="11907" w:h="16839"/>
          <w:pgMar w:top="1431" w:right="1598" w:bottom="1377" w:left="1598" w:header="0" w:footer="1214" w:gutter="0"/>
          <w:pgBorders>
            <w:top w:val="none" w:sz="0" w:space="0"/>
            <w:left w:val="none" w:sz="0" w:space="0"/>
            <w:bottom w:val="none" w:sz="0" w:space="0"/>
            <w:right w:val="none" w:sz="0" w:space="0"/>
          </w:pgBorders>
          <w:pgNumType w:fmt="decimal"/>
          <w:cols w:space="720" w:num="1"/>
        </w:sectPr>
      </w:pPr>
    </w:p>
    <w:p w14:paraId="0ACB8B98">
      <w:pPr>
        <w:pStyle w:val="5"/>
        <w:spacing w:before="214" w:line="227" w:lineRule="auto"/>
        <w:outlineLvl w:val="0"/>
        <w:rPr>
          <w:rFonts w:hint="eastAsia" w:ascii="Times New Roman" w:hAnsi="Times New Roman" w:eastAsia="仿宋_GB2312" w:cs="Times New Roman"/>
          <w:snapToGrid/>
          <w:color w:val="auto"/>
          <w:kern w:val="2"/>
          <w:sz w:val="28"/>
          <w:szCs w:val="22"/>
          <w:lang w:val="en-US" w:eastAsia="zh-CN" w:bidi="ar-SA"/>
        </w:rPr>
      </w:pPr>
      <w:bookmarkStart w:id="16" w:name="_Toc21463"/>
      <w:r>
        <w:rPr>
          <w:rFonts w:hint="eastAsia" w:ascii="Times New Roman" w:hAnsi="Times New Roman" w:eastAsia="仿宋_GB2312" w:cs="Times New Roman"/>
          <w:snapToGrid/>
          <w:color w:val="auto"/>
          <w:kern w:val="2"/>
          <w:sz w:val="28"/>
          <w:szCs w:val="22"/>
          <w:lang w:val="en-US" w:eastAsia="zh-CN" w:bidi="ar-SA"/>
        </w:rPr>
        <w:t>附表6  兴宁市县级以上文物保护单位名单</w:t>
      </w:r>
      <w:bookmarkEnd w:id="16"/>
    </w:p>
    <w:p w14:paraId="662A80E0">
      <w:pPr>
        <w:spacing w:line="145" w:lineRule="auto"/>
        <w:rPr>
          <w:rFonts w:ascii="Arial"/>
          <w:color w:val="auto"/>
          <w:sz w:val="2"/>
        </w:rPr>
      </w:pPr>
    </w:p>
    <w:tbl>
      <w:tblPr>
        <w:tblStyle w:val="10"/>
        <w:tblW w:w="87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2"/>
        <w:gridCol w:w="1533"/>
        <w:gridCol w:w="1117"/>
        <w:gridCol w:w="2400"/>
        <w:gridCol w:w="2883"/>
      </w:tblGrid>
      <w:tr w14:paraId="0D1C6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D55D">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序号</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FB3D">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名称</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E283">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级别</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0E2F">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所在地</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B6E0">
            <w:pPr>
              <w:jc w:val="center"/>
              <w:rPr>
                <w:rFonts w:hint="eastAsia" w:ascii="Times New Roman" w:hAnsi="Times New Roman" w:eastAsia="仿宋_GB2312" w:cs="Times New Roman"/>
                <w:b/>
                <w:bCs/>
                <w:snapToGrid/>
                <w:color w:val="auto"/>
                <w:kern w:val="2"/>
                <w:sz w:val="24"/>
                <w:szCs w:val="21"/>
                <w:lang w:val="en-US" w:eastAsia="zh-CN" w:bidi="ar-SA"/>
              </w:rPr>
            </w:pPr>
            <w:r>
              <w:rPr>
                <w:rFonts w:hint="eastAsia" w:ascii="Times New Roman" w:hAnsi="Times New Roman" w:eastAsia="仿宋_GB2312" w:cs="Times New Roman"/>
                <w:b/>
                <w:bCs/>
                <w:snapToGrid/>
                <w:color w:val="auto"/>
                <w:kern w:val="2"/>
                <w:sz w:val="24"/>
                <w:szCs w:val="21"/>
                <w:lang w:val="en-US" w:eastAsia="zh-CN" w:bidi="ar-SA"/>
              </w:rPr>
              <w:t>公布登记日期</w:t>
            </w:r>
          </w:p>
        </w:tc>
      </w:tr>
      <w:tr w14:paraId="52A1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E2EF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1FC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兴宁学宫</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9A1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626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兴田街道办事处司前街兴民中学内</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B25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第三批，1989年6月</w:t>
            </w:r>
          </w:p>
        </w:tc>
      </w:tr>
      <w:tr w14:paraId="36C21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85C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CBD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两海会馆</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7C5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03F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兴田街道办事处西沿江南路2号</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720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第四批，2002年7月</w:t>
            </w:r>
          </w:p>
        </w:tc>
      </w:tr>
      <w:tr w14:paraId="42732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269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D92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磐安围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EE57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603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叶塘镇河西村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F115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第六批，2010年5月10日</w:t>
            </w:r>
          </w:p>
        </w:tc>
      </w:tr>
      <w:tr w14:paraId="6579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169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BC1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文峰塔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F67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766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宁新街道办文星村长陂岭</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7CB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第七批，2012年10月20日</w:t>
            </w:r>
          </w:p>
        </w:tc>
      </w:tr>
      <w:tr w14:paraId="35DA9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5DB5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193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兴宁古城墙</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34B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4C2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兴田街道环城东路与石光街交叉口西南100米</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636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第七批，2012年10月20日</w:t>
            </w:r>
          </w:p>
        </w:tc>
      </w:tr>
      <w:tr w14:paraId="59582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497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32F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善述围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96B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9E8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罗岗镇柿子坪村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E0E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第七批，2012年10月20日</w:t>
            </w:r>
          </w:p>
        </w:tc>
      </w:tr>
      <w:tr w14:paraId="75E0F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D55A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7</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0A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棣华围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FE4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FA6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刁坊镇周兴村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A6C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第七批，2012年10月20日</w:t>
            </w:r>
          </w:p>
        </w:tc>
      </w:tr>
      <w:tr w14:paraId="06788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22D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8</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ECA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玉成围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E2E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0B3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合水镇霞洞村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8F9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第八批，2015年12月</w:t>
            </w:r>
          </w:p>
        </w:tc>
      </w:tr>
      <w:tr w14:paraId="56263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115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9</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E892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李和美屋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5F7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DC6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宁新街道佛岭居委</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AE3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第八批，2015年12月</w:t>
            </w:r>
          </w:p>
        </w:tc>
      </w:tr>
      <w:tr w14:paraId="5CBEF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155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10</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C12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何天炯旧居</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7BD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B6F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石马镇新群村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65F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第十批，2022年7月23日</w:t>
            </w:r>
          </w:p>
        </w:tc>
      </w:tr>
      <w:tr w14:paraId="5578C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F9E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11</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EC66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恒云楼</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66A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省级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F3F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径南镇星耀村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CDC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第十批，2022年7月23日</w:t>
            </w:r>
          </w:p>
        </w:tc>
      </w:tr>
      <w:tr w14:paraId="75028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7F4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12</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462D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五里大黄屋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F65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97F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福兴街道办事处五里村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6282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第二批，2014年1月13日</w:t>
            </w:r>
          </w:p>
        </w:tc>
      </w:tr>
      <w:tr w14:paraId="5AB06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482B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13</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B1C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坭陂进士第</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AA2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F7E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坭陂镇汤一村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D8E7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第二批，2014年1月13日</w:t>
            </w:r>
          </w:p>
        </w:tc>
      </w:tr>
      <w:tr w14:paraId="114BB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D495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14</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6EBC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永生文蔚第</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DD5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245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永和镇永生村双塘片</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3C4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第三批，2015年2月5日</w:t>
            </w:r>
          </w:p>
        </w:tc>
      </w:tr>
      <w:tr w14:paraId="3AD13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20B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15</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267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坪宫崇德围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90F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C6A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径南镇坪宫村大王屋</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B9F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第三批，2015年2月5日</w:t>
            </w:r>
          </w:p>
        </w:tc>
      </w:tr>
      <w:tr w14:paraId="6C6F7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C798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16</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984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胪声耀堃第</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B9E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AC0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径南镇胪声村云湘</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346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第三批，2015年2月5日</w:t>
            </w:r>
          </w:p>
        </w:tc>
      </w:tr>
      <w:tr w14:paraId="1D4DD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312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17</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A7A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星耀光绍庐</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3D0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C74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径南镇星耀村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AF5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第三批，2015年2月5日</w:t>
            </w:r>
          </w:p>
        </w:tc>
      </w:tr>
      <w:tr w14:paraId="204D7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AB7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18</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E7A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星耀拙庐</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7DF1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BB7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径南镇星耀村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627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第四批，2016年6月29日</w:t>
            </w:r>
          </w:p>
        </w:tc>
      </w:tr>
      <w:tr w14:paraId="76374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7C3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19</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90B8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星耀荆荣第</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CD9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FD3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径南镇星耀村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C725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第四批，2016年6月29日</w:t>
            </w:r>
          </w:p>
        </w:tc>
      </w:tr>
      <w:tr w14:paraId="7A841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1BF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20</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C29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长征罗屋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A16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628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刁坊镇长征村洋岭上</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A3C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第四批，2016年6月29日</w:t>
            </w:r>
          </w:p>
        </w:tc>
      </w:tr>
      <w:tr w14:paraId="304F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3D0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21</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A03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下走马岗罗屋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767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B4CC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宁中镇丝新村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00A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第四批，2016年6月29日</w:t>
            </w:r>
          </w:p>
        </w:tc>
      </w:tr>
      <w:tr w14:paraId="18074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B77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22</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9A0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群星村万安围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17D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E019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叶塘镇群星村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431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第五批，2017年3月</w:t>
            </w:r>
          </w:p>
        </w:tc>
      </w:tr>
      <w:tr w14:paraId="083B2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F1D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23</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BA1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坪里龙田世基</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2FB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500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龙田镇五一村坪里</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557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第五批，2017年3月</w:t>
            </w:r>
          </w:p>
        </w:tc>
      </w:tr>
      <w:tr w14:paraId="59FD7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812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24</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BD2D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五里黄粤兴屋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9D5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1A2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福兴街道五里村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9EC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第七批，2020年3月</w:t>
            </w:r>
          </w:p>
        </w:tc>
      </w:tr>
      <w:tr w14:paraId="0B046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42B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25</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CD2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邓逸凡故居</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A96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2A8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水口镇小丰村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19F5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第八批，2021年12月</w:t>
            </w:r>
          </w:p>
        </w:tc>
      </w:tr>
      <w:tr w14:paraId="272FE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31C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26</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8EBB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高陂明光楼</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C7C1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075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龙田镇高陂村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694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第八批，2021年12月</w:t>
            </w:r>
          </w:p>
        </w:tc>
      </w:tr>
      <w:tr w14:paraId="03E8F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2D62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27</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F22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久安围（罗屏汉故居）</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2EA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市级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F52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梅州市兴宁市大坪镇屏汉村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786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第九批，2023年7月</w:t>
            </w:r>
          </w:p>
        </w:tc>
      </w:tr>
      <w:tr w14:paraId="71656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77B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28</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6FE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墨池寺</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543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633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福兴街道办墨池村神光山南端</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103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第一批，1980年10月</w:t>
            </w:r>
          </w:p>
        </w:tc>
      </w:tr>
      <w:tr w14:paraId="6EBA3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22D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29</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86D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合水革命烈士纪念碑</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7C0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9407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合水镇合水水库西岸山巅</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2A2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第一批，1980年10月</w:t>
            </w:r>
          </w:p>
        </w:tc>
      </w:tr>
      <w:tr w14:paraId="25C6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8DE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30</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AED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瑶兴石拱桥</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D16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9C0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罗浮镇瑶兴村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AA5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第四批，2009年12月</w:t>
            </w:r>
          </w:p>
        </w:tc>
      </w:tr>
      <w:tr w14:paraId="14A3D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06C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31</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154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金子甲石拱桥</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A2C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FE1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罗浮镇中和村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11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第四批，2009年12月</w:t>
            </w:r>
          </w:p>
        </w:tc>
      </w:tr>
      <w:tr w14:paraId="3BC14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2A4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32</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92C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合水古塔</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E29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FA2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合水镇合水水库湖心岛</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184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第四批，2009年12月</w:t>
            </w:r>
          </w:p>
        </w:tc>
      </w:tr>
      <w:tr w14:paraId="3E6EA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570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33</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F82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长兴围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027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7239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宁新街道办大圳村花罗墩</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397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第四批，2009年12月</w:t>
            </w:r>
          </w:p>
        </w:tc>
      </w:tr>
      <w:tr w14:paraId="0C008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33C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34</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6E8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刘氏总祠</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6055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8E8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黄陂镇联丰村榕树下</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FD7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第五批，2010年12月</w:t>
            </w:r>
          </w:p>
        </w:tc>
      </w:tr>
      <w:tr w14:paraId="6C1B6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93E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35</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E0A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刘氏始祖开七公墓</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C7E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439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黄陂镇土墩村蚌湖头</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DD93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0D74E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FE2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36</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132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明始祖讳酆幸公墓</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BCF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F4D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径南镇圩下村旺生塘</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335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78205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497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37</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BFD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永泰关</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192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E6D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兴田街道办事处西郊居委</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7A4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49585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317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38</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DB4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莲塘背肖屋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594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EEE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叶塘镇大路下村莲塘背</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5C2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6DA14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065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39</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F1E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报福寺</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E7D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6B8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叶塘镇大众村前丰</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3F5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2869F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905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40</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89C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桂安围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C07D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98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大坪镇朱坑村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3A3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0DCE8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A69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41</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B66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磐石围祠堂</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BE2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917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龙田镇龙盘村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371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23D34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FB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42</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6CC8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龙兴围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9F0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900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龙田镇金星村三样片</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4AE6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2E0F3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0C1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43</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9E9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何子渊故居</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2549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250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石马镇马下村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817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35BB6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8664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44</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413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继述围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DC6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D79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合水镇湖岭村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83A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5C09E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E0C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45</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541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南阳世居</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62A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700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合水镇溪唇村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BF3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4EF61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848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46</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D7C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文魁屋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A14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2A27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合水镇富和村老屋</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EB8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6E5C2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0F53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47</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AE6D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新宝丰昌张屋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F28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1D1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宁中镇</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D809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2B437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76AD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48</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175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和山寺</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A89C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8C16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宁中镇和山村和山岩</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5D4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518BF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4E7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49</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DC22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灵化寺</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4EB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6B8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永和镇锦洞村鸡鸣山顶</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1B4D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第六批，2014年8月7日</w:t>
            </w:r>
          </w:p>
        </w:tc>
      </w:tr>
      <w:tr w14:paraId="5769C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A060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50</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A1F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刘氏大夫第</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305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596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叶塘镇河西村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B7F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第七批，2015年12月2日</w:t>
            </w:r>
          </w:p>
        </w:tc>
      </w:tr>
      <w:tr w14:paraId="77391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F77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51</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E96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龙岭围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8F4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A06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龙田镇金星村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D6B3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第七批，2015年12月2日</w:t>
            </w:r>
          </w:p>
        </w:tc>
      </w:tr>
      <w:tr w14:paraId="2D887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C19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52</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F291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大宾公祠</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C0F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4EC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黄陂镇龙溪村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7F5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22782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EFC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53</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1CE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石禾坪屋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AD9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052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宁中镇和一村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8D7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30463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B8B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54</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91F5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泰和围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007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D54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黄陂镇中心村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B8F1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76D82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4FC0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55</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547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叶池罗屋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7BC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44DE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刁坊镇河塘岭村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69C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47F08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629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56</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6A3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五翰堂</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C51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6FA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叶塘镇下洋村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7FE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32BB4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582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57</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321B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祥安围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B40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3D8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叶塘镇彭陂村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318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1F6D0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359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58</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D0CB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胜公围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0F0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55F1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叶塘镇汤湖村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C58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57786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DA3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59</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519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龙安围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1C8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BDCF">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龙田镇鸡公桥村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0BA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1D8E1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C99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60</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A1E0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鸡公桥龙兴围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21E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4AF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龙田镇鸡公桥村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C11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2D35D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B46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61</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57AF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炽昌楼</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7019">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F822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合水镇白泡村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FBC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3CA6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692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62</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282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鑑光庐</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A93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F8B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宁中镇古塘村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670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19D18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3DB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63</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7CB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宝善围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A70B7">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516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径南镇宝山村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D9F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第八批，2017年9月29日</w:t>
            </w:r>
          </w:p>
        </w:tc>
      </w:tr>
      <w:tr w14:paraId="27FAE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D86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64</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D02C">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龙和围</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D14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471A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龙田镇鸡公桥村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866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第九批，2021年12月31日</w:t>
            </w:r>
          </w:p>
        </w:tc>
      </w:tr>
      <w:tr w14:paraId="087B9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25C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65</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73B7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墩仔下屋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0BF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7D9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宁中镇和新村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85E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第九批，2021年12月31日</w:t>
            </w:r>
          </w:p>
        </w:tc>
      </w:tr>
      <w:tr w14:paraId="40039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818D2">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66</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50A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将军宜庐</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BCC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937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坭陂镇将军村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22E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第九批，2021年12月31日</w:t>
            </w:r>
          </w:p>
        </w:tc>
      </w:tr>
      <w:tr w14:paraId="6C44C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57E8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67</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B25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将军老李屋</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23C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0613">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坭陂镇将军村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25D5">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第九批，2021年12月31日</w:t>
            </w:r>
          </w:p>
        </w:tc>
      </w:tr>
      <w:tr w14:paraId="22E8E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1D4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68</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DFF1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罗屏汉故居</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DF4A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9A1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大坪镇屏汉村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84A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第九批，2021年12月31日</w:t>
            </w:r>
          </w:p>
        </w:tc>
      </w:tr>
      <w:tr w14:paraId="2858B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C39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69</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7DBF8">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红旗村红色交通站遗址</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D71A">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AACD">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罗岗镇红旗村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DFB4">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第九批，2021年12月31日</w:t>
            </w:r>
          </w:p>
        </w:tc>
      </w:tr>
      <w:tr w14:paraId="4EF3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EE3EE">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70</w:t>
            </w:r>
          </w:p>
        </w:tc>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23E1">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洋门三眼桥</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C44B">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县级</w:t>
            </w:r>
          </w:p>
        </w:tc>
        <w:tc>
          <w:tcPr>
            <w:tcW w:w="2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BCB6">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石马镇洋门村</w:t>
            </w:r>
          </w:p>
        </w:tc>
        <w:tc>
          <w:tcPr>
            <w:tcW w:w="2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5050">
            <w:pPr>
              <w:jc w:val="center"/>
              <w:rPr>
                <w:rFonts w:hint="eastAsia" w:ascii="Times New Roman" w:hAnsi="Times New Roman" w:eastAsia="仿宋_GB2312" w:cs="Times New Roman"/>
                <w:b w:val="0"/>
                <w:bCs w:val="0"/>
                <w:snapToGrid/>
                <w:color w:val="auto"/>
                <w:kern w:val="2"/>
                <w:sz w:val="24"/>
                <w:szCs w:val="21"/>
                <w:lang w:val="en-US" w:eastAsia="zh-CN" w:bidi="ar-SA"/>
              </w:rPr>
            </w:pPr>
            <w:r>
              <w:rPr>
                <w:rFonts w:hint="eastAsia" w:ascii="Times New Roman" w:hAnsi="Times New Roman" w:eastAsia="仿宋_GB2312" w:cs="Times New Roman"/>
                <w:b w:val="0"/>
                <w:bCs w:val="0"/>
                <w:snapToGrid/>
                <w:color w:val="auto"/>
                <w:kern w:val="2"/>
                <w:sz w:val="24"/>
                <w:szCs w:val="21"/>
                <w:lang w:val="en-US" w:eastAsia="zh-CN" w:bidi="ar-SA"/>
              </w:rPr>
              <w:t>第九批，2021年12月31日</w:t>
            </w:r>
          </w:p>
        </w:tc>
      </w:tr>
    </w:tbl>
    <w:p w14:paraId="696C1143">
      <w:pPr>
        <w:rPr>
          <w:color w:val="auto"/>
        </w:rPr>
        <w:sectPr>
          <w:footerReference r:id="rId12" w:type="default"/>
          <w:pgSz w:w="11906" w:h="16838"/>
          <w:pgMar w:top="1440" w:right="1800" w:bottom="1440" w:left="1800" w:header="851" w:footer="992" w:gutter="0"/>
          <w:pgNumType w:fmt="decimal"/>
          <w:cols w:space="425" w:num="1"/>
          <w:docGrid w:type="lines" w:linePitch="312" w:charSpace="0"/>
        </w:sectPr>
      </w:pPr>
    </w:p>
    <w:p w14:paraId="44AFD71F">
      <w:pPr>
        <w:pStyle w:val="5"/>
        <w:spacing w:before="214" w:line="227" w:lineRule="auto"/>
        <w:outlineLvl w:val="0"/>
        <w:rPr>
          <w:rFonts w:hint="eastAsia" w:ascii="Times New Roman" w:hAnsi="Times New Roman" w:eastAsia="仿宋_GB2312" w:cs="Times New Roman"/>
          <w:snapToGrid/>
          <w:color w:val="auto"/>
          <w:kern w:val="2"/>
          <w:sz w:val="28"/>
          <w:szCs w:val="22"/>
          <w:lang w:val="en-US" w:eastAsia="zh-CN" w:bidi="ar-SA"/>
        </w:rPr>
      </w:pPr>
      <w:bookmarkStart w:id="17" w:name="_Toc21042"/>
      <w:r>
        <w:rPr>
          <w:rFonts w:hint="eastAsia" w:ascii="Times New Roman" w:hAnsi="Times New Roman" w:eastAsia="仿宋_GB2312" w:cs="Times New Roman"/>
          <w:snapToGrid/>
          <w:color w:val="auto"/>
          <w:kern w:val="2"/>
          <w:sz w:val="28"/>
          <w:szCs w:val="22"/>
          <w:lang w:val="en-US" w:eastAsia="zh-CN" w:bidi="ar-SA"/>
        </w:rPr>
        <w:t>附表7  兴宁市畜禽养殖禁养区划分方案（2025版）调整前后禁养区变化情况对比表</w:t>
      </w:r>
      <w:bookmarkEnd w:id="17"/>
    </w:p>
    <w:tbl>
      <w:tblPr>
        <w:tblStyle w:val="10"/>
        <w:tblW w:w="5071" w:type="pct"/>
        <w:jc w:val="center"/>
        <w:tblLayout w:type="fixed"/>
        <w:tblCellMar>
          <w:top w:w="0" w:type="dxa"/>
          <w:left w:w="28" w:type="dxa"/>
          <w:bottom w:w="0" w:type="dxa"/>
          <w:right w:w="28" w:type="dxa"/>
        </w:tblCellMar>
      </w:tblPr>
      <w:tblGrid>
        <w:gridCol w:w="590"/>
        <w:gridCol w:w="1845"/>
        <w:gridCol w:w="2655"/>
        <w:gridCol w:w="6269"/>
        <w:gridCol w:w="2854"/>
      </w:tblGrid>
      <w:tr w14:paraId="5DB0718D">
        <w:tblPrEx>
          <w:tblCellMar>
            <w:top w:w="0" w:type="dxa"/>
            <w:left w:w="28" w:type="dxa"/>
            <w:bottom w:w="0" w:type="dxa"/>
            <w:right w:w="28" w:type="dxa"/>
          </w:tblCellMar>
        </w:tblPrEx>
        <w:trPr>
          <w:trHeight w:val="340" w:hRule="atLeast"/>
          <w:tblHeader/>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28DC91B6">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序号</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B79A">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禁养区类型</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698A">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调整前</w:t>
            </w:r>
          </w:p>
        </w:tc>
        <w:tc>
          <w:tcPr>
            <w:tcW w:w="6269" w:type="dxa"/>
            <w:tcBorders>
              <w:top w:val="single" w:color="000000" w:sz="4" w:space="0"/>
              <w:left w:val="single" w:color="000000" w:sz="4" w:space="0"/>
              <w:bottom w:val="single" w:color="000000" w:sz="4" w:space="0"/>
              <w:right w:val="single" w:color="000000" w:sz="4" w:space="0"/>
            </w:tcBorders>
            <w:vAlign w:val="center"/>
          </w:tcPr>
          <w:p w14:paraId="44EB7766">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调整后</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5A9A">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调整情况说明</w:t>
            </w:r>
          </w:p>
        </w:tc>
      </w:tr>
      <w:tr w14:paraId="05571A7E">
        <w:tblPrEx>
          <w:tblCellMar>
            <w:top w:w="0" w:type="dxa"/>
            <w:left w:w="28" w:type="dxa"/>
            <w:bottom w:w="0" w:type="dxa"/>
            <w:right w:w="28" w:type="dxa"/>
          </w:tblCellMar>
        </w:tblPrEx>
        <w:trPr>
          <w:trHeight w:val="1766"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5501237C">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3027">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饮用水源保护区</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156B">
            <w:pPr>
              <w:pStyle w:val="16"/>
              <w:ind w:firstLine="480" w:firstLineChars="200"/>
              <w:jc w:val="both"/>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饮用水源</w:t>
            </w:r>
            <w:r>
              <w:rPr>
                <w:rFonts w:hint="eastAsia" w:ascii="仿宋" w:hAnsi="仿宋" w:eastAsia="仿宋" w:cs="仿宋"/>
                <w:b w:val="0"/>
                <w:bCs w:val="0"/>
                <w:color w:val="auto"/>
                <w:sz w:val="24"/>
                <w:szCs w:val="24"/>
                <w:lang w:val="en-US" w:eastAsia="zh-CN"/>
              </w:rPr>
              <w:t>21</w:t>
            </w:r>
            <w:r>
              <w:rPr>
                <w:rFonts w:hint="eastAsia" w:ascii="仿宋" w:hAnsi="仿宋" w:eastAsia="仿宋" w:cs="仿宋"/>
                <w:b w:val="0"/>
                <w:bCs w:val="0"/>
                <w:color w:val="auto"/>
                <w:sz w:val="24"/>
                <w:szCs w:val="24"/>
              </w:rPr>
              <w:t>个总面积</w:t>
            </w:r>
            <w:r>
              <w:rPr>
                <w:rFonts w:hint="eastAsia" w:ascii="仿宋" w:hAnsi="仿宋" w:eastAsia="仿宋" w:cs="仿宋"/>
                <w:b w:val="0"/>
                <w:bCs w:val="0"/>
                <w:color w:val="auto"/>
                <w:sz w:val="24"/>
                <w:szCs w:val="24"/>
                <w:lang w:val="en-US" w:eastAsia="zh-CN"/>
              </w:rPr>
              <w:t>118.47</w:t>
            </w:r>
            <w:r>
              <w:rPr>
                <w:rFonts w:hint="eastAsia" w:ascii="仿宋" w:hAnsi="仿宋" w:eastAsia="仿宋" w:cs="仿宋"/>
                <w:b w:val="0"/>
                <w:bCs w:val="0"/>
                <w:color w:val="auto"/>
                <w:sz w:val="24"/>
                <w:szCs w:val="24"/>
              </w:rPr>
              <w:t>平方公里。</w:t>
            </w:r>
          </w:p>
        </w:tc>
        <w:tc>
          <w:tcPr>
            <w:tcW w:w="6269" w:type="dxa"/>
            <w:tcBorders>
              <w:top w:val="single" w:color="000000" w:sz="4" w:space="0"/>
              <w:left w:val="single" w:color="000000" w:sz="4" w:space="0"/>
              <w:bottom w:val="single" w:color="000000" w:sz="4" w:space="0"/>
              <w:right w:val="single" w:color="000000" w:sz="4" w:space="0"/>
            </w:tcBorders>
            <w:vAlign w:val="center"/>
          </w:tcPr>
          <w:p w14:paraId="37748A57">
            <w:pPr>
              <w:pStyle w:val="16"/>
              <w:ind w:firstLine="480" w:firstLineChars="200"/>
              <w:jc w:val="both"/>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饮用水源</w:t>
            </w:r>
            <w:r>
              <w:rPr>
                <w:rFonts w:hint="eastAsia" w:ascii="仿宋" w:hAnsi="仿宋" w:eastAsia="仿宋" w:cs="仿宋"/>
                <w:b w:val="0"/>
                <w:bCs w:val="0"/>
                <w:color w:val="auto"/>
                <w:sz w:val="24"/>
                <w:szCs w:val="24"/>
                <w:lang w:val="en-US" w:eastAsia="zh-CN"/>
              </w:rPr>
              <w:t>27</w:t>
            </w:r>
            <w:r>
              <w:rPr>
                <w:rFonts w:hint="eastAsia" w:ascii="仿宋" w:hAnsi="仿宋" w:eastAsia="仿宋" w:cs="仿宋"/>
                <w:b w:val="0"/>
                <w:bCs w:val="0"/>
                <w:color w:val="auto"/>
                <w:sz w:val="24"/>
                <w:szCs w:val="24"/>
              </w:rPr>
              <w:t>个保护区一二级保护区的水域及陆域保护范围，总面积</w:t>
            </w:r>
            <w:r>
              <w:rPr>
                <w:rFonts w:hint="eastAsia" w:ascii="仿宋" w:hAnsi="仿宋" w:eastAsia="仿宋" w:cs="仿宋"/>
                <w:b w:val="0"/>
                <w:bCs w:val="0"/>
                <w:color w:val="auto"/>
                <w:sz w:val="24"/>
                <w:szCs w:val="24"/>
                <w:lang w:val="en-US" w:eastAsia="zh-CN"/>
              </w:rPr>
              <w:t>147.933</w:t>
            </w:r>
            <w:r>
              <w:rPr>
                <w:rFonts w:hint="eastAsia" w:ascii="仿宋" w:hAnsi="仿宋" w:eastAsia="仿宋" w:cs="仿宋"/>
                <w:b w:val="0"/>
                <w:bCs w:val="0"/>
                <w:color w:val="auto"/>
                <w:sz w:val="24"/>
                <w:szCs w:val="24"/>
              </w:rPr>
              <w:t>平方公里。</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1977">
            <w:pPr>
              <w:keepNext w:val="0"/>
              <w:keepLines w:val="0"/>
              <w:widowControl/>
              <w:suppressLineNumbers w:val="0"/>
              <w:jc w:val="left"/>
              <w:rPr>
                <w:rFonts w:hint="eastAsia" w:ascii="仿宋" w:hAnsi="仿宋" w:eastAsia="仿宋" w:cs="仿宋"/>
                <w:b w:val="0"/>
                <w:bCs w:val="0"/>
                <w:color w:val="auto"/>
                <w:kern w:val="0"/>
                <w:sz w:val="24"/>
                <w:szCs w:val="24"/>
                <w:lang w:val="en-US" w:eastAsia="zh-CN" w:bidi="ar"/>
                <w14:ligatures w14:val="standardContextual"/>
              </w:rPr>
            </w:pPr>
            <w:r>
              <w:rPr>
                <w:rFonts w:hint="eastAsia" w:ascii="仿宋" w:hAnsi="仿宋" w:eastAsia="仿宋" w:cs="仿宋"/>
                <w:b w:val="0"/>
                <w:bCs w:val="0"/>
                <w:color w:val="auto"/>
                <w:kern w:val="0"/>
                <w:sz w:val="24"/>
                <w:szCs w:val="24"/>
                <w:lang w:val="en-US" w:eastAsia="zh-CN" w:bidi="ar"/>
                <w14:ligatures w14:val="standardContextual"/>
              </w:rPr>
              <w:t>新增6处饮用水源保护区，</w:t>
            </w:r>
          </w:p>
          <w:p w14:paraId="54DEE07E">
            <w:pPr>
              <w:keepNext w:val="0"/>
              <w:keepLines w:val="0"/>
              <w:widowControl/>
              <w:suppressLineNumbers w:val="0"/>
              <w:jc w:val="left"/>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kern w:val="0"/>
                <w:sz w:val="24"/>
                <w:szCs w:val="24"/>
                <w:lang w:val="en-US" w:eastAsia="zh-CN" w:bidi="ar"/>
                <w14:ligatures w14:val="standardContextual"/>
              </w:rPr>
              <w:t>新增划禁养区面积29.463km</w:t>
            </w:r>
            <w:r>
              <w:rPr>
                <w:rFonts w:hint="eastAsia" w:ascii="仿宋" w:hAnsi="仿宋" w:eastAsia="仿宋" w:cs="仿宋"/>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w:t>
            </w:r>
          </w:p>
        </w:tc>
      </w:tr>
      <w:tr w14:paraId="41767030">
        <w:tblPrEx>
          <w:tblCellMar>
            <w:top w:w="0" w:type="dxa"/>
            <w:left w:w="28" w:type="dxa"/>
            <w:bottom w:w="0" w:type="dxa"/>
            <w:right w:w="28" w:type="dxa"/>
          </w:tblCellMar>
        </w:tblPrEx>
        <w:trPr>
          <w:trHeight w:val="1629"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79A009A5">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EFC9">
            <w:pPr>
              <w:pStyle w:val="16"/>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rPr>
              <w:t>自然保护</w:t>
            </w:r>
            <w:r>
              <w:rPr>
                <w:rFonts w:hint="eastAsia" w:ascii="仿宋" w:hAnsi="仿宋" w:eastAsia="仿宋" w:cs="仿宋"/>
                <w:b w:val="0"/>
                <w:bCs w:val="0"/>
                <w:color w:val="auto"/>
                <w:sz w:val="24"/>
                <w:szCs w:val="24"/>
                <w:lang w:eastAsia="zh-CN"/>
              </w:rPr>
              <w:t>地</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1BAC6">
            <w:pPr>
              <w:pStyle w:val="16"/>
              <w:ind w:firstLine="480" w:firstLineChars="200"/>
              <w:jc w:val="both"/>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val="en-US" w:eastAsia="zh-CN"/>
              </w:rPr>
              <w:t>22</w:t>
            </w:r>
            <w:r>
              <w:rPr>
                <w:rFonts w:hint="eastAsia" w:ascii="仿宋" w:hAnsi="仿宋" w:eastAsia="仿宋" w:cs="仿宋"/>
                <w:b w:val="0"/>
                <w:bCs w:val="0"/>
                <w:color w:val="auto"/>
                <w:sz w:val="24"/>
                <w:szCs w:val="24"/>
              </w:rPr>
              <w:t>个自然保护</w:t>
            </w:r>
            <w:r>
              <w:rPr>
                <w:rFonts w:hint="eastAsia" w:ascii="仿宋" w:hAnsi="仿宋" w:eastAsia="仿宋" w:cs="仿宋"/>
                <w:b w:val="0"/>
                <w:bCs w:val="0"/>
                <w:color w:val="auto"/>
                <w:sz w:val="24"/>
                <w:szCs w:val="24"/>
                <w:lang w:eastAsia="zh-CN"/>
              </w:rPr>
              <w:t>地（</w:t>
            </w:r>
            <w:r>
              <w:rPr>
                <w:rFonts w:hint="eastAsia" w:ascii="仿宋" w:hAnsi="仿宋" w:eastAsia="仿宋" w:cs="仿宋"/>
                <w:b w:val="0"/>
                <w:bCs w:val="0"/>
                <w:color w:val="auto"/>
                <w:sz w:val="24"/>
                <w:szCs w:val="24"/>
                <w:lang w:val="en-US" w:eastAsia="zh-CN"/>
              </w:rPr>
              <w:t>7个自然保护区、14个森林公园及1个湿地公园）</w:t>
            </w:r>
            <w:r>
              <w:rPr>
                <w:rFonts w:hint="eastAsia" w:ascii="仿宋" w:hAnsi="仿宋" w:eastAsia="仿宋" w:cs="仿宋"/>
                <w:b w:val="0"/>
                <w:bCs w:val="0"/>
                <w:color w:val="auto"/>
                <w:sz w:val="24"/>
                <w:szCs w:val="24"/>
              </w:rPr>
              <w:t>，总面积</w:t>
            </w:r>
            <w:r>
              <w:rPr>
                <w:rFonts w:hint="eastAsia" w:ascii="仿宋" w:hAnsi="仿宋" w:eastAsia="仿宋" w:cs="仿宋"/>
                <w:b w:val="0"/>
                <w:bCs w:val="0"/>
                <w:color w:val="auto"/>
                <w:sz w:val="24"/>
                <w:szCs w:val="24"/>
                <w:lang w:val="en-US" w:eastAsia="zh-CN"/>
              </w:rPr>
              <w:t>420.41</w:t>
            </w:r>
            <w:r>
              <w:rPr>
                <w:rFonts w:hint="eastAsia" w:ascii="仿宋" w:hAnsi="仿宋" w:eastAsia="仿宋" w:cs="仿宋"/>
                <w:b w:val="0"/>
                <w:bCs w:val="0"/>
                <w:color w:val="auto"/>
                <w:sz w:val="24"/>
                <w:szCs w:val="24"/>
              </w:rPr>
              <w:t>平方公里。</w:t>
            </w:r>
          </w:p>
        </w:tc>
        <w:tc>
          <w:tcPr>
            <w:tcW w:w="6269" w:type="dxa"/>
            <w:tcBorders>
              <w:top w:val="single" w:color="000000" w:sz="4" w:space="0"/>
              <w:left w:val="single" w:color="000000" w:sz="4" w:space="0"/>
              <w:bottom w:val="single" w:color="000000" w:sz="4" w:space="0"/>
              <w:right w:val="single" w:color="000000" w:sz="4" w:space="0"/>
            </w:tcBorders>
            <w:vAlign w:val="center"/>
          </w:tcPr>
          <w:p w14:paraId="0FA8496B">
            <w:pPr>
              <w:pStyle w:val="16"/>
              <w:ind w:firstLine="480" w:firstLineChars="200"/>
              <w:jc w:val="both"/>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eastAsia="zh-CN"/>
              </w:rPr>
              <w:t>兴宁市</w:t>
            </w:r>
            <w:r>
              <w:rPr>
                <w:rFonts w:hint="eastAsia" w:ascii="仿宋" w:hAnsi="仿宋" w:eastAsia="仿宋" w:cs="仿宋"/>
                <w:b w:val="0"/>
                <w:bCs w:val="0"/>
                <w:color w:val="auto"/>
                <w:sz w:val="24"/>
                <w:szCs w:val="24"/>
              </w:rPr>
              <w:t>自然保护地整合优化方案》</w:t>
            </w:r>
            <w:r>
              <w:rPr>
                <w:rFonts w:hint="eastAsia" w:ascii="仿宋" w:hAnsi="仿宋" w:eastAsia="仿宋" w:cs="仿宋"/>
                <w:b w:val="0"/>
                <w:bCs w:val="0"/>
                <w:color w:val="auto"/>
                <w:sz w:val="24"/>
                <w:szCs w:val="24"/>
                <w:lang w:eastAsia="zh-CN"/>
              </w:rPr>
              <w:t>整合优化后</w:t>
            </w:r>
            <w:r>
              <w:rPr>
                <w:rFonts w:hint="eastAsia" w:ascii="仿宋" w:hAnsi="仿宋" w:eastAsia="仿宋" w:cs="仿宋"/>
                <w:b w:val="0"/>
                <w:bCs w:val="0"/>
                <w:color w:val="auto"/>
                <w:sz w:val="24"/>
                <w:szCs w:val="24"/>
                <w:lang w:val="en-US" w:eastAsia="zh-CN"/>
              </w:rPr>
              <w:t>12</w:t>
            </w:r>
            <w:r>
              <w:rPr>
                <w:rFonts w:hint="eastAsia" w:ascii="仿宋" w:hAnsi="仿宋" w:eastAsia="仿宋" w:cs="仿宋"/>
                <w:b w:val="0"/>
                <w:bCs w:val="0"/>
                <w:color w:val="auto"/>
                <w:sz w:val="24"/>
                <w:szCs w:val="24"/>
              </w:rPr>
              <w:t>个自然保护</w:t>
            </w:r>
            <w:r>
              <w:rPr>
                <w:rFonts w:hint="eastAsia" w:ascii="仿宋" w:hAnsi="仿宋" w:eastAsia="仿宋" w:cs="仿宋"/>
                <w:b w:val="0"/>
                <w:bCs w:val="0"/>
                <w:color w:val="auto"/>
                <w:sz w:val="24"/>
                <w:szCs w:val="24"/>
                <w:lang w:eastAsia="zh-CN"/>
              </w:rPr>
              <w:t>地（含</w:t>
            </w:r>
            <w:r>
              <w:rPr>
                <w:rFonts w:hint="eastAsia" w:ascii="仿宋" w:hAnsi="仿宋" w:eastAsia="仿宋" w:cs="仿宋"/>
                <w:b w:val="0"/>
                <w:bCs w:val="0"/>
                <w:color w:val="auto"/>
                <w:sz w:val="24"/>
                <w:szCs w:val="24"/>
                <w:lang w:val="en-US" w:eastAsia="zh-CN"/>
              </w:rPr>
              <w:t>4个自然保护区、7个森林自然公园、1个湿地自然公园）</w:t>
            </w:r>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eastAsia="zh-CN"/>
              </w:rPr>
              <w:t>全市自然保护地整合优化后</w:t>
            </w:r>
            <w:r>
              <w:rPr>
                <w:rFonts w:hint="eastAsia" w:ascii="仿宋" w:hAnsi="仿宋" w:eastAsia="仿宋" w:cs="仿宋"/>
                <w:b w:val="0"/>
                <w:bCs w:val="0"/>
                <w:color w:val="auto"/>
                <w:sz w:val="24"/>
                <w:szCs w:val="24"/>
              </w:rPr>
              <w:t>总面积</w:t>
            </w:r>
            <w:r>
              <w:rPr>
                <w:rFonts w:hint="eastAsia" w:ascii="仿宋" w:hAnsi="仿宋" w:eastAsia="仿宋" w:cs="仿宋"/>
                <w:b w:val="0"/>
                <w:bCs w:val="0"/>
                <w:color w:val="auto"/>
                <w:sz w:val="24"/>
                <w:szCs w:val="24"/>
                <w:lang w:val="en-US" w:eastAsia="zh-CN"/>
              </w:rPr>
              <w:t>360.15平方公里，其中核心保护区划入禁养区面积为241.522</w:t>
            </w:r>
            <w:r>
              <w:rPr>
                <w:rFonts w:hint="eastAsia" w:ascii="仿宋" w:hAnsi="仿宋" w:eastAsia="仿宋" w:cs="仿宋"/>
                <w:b w:val="0"/>
                <w:bCs w:val="0"/>
                <w:color w:val="auto"/>
                <w:sz w:val="24"/>
                <w:szCs w:val="24"/>
              </w:rPr>
              <w:t>平方公里</w:t>
            </w:r>
            <w:r>
              <w:rPr>
                <w:rFonts w:hint="eastAsia" w:ascii="仿宋" w:hAnsi="仿宋" w:eastAsia="仿宋" w:cs="仿宋"/>
                <w:b w:val="0"/>
                <w:bCs w:val="0"/>
                <w:color w:val="auto"/>
                <w:sz w:val="24"/>
                <w:szCs w:val="24"/>
                <w:lang w:eastAsia="zh-CN"/>
              </w:rPr>
              <w:t>，一般控制区未划入禁养区面积为</w:t>
            </w:r>
            <w:r>
              <w:rPr>
                <w:rFonts w:hint="eastAsia" w:ascii="仿宋" w:hAnsi="仿宋" w:eastAsia="仿宋" w:cs="仿宋"/>
                <w:b w:val="0"/>
                <w:bCs w:val="0"/>
                <w:color w:val="auto"/>
                <w:sz w:val="24"/>
                <w:szCs w:val="24"/>
                <w:lang w:val="en-US" w:eastAsia="zh-CN"/>
              </w:rPr>
              <w:t>118.628</w:t>
            </w:r>
            <w:r>
              <w:rPr>
                <w:rFonts w:hint="eastAsia" w:ascii="仿宋" w:hAnsi="仿宋" w:eastAsia="仿宋" w:cs="仿宋"/>
                <w:b w:val="0"/>
                <w:bCs w:val="0"/>
                <w:color w:val="auto"/>
                <w:sz w:val="24"/>
                <w:szCs w:val="24"/>
              </w:rPr>
              <w:t>平方公里。</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4DCD">
            <w:pPr>
              <w:keepNext w:val="0"/>
              <w:keepLines w:val="0"/>
              <w:widowControl/>
              <w:suppressLineNumbers w:val="0"/>
              <w:jc w:val="left"/>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kern w:val="0"/>
                <w:sz w:val="24"/>
                <w:szCs w:val="24"/>
                <w:lang w:val="en-US" w:eastAsia="zh-CN" w:bidi="ar"/>
                <w14:ligatures w14:val="standardContextual"/>
              </w:rPr>
              <w:t>减少禁养区面积</w:t>
            </w:r>
            <w:r>
              <w:rPr>
                <w:rFonts w:hint="default" w:ascii="Times New Roman" w:hAnsi="Times New Roman" w:eastAsia="宋体" w:cs="Times New Roman"/>
                <w:b w:val="0"/>
                <w:bCs w:val="0"/>
                <w:color w:val="auto"/>
                <w:kern w:val="0"/>
                <w:sz w:val="24"/>
                <w:szCs w:val="24"/>
                <w:lang w:val="en-US" w:eastAsia="zh-CN" w:bidi="ar"/>
                <w14:ligatures w14:val="standardContextual"/>
              </w:rPr>
              <w:t>178.888km</w:t>
            </w:r>
            <w:r>
              <w:rPr>
                <w:rFonts w:hint="eastAsia" w:ascii="Times New Roman" w:hAnsi="Times New Roman" w:eastAsia="宋体" w:cs="Times New Roman"/>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w:t>
            </w:r>
          </w:p>
        </w:tc>
      </w:tr>
      <w:tr w14:paraId="7A1C3B6B">
        <w:tblPrEx>
          <w:tblCellMar>
            <w:top w:w="0" w:type="dxa"/>
            <w:left w:w="28" w:type="dxa"/>
            <w:bottom w:w="0" w:type="dxa"/>
            <w:right w:w="28" w:type="dxa"/>
          </w:tblCellMar>
        </w:tblPrEx>
        <w:trPr>
          <w:trHeight w:val="732"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77BABC8C">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3</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04244">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风景名胜区</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0AD7">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无。</w:t>
            </w:r>
          </w:p>
        </w:tc>
        <w:tc>
          <w:tcPr>
            <w:tcW w:w="6269" w:type="dxa"/>
            <w:tcBorders>
              <w:top w:val="single" w:color="000000" w:sz="4" w:space="0"/>
              <w:left w:val="single" w:color="000000" w:sz="4" w:space="0"/>
              <w:bottom w:val="single" w:color="000000" w:sz="4" w:space="0"/>
              <w:right w:val="single" w:color="000000" w:sz="4" w:space="0"/>
            </w:tcBorders>
            <w:vAlign w:val="center"/>
          </w:tcPr>
          <w:p w14:paraId="76BB8F4D">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无。</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57BD4">
            <w:pPr>
              <w:pStyle w:val="16"/>
              <w:ind w:firstLine="480" w:firstLineChars="200"/>
              <w:jc w:val="both"/>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无。</w:t>
            </w:r>
          </w:p>
        </w:tc>
      </w:tr>
      <w:tr w14:paraId="18F17882">
        <w:tblPrEx>
          <w:tblCellMar>
            <w:top w:w="0" w:type="dxa"/>
            <w:left w:w="28" w:type="dxa"/>
            <w:bottom w:w="0" w:type="dxa"/>
            <w:right w:w="28" w:type="dxa"/>
          </w:tblCellMar>
        </w:tblPrEx>
        <w:trPr>
          <w:trHeight w:val="2288"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28207C0C">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4</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39BB9">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城镇居民区和文化教育研究区</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C700">
            <w:pPr>
              <w:keepNext w:val="0"/>
              <w:keepLines w:val="0"/>
              <w:widowControl/>
              <w:suppressLineNumbers w:val="0"/>
              <w:ind w:firstLine="480" w:firstLineChars="200"/>
              <w:jc w:val="left"/>
              <w:rPr>
                <w:rFonts w:hint="eastAsia" w:ascii="仿宋" w:hAnsi="仿宋" w:eastAsia="仿宋" w:cs="仿宋"/>
                <w:b w:val="0"/>
                <w:bCs w:val="0"/>
                <w:color w:val="auto"/>
                <w:sz w:val="24"/>
                <w:szCs w:val="24"/>
              </w:rPr>
            </w:pPr>
            <w:r>
              <w:rPr>
                <w:rFonts w:hint="eastAsia" w:ascii="仿宋" w:hAnsi="仿宋" w:eastAsia="仿宋" w:cs="仿宋"/>
                <w:b w:val="0"/>
                <w:bCs w:val="0"/>
                <w:color w:val="auto"/>
                <w:kern w:val="0"/>
                <w:sz w:val="24"/>
                <w:szCs w:val="24"/>
                <w:lang w:val="en-US" w:eastAsia="zh-CN" w:bidi="ar"/>
                <w14:ligatures w14:val="standardContextual"/>
              </w:rPr>
              <w:t>主要包括</w:t>
            </w:r>
            <w:r>
              <w:rPr>
                <w:rFonts w:ascii="仿宋" w:hAnsi="仿宋" w:eastAsia="仿宋" w:cs="仿宋"/>
                <w:b w:val="0"/>
                <w:bCs w:val="0"/>
                <w:color w:val="auto"/>
                <w:kern w:val="0"/>
                <w:sz w:val="24"/>
                <w:szCs w:val="24"/>
                <w:lang w:val="en-US" w:eastAsia="zh-CN" w:bidi="ar"/>
                <w14:ligatures w14:val="standardContextual"/>
              </w:rPr>
              <w:t>兴宁市各镇（街）城市建成区</w:t>
            </w:r>
            <w:r>
              <w:rPr>
                <w:rFonts w:hint="eastAsia" w:ascii="仿宋" w:hAnsi="仿宋" w:eastAsia="仿宋" w:cs="仿宋"/>
                <w:b w:val="0"/>
                <w:bCs w:val="0"/>
                <w:color w:val="auto"/>
                <w:kern w:val="0"/>
                <w:sz w:val="24"/>
                <w:szCs w:val="24"/>
                <w:lang w:val="en-US" w:eastAsia="zh-CN" w:bidi="ar"/>
                <w14:ligatures w14:val="standardContextual"/>
              </w:rPr>
              <w:t>及</w:t>
            </w:r>
            <w:r>
              <w:rPr>
                <w:rFonts w:ascii="仿宋" w:hAnsi="仿宋" w:eastAsia="仿宋" w:cs="仿宋"/>
                <w:b w:val="0"/>
                <w:bCs w:val="0"/>
                <w:color w:val="auto"/>
                <w:kern w:val="0"/>
                <w:sz w:val="24"/>
                <w:szCs w:val="24"/>
                <w:lang w:val="en-US" w:eastAsia="zh-CN" w:bidi="ar"/>
                <w14:ligatures w14:val="standardContextual"/>
              </w:rPr>
              <w:t>工业集中地</w:t>
            </w:r>
            <w:r>
              <w:rPr>
                <w:rFonts w:hint="eastAsia" w:ascii="仿宋" w:hAnsi="仿宋" w:eastAsia="仿宋" w:cs="仿宋"/>
                <w:b w:val="0"/>
                <w:bCs w:val="0"/>
                <w:color w:val="auto"/>
                <w:kern w:val="0"/>
                <w:sz w:val="24"/>
                <w:szCs w:val="24"/>
                <w:lang w:val="en-US" w:eastAsia="zh-CN" w:bidi="ar"/>
                <w14:ligatures w14:val="standardContextual"/>
              </w:rPr>
              <w:t>，总面积117.31平方公里。</w:t>
            </w:r>
          </w:p>
        </w:tc>
        <w:tc>
          <w:tcPr>
            <w:tcW w:w="6269" w:type="dxa"/>
            <w:tcBorders>
              <w:top w:val="single" w:color="000000" w:sz="4" w:space="0"/>
              <w:left w:val="single" w:color="000000" w:sz="4" w:space="0"/>
              <w:bottom w:val="single" w:color="000000" w:sz="4" w:space="0"/>
              <w:right w:val="single" w:color="000000" w:sz="4" w:space="0"/>
            </w:tcBorders>
            <w:vAlign w:val="center"/>
          </w:tcPr>
          <w:p w14:paraId="0EA47B85">
            <w:pPr>
              <w:keepNext w:val="0"/>
              <w:keepLines w:val="0"/>
              <w:widowControl/>
              <w:suppressLineNumbers w:val="0"/>
              <w:ind w:firstLine="480" w:firstLineChars="200"/>
              <w:jc w:val="left"/>
              <w:rPr>
                <w:rFonts w:hint="eastAsia" w:ascii="仿宋" w:hAnsi="仿宋" w:eastAsia="仿宋" w:cs="仿宋"/>
                <w:b w:val="0"/>
                <w:bCs w:val="0"/>
                <w:color w:val="auto"/>
                <w:kern w:val="0"/>
                <w:sz w:val="24"/>
                <w:szCs w:val="24"/>
                <w:lang w:val="en-US" w:eastAsia="zh-CN" w:bidi="ar"/>
                <w14:ligatures w14:val="standardContextual"/>
              </w:rPr>
            </w:pPr>
            <w:r>
              <w:rPr>
                <w:rFonts w:hint="eastAsia" w:ascii="仿宋" w:hAnsi="仿宋" w:eastAsia="仿宋" w:cs="仿宋"/>
                <w:b w:val="0"/>
                <w:bCs w:val="0"/>
                <w:color w:val="auto"/>
                <w:sz w:val="24"/>
                <w:szCs w:val="24"/>
                <w:lang w:eastAsia="zh-CN"/>
              </w:rPr>
              <w:t>以</w:t>
            </w:r>
            <w:r>
              <w:rPr>
                <w:rFonts w:hint="eastAsia" w:ascii="仿宋" w:hAnsi="仿宋" w:eastAsia="仿宋" w:cs="仿宋"/>
                <w:b w:val="0"/>
                <w:bCs w:val="0"/>
                <w:color w:val="auto"/>
                <w:kern w:val="0"/>
                <w:sz w:val="24"/>
                <w:szCs w:val="24"/>
                <w:lang w:val="en-US" w:eastAsia="zh-CN" w:bidi="ar"/>
                <w14:ligatures w14:val="standardContextual"/>
              </w:rPr>
              <w:t>城镇开发边界及主要工业园区总面积103.784平方公里。</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828C9">
            <w:pPr>
              <w:keepNext w:val="0"/>
              <w:keepLines w:val="0"/>
              <w:widowControl/>
              <w:suppressLineNumbers w:val="0"/>
              <w:jc w:val="left"/>
              <w:rPr>
                <w:rFonts w:hint="eastAsia" w:ascii="仿宋" w:hAnsi="仿宋" w:eastAsia="仿宋" w:cs="仿宋"/>
                <w:b w:val="0"/>
                <w:bCs w:val="0"/>
                <w:color w:val="auto"/>
                <w:sz w:val="24"/>
                <w:szCs w:val="24"/>
              </w:rPr>
            </w:pPr>
            <w:r>
              <w:rPr>
                <w:rFonts w:ascii="仿宋" w:hAnsi="仿宋" w:eastAsia="仿宋" w:cs="仿宋"/>
                <w:b w:val="0"/>
                <w:bCs w:val="0"/>
                <w:color w:val="auto"/>
                <w:kern w:val="0"/>
                <w:sz w:val="24"/>
                <w:szCs w:val="24"/>
                <w:lang w:val="en-US" w:eastAsia="zh-CN" w:bidi="ar"/>
                <w14:ligatures w14:val="standardContextual"/>
              </w:rPr>
              <w:t>根据《兴宁市国土空间</w:t>
            </w:r>
            <w:r>
              <w:rPr>
                <w:rFonts w:hint="eastAsia" w:ascii="仿宋" w:hAnsi="仿宋" w:eastAsia="仿宋" w:cs="仿宋"/>
                <w:b w:val="0"/>
                <w:bCs w:val="0"/>
                <w:color w:val="auto"/>
                <w:kern w:val="0"/>
                <w:sz w:val="24"/>
                <w:szCs w:val="24"/>
                <w:lang w:val="en-US" w:eastAsia="zh-CN" w:bidi="ar"/>
                <w14:ligatures w14:val="standardContextual"/>
              </w:rPr>
              <w:t>总体规划》重新划定，其中城镇开发边界减少划入禁养区面积19.52km</w:t>
            </w:r>
            <w:r>
              <w:rPr>
                <w:rFonts w:hint="eastAsia" w:ascii="仿宋" w:hAnsi="仿宋" w:eastAsia="仿宋" w:cs="仿宋"/>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，主要工业园区增加划入禁养区面积5.994km</w:t>
            </w:r>
            <w:r>
              <w:rPr>
                <w:rFonts w:hint="eastAsia" w:ascii="仿宋" w:hAnsi="仿宋" w:eastAsia="仿宋" w:cs="仿宋"/>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w:t>
            </w:r>
          </w:p>
        </w:tc>
      </w:tr>
      <w:tr w14:paraId="5C29A0B3">
        <w:tblPrEx>
          <w:tblCellMar>
            <w:top w:w="0" w:type="dxa"/>
            <w:left w:w="28" w:type="dxa"/>
            <w:bottom w:w="0" w:type="dxa"/>
            <w:right w:w="28" w:type="dxa"/>
          </w:tblCellMar>
        </w:tblPrEx>
        <w:trPr>
          <w:trHeight w:val="1565"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02A8C7FB">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5</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C96DE">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基本农田保护区</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7C59">
            <w:pPr>
              <w:pStyle w:val="16"/>
              <w:ind w:firstLine="480" w:firstLineChars="200"/>
              <w:jc w:val="both"/>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eastAsia="zh-CN"/>
              </w:rPr>
              <w:t>兴宁市</w:t>
            </w:r>
            <w:r>
              <w:rPr>
                <w:rFonts w:hint="eastAsia" w:ascii="仿宋" w:hAnsi="仿宋" w:eastAsia="仿宋" w:cs="仿宋"/>
                <w:b w:val="0"/>
                <w:bCs w:val="0"/>
                <w:color w:val="auto"/>
                <w:sz w:val="24"/>
                <w:szCs w:val="24"/>
              </w:rPr>
              <w:t>内的基本农田保护区面积</w:t>
            </w:r>
            <w:r>
              <w:rPr>
                <w:rFonts w:hint="eastAsia" w:ascii="仿宋" w:hAnsi="仿宋" w:eastAsia="仿宋" w:cs="仿宋"/>
                <w:b w:val="0"/>
                <w:bCs w:val="0"/>
                <w:color w:val="auto"/>
                <w:sz w:val="24"/>
                <w:szCs w:val="24"/>
                <w:lang w:val="en-US" w:eastAsia="zh-CN"/>
              </w:rPr>
              <w:t>269.61</w:t>
            </w:r>
            <w:r>
              <w:rPr>
                <w:rFonts w:hint="eastAsia" w:ascii="仿宋" w:hAnsi="仿宋" w:eastAsia="仿宋" w:cs="仿宋"/>
                <w:b w:val="0"/>
                <w:bCs w:val="0"/>
                <w:color w:val="auto"/>
                <w:sz w:val="24"/>
                <w:szCs w:val="24"/>
              </w:rPr>
              <w:t>平方公里。</w:t>
            </w:r>
          </w:p>
        </w:tc>
        <w:tc>
          <w:tcPr>
            <w:tcW w:w="6269" w:type="dxa"/>
            <w:tcBorders>
              <w:top w:val="single" w:color="000000" w:sz="4" w:space="0"/>
              <w:left w:val="single" w:color="000000" w:sz="4" w:space="0"/>
              <w:bottom w:val="single" w:color="000000" w:sz="4" w:space="0"/>
              <w:right w:val="single" w:color="000000" w:sz="4" w:space="0"/>
            </w:tcBorders>
            <w:vAlign w:val="center"/>
          </w:tcPr>
          <w:p w14:paraId="15FB5D7F">
            <w:pPr>
              <w:keepNext w:val="0"/>
              <w:keepLines w:val="0"/>
              <w:widowControl/>
              <w:suppressLineNumbers w:val="0"/>
              <w:ind w:firstLine="480" w:firstLineChars="200"/>
              <w:jc w:val="left"/>
              <w:rPr>
                <w:rFonts w:hint="eastAsia" w:ascii="仿宋" w:hAnsi="仿宋" w:eastAsia="仿宋" w:cs="仿宋"/>
                <w:b w:val="0"/>
                <w:bCs w:val="0"/>
                <w:color w:val="auto"/>
                <w:kern w:val="0"/>
                <w:sz w:val="24"/>
                <w:szCs w:val="24"/>
                <w:lang w:val="en-US" w:eastAsia="zh-CN" w:bidi="ar"/>
                <w14:ligatures w14:val="standardContextual"/>
              </w:rPr>
            </w:pPr>
            <w:r>
              <w:rPr>
                <w:rFonts w:hint="eastAsia" w:ascii="仿宋" w:hAnsi="仿宋" w:eastAsia="仿宋" w:cs="仿宋"/>
                <w:b w:val="0"/>
                <w:bCs w:val="0"/>
                <w:color w:val="auto"/>
                <w:sz w:val="24"/>
                <w:szCs w:val="24"/>
                <w:lang w:eastAsia="zh-CN"/>
              </w:rPr>
              <w:t>以</w:t>
            </w:r>
            <w:r>
              <w:rPr>
                <w:rFonts w:ascii="仿宋" w:hAnsi="仿宋" w:eastAsia="仿宋" w:cs="仿宋"/>
                <w:b w:val="0"/>
                <w:bCs w:val="0"/>
                <w:color w:val="auto"/>
                <w:kern w:val="0"/>
                <w:sz w:val="24"/>
                <w:szCs w:val="24"/>
                <w:lang w:val="en-US" w:eastAsia="zh-CN" w:bidi="ar"/>
                <w14:ligatures w14:val="standardContextual"/>
              </w:rPr>
              <w:t>《兴宁市国土空间总体规划</w:t>
            </w:r>
            <w:r>
              <w:rPr>
                <w:rFonts w:hint="eastAsia" w:ascii="仿宋" w:hAnsi="仿宋" w:eastAsia="仿宋" w:cs="仿宋"/>
                <w:b w:val="0"/>
                <w:bCs w:val="0"/>
                <w:color w:val="auto"/>
                <w:kern w:val="0"/>
                <w:sz w:val="24"/>
                <w:szCs w:val="24"/>
                <w:lang w:val="en-US" w:eastAsia="zh-CN" w:bidi="ar"/>
                <w14:ligatures w14:val="standardContextual"/>
              </w:rPr>
              <w:t>》划定的永久基本农田保护区，总面积231.29平方公里。</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877E">
            <w:pPr>
              <w:keepNext w:val="0"/>
              <w:keepLines w:val="0"/>
              <w:widowControl/>
              <w:suppressLineNumbers w:val="0"/>
              <w:jc w:val="left"/>
              <w:rPr>
                <w:rFonts w:hint="eastAsia" w:ascii="仿宋" w:hAnsi="仿宋" w:eastAsia="仿宋" w:cs="仿宋"/>
                <w:b w:val="0"/>
                <w:bCs w:val="0"/>
                <w:color w:val="auto"/>
                <w:sz w:val="24"/>
                <w:szCs w:val="24"/>
              </w:rPr>
            </w:pPr>
            <w:r>
              <w:rPr>
                <w:rFonts w:hint="eastAsia" w:ascii="仿宋" w:hAnsi="仿宋" w:eastAsia="仿宋" w:cs="仿宋"/>
                <w:b w:val="0"/>
                <w:bCs w:val="0"/>
                <w:color w:val="auto"/>
                <w:kern w:val="0"/>
                <w:sz w:val="24"/>
                <w:szCs w:val="24"/>
                <w:lang w:val="en-US" w:eastAsia="zh-CN" w:bidi="ar"/>
                <w14:ligatures w14:val="standardContextual"/>
              </w:rPr>
              <w:t>减少划入禁养区面积</w:t>
            </w:r>
            <w:r>
              <w:rPr>
                <w:rFonts w:hint="default" w:ascii="Times New Roman" w:hAnsi="Times New Roman" w:eastAsia="宋体" w:cs="Times New Roman"/>
                <w:b w:val="0"/>
                <w:bCs w:val="0"/>
                <w:color w:val="auto"/>
                <w:kern w:val="0"/>
                <w:sz w:val="24"/>
                <w:szCs w:val="24"/>
                <w:lang w:val="en-US" w:eastAsia="zh-CN" w:bidi="ar"/>
                <w14:ligatures w14:val="standardContextual"/>
              </w:rPr>
              <w:t>38.32km</w:t>
            </w:r>
            <w:r>
              <w:rPr>
                <w:rFonts w:hint="eastAsia" w:ascii="Times New Roman" w:hAnsi="Times New Roman" w:eastAsia="宋体" w:cs="Times New Roman"/>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w:t>
            </w:r>
          </w:p>
        </w:tc>
      </w:tr>
      <w:tr w14:paraId="764B3E56">
        <w:tblPrEx>
          <w:tblCellMar>
            <w:top w:w="0" w:type="dxa"/>
            <w:left w:w="28" w:type="dxa"/>
            <w:bottom w:w="0" w:type="dxa"/>
            <w:right w:w="28" w:type="dxa"/>
          </w:tblCellMar>
        </w:tblPrEx>
        <w:trPr>
          <w:trHeight w:val="90"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0BDBEF77">
            <w:pPr>
              <w:pStyle w:val="16"/>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6</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E5EC8">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文物保护单位</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6DB1F">
            <w:pPr>
              <w:pStyle w:val="16"/>
              <w:ind w:firstLine="480" w:firstLineChars="200"/>
              <w:jc w:val="both"/>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48处</w:t>
            </w:r>
            <w:r>
              <w:rPr>
                <w:rFonts w:hint="eastAsia" w:ascii="仿宋" w:hAnsi="仿宋" w:eastAsia="仿宋" w:cs="仿宋"/>
                <w:b w:val="0"/>
                <w:bCs w:val="0"/>
                <w:color w:val="auto"/>
                <w:sz w:val="24"/>
                <w:szCs w:val="24"/>
              </w:rPr>
              <w:t>文物保护单位</w:t>
            </w:r>
            <w:r>
              <w:rPr>
                <w:rFonts w:hint="eastAsia" w:ascii="仿宋" w:hAnsi="仿宋" w:eastAsia="仿宋" w:cs="仿宋"/>
                <w:b w:val="0"/>
                <w:bCs w:val="0"/>
                <w:color w:val="auto"/>
                <w:sz w:val="24"/>
                <w:szCs w:val="24"/>
                <w:lang w:eastAsia="zh-CN"/>
              </w:rPr>
              <w:t>，总面积</w:t>
            </w:r>
            <w:r>
              <w:rPr>
                <w:rFonts w:hint="eastAsia" w:ascii="仿宋" w:hAnsi="仿宋" w:eastAsia="仿宋" w:cs="仿宋"/>
                <w:b w:val="0"/>
                <w:bCs w:val="0"/>
                <w:color w:val="auto"/>
                <w:sz w:val="24"/>
                <w:szCs w:val="24"/>
                <w:lang w:val="en-US" w:eastAsia="zh-CN"/>
              </w:rPr>
              <w:t>0.03平方公里</w:t>
            </w:r>
          </w:p>
        </w:tc>
        <w:tc>
          <w:tcPr>
            <w:tcW w:w="6269" w:type="dxa"/>
            <w:tcBorders>
              <w:top w:val="single" w:color="000000" w:sz="4" w:space="0"/>
              <w:left w:val="single" w:color="000000" w:sz="4" w:space="0"/>
              <w:bottom w:val="single" w:color="000000" w:sz="4" w:space="0"/>
              <w:right w:val="single" w:color="000000" w:sz="4" w:space="0"/>
            </w:tcBorders>
            <w:vAlign w:val="center"/>
          </w:tcPr>
          <w:p w14:paraId="1054C7CE">
            <w:pPr>
              <w:keepNext w:val="0"/>
              <w:keepLines w:val="0"/>
              <w:widowControl/>
              <w:suppressLineNumbers w:val="0"/>
              <w:ind w:firstLine="480" w:firstLineChars="200"/>
              <w:jc w:val="left"/>
              <w:rPr>
                <w:rFonts w:hint="default" w:ascii="仿宋" w:hAnsi="仿宋" w:eastAsia="仿宋" w:cs="仿宋"/>
                <w:b w:val="0"/>
                <w:bCs w:val="0"/>
                <w:color w:val="auto"/>
                <w:kern w:val="0"/>
                <w:sz w:val="24"/>
                <w:szCs w:val="24"/>
                <w:lang w:val="en-US" w:eastAsia="zh-CN" w:bidi="ar"/>
                <w14:ligatures w14:val="standardContextual"/>
              </w:rPr>
            </w:pPr>
            <w:r>
              <w:rPr>
                <w:rFonts w:ascii="仿宋" w:hAnsi="仿宋" w:eastAsia="仿宋" w:cs="仿宋"/>
                <w:b w:val="0"/>
                <w:bCs w:val="0"/>
                <w:color w:val="auto"/>
                <w:kern w:val="0"/>
                <w:sz w:val="24"/>
                <w:szCs w:val="24"/>
                <w:lang w:val="en-US" w:eastAsia="zh-CN" w:bidi="ar"/>
                <w14:ligatures w14:val="standardContextual"/>
              </w:rPr>
              <w:t>兴宁市已公布的70处县级以上文物保护单位保护范围</w:t>
            </w:r>
            <w:r>
              <w:rPr>
                <w:rFonts w:hint="eastAsia" w:ascii="仿宋" w:hAnsi="仿宋" w:eastAsia="仿宋" w:cs="仿宋"/>
                <w:b w:val="0"/>
                <w:bCs w:val="0"/>
                <w:color w:val="auto"/>
                <w:kern w:val="0"/>
                <w:sz w:val="24"/>
                <w:szCs w:val="24"/>
                <w:lang w:val="en-US" w:eastAsia="zh-CN" w:bidi="ar"/>
                <w14:ligatures w14:val="standardContextual"/>
              </w:rPr>
              <w:t>和建设控制地带，总面积0.7795平方公里。</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24698">
            <w:pPr>
              <w:keepNext w:val="0"/>
              <w:keepLines w:val="0"/>
              <w:widowControl/>
              <w:numPr>
                <w:ilvl w:val="0"/>
                <w:numId w:val="0"/>
              </w:numPr>
              <w:suppressLineNumbers w:val="0"/>
              <w:jc w:val="left"/>
              <w:rPr>
                <w:rFonts w:hint="eastAsia" w:ascii="仿宋" w:hAnsi="仿宋" w:eastAsia="仿宋" w:cs="仿宋"/>
                <w:b w:val="0"/>
                <w:bCs w:val="0"/>
                <w:color w:val="auto"/>
                <w:sz w:val="24"/>
                <w:szCs w:val="24"/>
              </w:rPr>
            </w:pPr>
            <w:r>
              <w:rPr>
                <w:rFonts w:ascii="仿宋" w:hAnsi="仿宋" w:eastAsia="仿宋" w:cs="仿宋"/>
                <w:b w:val="0"/>
                <w:bCs w:val="0"/>
                <w:color w:val="auto"/>
                <w:kern w:val="0"/>
                <w:sz w:val="24"/>
                <w:szCs w:val="24"/>
                <w:lang w:val="en-US" w:eastAsia="zh-CN" w:bidi="ar"/>
                <w14:ligatures w14:val="standardContextual"/>
              </w:rPr>
              <w:t>新增</w:t>
            </w:r>
            <w:r>
              <w:rPr>
                <w:rFonts w:hint="default" w:ascii="Times New Roman" w:hAnsi="Times New Roman" w:eastAsia="宋体" w:cs="Times New Roman"/>
                <w:b w:val="0"/>
                <w:bCs w:val="0"/>
                <w:color w:val="auto"/>
                <w:kern w:val="0"/>
                <w:sz w:val="24"/>
                <w:szCs w:val="24"/>
                <w:lang w:val="en-US" w:eastAsia="zh-CN" w:bidi="ar"/>
                <w14:ligatures w14:val="standardContextual"/>
              </w:rPr>
              <w:t>2</w:t>
            </w:r>
            <w:r>
              <w:rPr>
                <w:rFonts w:hint="eastAsia" w:ascii="Times New Roman" w:hAnsi="Times New Roman" w:eastAsia="宋体" w:cs="Times New Roman"/>
                <w:b w:val="0"/>
                <w:bCs w:val="0"/>
                <w:color w:val="auto"/>
                <w:kern w:val="0"/>
                <w:sz w:val="24"/>
                <w:szCs w:val="24"/>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处增加划入禁养区面积</w:t>
            </w:r>
            <w:r>
              <w:rPr>
                <w:rFonts w:hint="default" w:ascii="Times New Roman" w:hAnsi="Times New Roman" w:eastAsia="宋体" w:cs="Times New Roman"/>
                <w:b w:val="0"/>
                <w:bCs w:val="0"/>
                <w:color w:val="auto"/>
                <w:kern w:val="0"/>
                <w:sz w:val="24"/>
                <w:szCs w:val="24"/>
                <w:lang w:val="en-US" w:eastAsia="zh-CN" w:bidi="ar"/>
                <w14:ligatures w14:val="standardContextual"/>
              </w:rPr>
              <w:t>0.</w:t>
            </w:r>
            <w:r>
              <w:rPr>
                <w:rFonts w:hint="eastAsia" w:ascii="Times New Roman" w:hAnsi="Times New Roman" w:eastAsia="宋体" w:cs="Times New Roman"/>
                <w:b w:val="0"/>
                <w:bCs w:val="0"/>
                <w:color w:val="auto"/>
                <w:kern w:val="0"/>
                <w:sz w:val="24"/>
                <w:szCs w:val="24"/>
                <w:lang w:val="en-US" w:eastAsia="zh-CN" w:bidi="ar"/>
                <w14:ligatures w14:val="standardContextual"/>
              </w:rPr>
              <w:t>7495</w:t>
            </w:r>
            <w:r>
              <w:rPr>
                <w:rFonts w:hint="default" w:ascii="Times New Roman" w:hAnsi="Times New Roman" w:eastAsia="宋体" w:cs="Times New Roman"/>
                <w:b w:val="0"/>
                <w:bCs w:val="0"/>
                <w:color w:val="auto"/>
                <w:kern w:val="0"/>
                <w:sz w:val="24"/>
                <w:szCs w:val="24"/>
                <w:lang w:val="en-US" w:eastAsia="zh-CN" w:bidi="ar"/>
                <w14:ligatures w14:val="standardContextual"/>
              </w:rPr>
              <w:t>km</w:t>
            </w:r>
            <w:r>
              <w:rPr>
                <w:rFonts w:hint="eastAsia" w:ascii="Times New Roman" w:hAnsi="Times New Roman" w:eastAsia="宋体" w:cs="Times New Roman"/>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w:t>
            </w:r>
          </w:p>
        </w:tc>
      </w:tr>
      <w:tr w14:paraId="504E8323">
        <w:tblPrEx>
          <w:tblCellMar>
            <w:top w:w="0" w:type="dxa"/>
            <w:left w:w="28" w:type="dxa"/>
            <w:bottom w:w="0" w:type="dxa"/>
            <w:right w:w="28" w:type="dxa"/>
          </w:tblCellMar>
        </w:tblPrEx>
        <w:trPr>
          <w:trHeight w:val="340"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3FA352AB">
            <w:pPr>
              <w:pStyle w:val="16"/>
              <w:spacing w:line="240" w:lineRule="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7</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73379">
            <w:pPr>
              <w:pStyle w:val="16"/>
              <w:spacing w:line="240"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公路、铁路建筑控制区域</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272D">
            <w:pPr>
              <w:keepNext w:val="0"/>
              <w:keepLines w:val="0"/>
              <w:widowControl/>
              <w:suppressLineNumbers w:val="0"/>
              <w:jc w:val="left"/>
              <w:rPr>
                <w:b w:val="0"/>
                <w:bCs w:val="0"/>
                <w:color w:val="auto"/>
                <w:sz w:val="24"/>
                <w:szCs w:val="24"/>
              </w:rPr>
            </w:pPr>
            <w:r>
              <w:rPr>
                <w:rFonts w:ascii="仿宋" w:hAnsi="仿宋" w:eastAsia="仿宋" w:cs="仿宋"/>
                <w:b w:val="0"/>
                <w:bCs w:val="0"/>
                <w:color w:val="auto"/>
                <w:kern w:val="0"/>
                <w:sz w:val="24"/>
                <w:szCs w:val="24"/>
                <w:lang w:val="en-US" w:eastAsia="zh-CN" w:bidi="ar"/>
                <w14:ligatures w14:val="standardContextual"/>
              </w:rPr>
              <w:t>铁路、高速、</w:t>
            </w:r>
            <w:r>
              <w:rPr>
                <w:rFonts w:hint="eastAsia" w:ascii="仿宋" w:hAnsi="仿宋" w:eastAsia="仿宋" w:cs="仿宋"/>
                <w:b w:val="0"/>
                <w:bCs w:val="0"/>
                <w:color w:val="auto"/>
                <w:kern w:val="0"/>
                <w:sz w:val="24"/>
                <w:szCs w:val="24"/>
                <w:lang w:val="en-US" w:eastAsia="zh-CN" w:bidi="ar"/>
                <w14:ligatures w14:val="standardContextual"/>
              </w:rPr>
              <w:t>国道、省道</w:t>
            </w:r>
          </w:p>
          <w:p w14:paraId="646EA27D">
            <w:pPr>
              <w:keepNext w:val="0"/>
              <w:keepLines w:val="0"/>
              <w:widowControl/>
              <w:suppressLineNumbers w:val="0"/>
              <w:jc w:val="left"/>
              <w:rPr>
                <w:rFonts w:hint="eastAsia" w:ascii="仿宋" w:hAnsi="仿宋" w:eastAsia="仿宋" w:cs="仿宋"/>
                <w:b w:val="0"/>
                <w:bCs w:val="0"/>
                <w:color w:val="auto"/>
                <w:sz w:val="24"/>
                <w:szCs w:val="24"/>
              </w:rPr>
            </w:pPr>
            <w:r>
              <w:rPr>
                <w:rFonts w:ascii="仿宋" w:hAnsi="仿宋" w:eastAsia="仿宋" w:cs="仿宋"/>
                <w:b w:val="0"/>
                <w:bCs w:val="0"/>
                <w:color w:val="auto"/>
                <w:kern w:val="0"/>
                <w:sz w:val="24"/>
                <w:szCs w:val="24"/>
                <w:lang w:val="en-US" w:eastAsia="zh-CN" w:bidi="ar"/>
                <w14:ligatures w14:val="standardContextual"/>
              </w:rPr>
              <w:t>以上合计</w:t>
            </w:r>
            <w:r>
              <w:rPr>
                <w:rFonts w:hint="eastAsia" w:ascii="仿宋" w:hAnsi="仿宋" w:eastAsia="仿宋" w:cs="仿宋"/>
                <w:b w:val="0"/>
                <w:bCs w:val="0"/>
                <w:color w:val="auto"/>
                <w:kern w:val="0"/>
                <w:sz w:val="24"/>
                <w:szCs w:val="24"/>
                <w:lang w:val="en-US" w:eastAsia="zh-CN" w:bidi="ar"/>
                <w14:ligatures w14:val="standardContextual"/>
              </w:rPr>
              <w:t>面积32.29平方公里。</w:t>
            </w:r>
          </w:p>
        </w:tc>
        <w:tc>
          <w:tcPr>
            <w:tcW w:w="6269" w:type="dxa"/>
            <w:tcBorders>
              <w:top w:val="single" w:color="000000" w:sz="4" w:space="0"/>
              <w:left w:val="single" w:color="000000" w:sz="4" w:space="0"/>
              <w:bottom w:val="single" w:color="000000" w:sz="4" w:space="0"/>
              <w:right w:val="single" w:color="000000" w:sz="4" w:space="0"/>
            </w:tcBorders>
            <w:vAlign w:val="center"/>
          </w:tcPr>
          <w:p w14:paraId="043892F6">
            <w:pPr>
              <w:pStyle w:val="16"/>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kern w:val="0"/>
                <w:sz w:val="24"/>
                <w:szCs w:val="24"/>
                <w:lang w:val="en-US" w:eastAsia="zh-CN" w:bidi="ar"/>
                <w14:ligatures w14:val="standardContextual"/>
              </w:rPr>
              <w:t>增加梅龙高铁、部分国道、省道。</w:t>
            </w:r>
            <w:r>
              <w:rPr>
                <w:rFonts w:hint="eastAsia" w:ascii="仿宋" w:hAnsi="仿宋" w:eastAsia="仿宋" w:cs="仿宋"/>
                <w:b w:val="0"/>
                <w:bCs w:val="0"/>
                <w:color w:val="auto"/>
                <w:sz w:val="24"/>
                <w:szCs w:val="24"/>
              </w:rPr>
              <w:t>总面积</w:t>
            </w:r>
            <w:r>
              <w:rPr>
                <w:rFonts w:hint="eastAsia" w:ascii="仿宋" w:hAnsi="仿宋" w:eastAsia="仿宋" w:cs="仿宋"/>
                <w:b w:val="0"/>
                <w:bCs w:val="0"/>
                <w:color w:val="auto"/>
                <w:sz w:val="24"/>
                <w:szCs w:val="24"/>
                <w:lang w:val="en-US" w:eastAsia="zh-CN"/>
              </w:rPr>
              <w:t>32.617</w:t>
            </w:r>
            <w:r>
              <w:rPr>
                <w:rFonts w:hint="eastAsia" w:ascii="仿宋" w:hAnsi="仿宋" w:eastAsia="仿宋" w:cs="仿宋"/>
                <w:b w:val="0"/>
                <w:bCs w:val="0"/>
                <w:color w:val="auto"/>
                <w:sz w:val="24"/>
                <w:szCs w:val="24"/>
              </w:rPr>
              <w:t>平方公里。</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928A">
            <w:pPr>
              <w:keepNext w:val="0"/>
              <w:keepLines w:val="0"/>
              <w:widowControl/>
              <w:suppressLineNumbers w:val="0"/>
              <w:jc w:val="left"/>
              <w:rPr>
                <w:rFonts w:hint="eastAsia" w:ascii="仿宋" w:hAnsi="仿宋" w:eastAsia="仿宋" w:cs="仿宋"/>
                <w:b w:val="0"/>
                <w:bCs w:val="0"/>
                <w:color w:val="auto"/>
                <w:sz w:val="24"/>
                <w:szCs w:val="24"/>
              </w:rPr>
            </w:pPr>
            <w:r>
              <w:rPr>
                <w:rFonts w:hint="eastAsia" w:ascii="仿宋" w:hAnsi="仿宋" w:eastAsia="仿宋" w:cs="仿宋"/>
                <w:b w:val="0"/>
                <w:bCs w:val="0"/>
                <w:color w:val="auto"/>
                <w:kern w:val="0"/>
                <w:sz w:val="24"/>
                <w:szCs w:val="24"/>
                <w:lang w:val="en-US" w:eastAsia="zh-CN" w:bidi="ar"/>
                <w14:ligatures w14:val="standardContextual"/>
              </w:rPr>
              <w:t>增加划入禁养区面积</w:t>
            </w:r>
            <w:r>
              <w:rPr>
                <w:rFonts w:hint="default" w:ascii="Times New Roman" w:hAnsi="Times New Roman" w:eastAsia="宋体" w:cs="Times New Roman"/>
                <w:b w:val="0"/>
                <w:bCs w:val="0"/>
                <w:color w:val="auto"/>
                <w:kern w:val="0"/>
                <w:sz w:val="24"/>
                <w:szCs w:val="24"/>
                <w:lang w:val="en-US" w:eastAsia="zh-CN" w:bidi="ar"/>
                <w14:ligatures w14:val="standardContextual"/>
              </w:rPr>
              <w:t>0.327km</w:t>
            </w:r>
            <w:r>
              <w:rPr>
                <w:rFonts w:hint="eastAsia" w:ascii="Times New Roman" w:hAnsi="Times New Roman" w:eastAsia="宋体" w:cs="Times New Roman"/>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w:t>
            </w:r>
          </w:p>
        </w:tc>
      </w:tr>
      <w:tr w14:paraId="6DB64B2E">
        <w:tblPrEx>
          <w:tblCellMar>
            <w:top w:w="0" w:type="dxa"/>
            <w:left w:w="28" w:type="dxa"/>
            <w:bottom w:w="0" w:type="dxa"/>
            <w:right w:w="28" w:type="dxa"/>
          </w:tblCellMar>
        </w:tblPrEx>
        <w:trPr>
          <w:trHeight w:val="340"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6F09A8BC">
            <w:pPr>
              <w:pStyle w:val="16"/>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val="en-US" w:eastAsia="zh-CN"/>
              </w:rPr>
              <w:t>8</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B1806">
            <w:pPr>
              <w:pStyle w:val="16"/>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rPr>
              <w:t>重要</w:t>
            </w:r>
            <w:r>
              <w:rPr>
                <w:rFonts w:hint="eastAsia" w:ascii="仿宋" w:hAnsi="仿宋" w:eastAsia="仿宋" w:cs="仿宋"/>
                <w:b w:val="0"/>
                <w:bCs w:val="0"/>
                <w:color w:val="auto"/>
                <w:sz w:val="24"/>
                <w:szCs w:val="24"/>
                <w:lang w:eastAsia="zh-CN"/>
              </w:rPr>
              <w:t>地表水体功能区</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9564">
            <w:pPr>
              <w:pStyle w:val="16"/>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无。</w:t>
            </w:r>
          </w:p>
        </w:tc>
        <w:tc>
          <w:tcPr>
            <w:tcW w:w="6269" w:type="dxa"/>
            <w:tcBorders>
              <w:top w:val="single" w:color="000000" w:sz="4" w:space="0"/>
              <w:left w:val="single" w:color="000000" w:sz="4" w:space="0"/>
              <w:bottom w:val="single" w:color="000000" w:sz="4" w:space="0"/>
              <w:right w:val="single" w:color="000000" w:sz="4" w:space="0"/>
            </w:tcBorders>
            <w:vAlign w:val="center"/>
          </w:tcPr>
          <w:p w14:paraId="1693511F">
            <w:pPr>
              <w:pStyle w:val="16"/>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 w:hAnsi="仿宋" w:eastAsia="仿宋" w:cs="仿宋"/>
                <w:b w:val="0"/>
                <w:bCs w:val="0"/>
                <w:color w:val="auto"/>
                <w:kern w:val="0"/>
                <w:sz w:val="24"/>
                <w:szCs w:val="24"/>
                <w:lang w:val="en-US" w:eastAsia="zh-CN" w:bidi="ar"/>
                <w14:ligatures w14:val="standardContextual"/>
              </w:rPr>
            </w:pPr>
            <w:r>
              <w:rPr>
                <w:rFonts w:hint="eastAsia" w:ascii="仿宋" w:hAnsi="仿宋" w:eastAsia="仿宋" w:cs="仿宋"/>
                <w:b w:val="0"/>
                <w:bCs w:val="0"/>
                <w:color w:val="auto"/>
                <w:sz w:val="24"/>
                <w:szCs w:val="24"/>
                <w:lang w:val="en-US" w:eastAsia="zh-CN"/>
              </w:rPr>
              <w:t>包括梅江、宁江、东江（罗浮水）、黄陂水、罗岗河等5条主要河流的河道管理范围以及</w:t>
            </w:r>
            <w:r>
              <w:rPr>
                <w:rFonts w:hint="eastAsia" w:ascii="仿宋" w:hAnsi="仿宋" w:eastAsia="仿宋" w:cs="仿宋"/>
                <w:b w:val="0"/>
                <w:bCs w:val="0"/>
                <w:color w:val="auto"/>
                <w:sz w:val="24"/>
                <w:szCs w:val="24"/>
              </w:rPr>
              <w:t>合水水库</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石壁水库</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和山岩水库</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温公水库</w:t>
            </w:r>
            <w:r>
              <w:rPr>
                <w:rFonts w:hint="eastAsia" w:ascii="仿宋" w:hAnsi="仿宋" w:eastAsia="仿宋" w:cs="仿宋"/>
                <w:b w:val="0"/>
                <w:bCs w:val="0"/>
                <w:color w:val="auto"/>
                <w:kern w:val="0"/>
                <w:sz w:val="24"/>
                <w:szCs w:val="24"/>
                <w:lang w:val="en-US" w:eastAsia="zh-CN" w:bidi="ar"/>
                <w14:ligatures w14:val="standardContextual"/>
              </w:rPr>
              <w:t>均属于重要地表水体功能区，进行新增划定</w:t>
            </w:r>
            <w:r>
              <w:rPr>
                <w:rFonts w:hint="eastAsia" w:ascii="仿宋" w:hAnsi="仿宋" w:eastAsia="仿宋" w:cs="仿宋"/>
                <w:b w:val="0"/>
                <w:bCs w:val="0"/>
                <w:color w:val="auto"/>
                <w:sz w:val="24"/>
                <w:szCs w:val="24"/>
                <w:lang w:eastAsia="zh-CN"/>
              </w:rPr>
              <w:t>总面积</w:t>
            </w:r>
            <w:r>
              <w:rPr>
                <w:rFonts w:hint="default" w:ascii="仿宋" w:hAnsi="仿宋" w:eastAsia="仿宋" w:cs="仿宋"/>
                <w:b w:val="0"/>
                <w:bCs w:val="0"/>
                <w:color w:val="auto"/>
                <w:kern w:val="0"/>
                <w:sz w:val="24"/>
                <w:szCs w:val="24"/>
                <w:lang w:val="en-US" w:eastAsia="zh-CN" w:bidi="ar"/>
                <w14:ligatures w14:val="standardContextual"/>
              </w:rPr>
              <w:t>29.481km</w:t>
            </w:r>
            <w:r>
              <w:rPr>
                <w:rFonts w:hint="default" w:ascii="仿宋" w:hAnsi="仿宋" w:eastAsia="仿宋" w:cs="仿宋"/>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9EF0">
            <w:pPr>
              <w:keepNext w:val="0"/>
              <w:keepLines w:val="0"/>
              <w:widowControl/>
              <w:suppressLineNumbers w:val="0"/>
              <w:jc w:val="left"/>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kern w:val="0"/>
                <w:sz w:val="24"/>
                <w:szCs w:val="24"/>
                <w:lang w:val="en-US" w:eastAsia="zh-CN" w:bidi="ar"/>
                <w14:ligatures w14:val="standardContextual"/>
              </w:rPr>
              <w:t>新增划入禁养区面积</w:t>
            </w:r>
            <w:r>
              <w:rPr>
                <w:rFonts w:hint="default" w:ascii="仿宋" w:hAnsi="仿宋" w:eastAsia="仿宋" w:cs="仿宋"/>
                <w:b w:val="0"/>
                <w:bCs w:val="0"/>
                <w:color w:val="auto"/>
                <w:kern w:val="0"/>
                <w:sz w:val="24"/>
                <w:szCs w:val="24"/>
                <w:lang w:val="en-US" w:eastAsia="zh-CN" w:bidi="ar"/>
                <w14:ligatures w14:val="standardContextual"/>
              </w:rPr>
              <w:t>29.481km</w:t>
            </w:r>
            <w:r>
              <w:rPr>
                <w:rFonts w:hint="default" w:ascii="仿宋" w:hAnsi="仿宋" w:eastAsia="仿宋" w:cs="仿宋"/>
                <w:b w:val="0"/>
                <w:bCs w:val="0"/>
                <w:color w:val="auto"/>
                <w:kern w:val="0"/>
                <w:sz w:val="24"/>
                <w:szCs w:val="24"/>
                <w:vertAlign w:val="superscript"/>
                <w:lang w:val="en-US" w:eastAsia="zh-CN" w:bidi="ar"/>
                <w14:ligatures w14:val="standardContextual"/>
              </w:rPr>
              <w:t>2</w:t>
            </w:r>
            <w:r>
              <w:rPr>
                <w:rFonts w:hint="eastAsia" w:ascii="仿宋" w:hAnsi="仿宋" w:eastAsia="仿宋" w:cs="仿宋"/>
                <w:b w:val="0"/>
                <w:bCs w:val="0"/>
                <w:color w:val="auto"/>
                <w:kern w:val="0"/>
                <w:sz w:val="24"/>
                <w:szCs w:val="24"/>
                <w:lang w:val="en-US" w:eastAsia="zh-CN" w:bidi="ar"/>
                <w14:ligatures w14:val="standardContextual"/>
              </w:rPr>
              <w:t>。</w:t>
            </w:r>
          </w:p>
        </w:tc>
      </w:tr>
      <w:tr w14:paraId="00AF3237">
        <w:tblPrEx>
          <w:tblCellMar>
            <w:top w:w="0" w:type="dxa"/>
            <w:left w:w="28" w:type="dxa"/>
            <w:bottom w:w="0" w:type="dxa"/>
            <w:right w:w="28" w:type="dxa"/>
          </w:tblCellMar>
        </w:tblPrEx>
        <w:trPr>
          <w:trHeight w:val="340" w:hRule="atLeast"/>
          <w:jc w:val="center"/>
        </w:trPr>
        <w:tc>
          <w:tcPr>
            <w:tcW w:w="590" w:type="dxa"/>
            <w:tcBorders>
              <w:top w:val="single" w:color="000000" w:sz="4" w:space="0"/>
              <w:left w:val="single" w:color="000000" w:sz="4" w:space="0"/>
              <w:bottom w:val="single" w:color="000000" w:sz="4" w:space="0"/>
              <w:right w:val="single" w:color="000000" w:sz="4" w:space="0"/>
            </w:tcBorders>
            <w:vAlign w:val="center"/>
          </w:tcPr>
          <w:p w14:paraId="1C396848">
            <w:pPr>
              <w:pStyle w:val="16"/>
              <w:ind w:firstLine="0" w:firstLineChars="0"/>
              <w:rPr>
                <w:rFonts w:hint="default"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0F45A">
            <w:pPr>
              <w:keepNext w:val="0"/>
              <w:keepLines w:val="0"/>
              <w:widowControl/>
              <w:suppressLineNumbers w:val="0"/>
              <w:jc w:val="left"/>
              <w:rPr>
                <w:rFonts w:ascii="仿宋" w:hAnsi="仿宋" w:eastAsia="仿宋" w:cs="仿宋"/>
                <w:b w:val="0"/>
                <w:bCs w:val="0"/>
                <w:color w:val="auto"/>
                <w:kern w:val="0"/>
                <w:sz w:val="24"/>
                <w:szCs w:val="24"/>
                <w:lang w:val="en-US" w:eastAsia="zh-CN" w:bidi="ar"/>
                <w14:ligatures w14:val="standardContextual"/>
              </w:rPr>
            </w:pPr>
            <w:r>
              <w:rPr>
                <w:rFonts w:ascii="仿宋" w:hAnsi="仿宋" w:eastAsia="仿宋" w:cs="仿宋"/>
                <w:b w:val="0"/>
                <w:bCs w:val="0"/>
                <w:color w:val="auto"/>
                <w:kern w:val="0"/>
                <w:sz w:val="24"/>
                <w:szCs w:val="24"/>
                <w:lang w:val="en-US" w:eastAsia="zh-CN" w:bidi="ar"/>
                <w14:ligatures w14:val="standardContextual"/>
              </w:rPr>
              <w:t>扣除重叠区域后禁养区总面积</w:t>
            </w:r>
          </w:p>
        </w:tc>
        <w:tc>
          <w:tcPr>
            <w:tcW w:w="2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CB9E2">
            <w:pPr>
              <w:pStyle w:val="16"/>
              <w:ind w:firstLine="0" w:firstLineChars="0"/>
              <w:rPr>
                <w:rFonts w:hint="eastAsia" w:ascii="仿宋" w:hAnsi="仿宋" w:eastAsia="仿宋" w:cs="仿宋"/>
                <w:b w:val="0"/>
                <w:bCs w:val="0"/>
                <w:color w:val="auto"/>
                <w:kern w:val="0"/>
                <w:sz w:val="24"/>
                <w:szCs w:val="24"/>
                <w:lang w:val="en-US" w:eastAsia="zh-CN" w:bidi="ar"/>
                <w14:ligatures w14:val="standardContextual"/>
              </w:rPr>
            </w:pPr>
            <w:r>
              <w:rPr>
                <w:rFonts w:hint="eastAsia" w:ascii="仿宋" w:hAnsi="仿宋" w:eastAsia="仿宋" w:cs="仿宋"/>
                <w:b w:val="0"/>
                <w:bCs w:val="0"/>
                <w:color w:val="auto"/>
                <w:kern w:val="0"/>
                <w:sz w:val="24"/>
                <w:szCs w:val="24"/>
                <w:lang w:val="en-US" w:eastAsia="zh-CN" w:bidi="ar"/>
                <w14:ligatures w14:val="standardContextual"/>
              </w:rPr>
              <w:t>637.62平方公里</w:t>
            </w:r>
          </w:p>
        </w:tc>
        <w:tc>
          <w:tcPr>
            <w:tcW w:w="6269" w:type="dxa"/>
            <w:tcBorders>
              <w:top w:val="single" w:color="000000" w:sz="4" w:space="0"/>
              <w:left w:val="single" w:color="000000" w:sz="4" w:space="0"/>
              <w:bottom w:val="single" w:color="000000" w:sz="4" w:space="0"/>
              <w:right w:val="single" w:color="000000" w:sz="4" w:space="0"/>
            </w:tcBorders>
            <w:vAlign w:val="center"/>
          </w:tcPr>
          <w:p w14:paraId="449B80DA">
            <w:pPr>
              <w:pStyle w:val="16"/>
              <w:ind w:firstLine="0" w:firstLineChars="0"/>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703.467</w:t>
            </w:r>
            <w:r>
              <w:rPr>
                <w:rFonts w:hint="eastAsia" w:ascii="仿宋" w:hAnsi="仿宋" w:eastAsia="仿宋" w:cs="仿宋"/>
                <w:b w:val="0"/>
                <w:bCs w:val="0"/>
                <w:color w:val="auto"/>
                <w:kern w:val="0"/>
                <w:sz w:val="24"/>
                <w:szCs w:val="24"/>
                <w:lang w:val="en-US" w:eastAsia="zh-CN" w:bidi="ar"/>
                <w14:ligatures w14:val="standardContextual"/>
              </w:rPr>
              <w:t>平方公里</w:t>
            </w:r>
          </w:p>
        </w:tc>
        <w:tc>
          <w:tcPr>
            <w:tcW w:w="2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EEDBE">
            <w:pPr>
              <w:pStyle w:val="16"/>
              <w:ind w:firstLine="0" w:firstLineChars="0"/>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禁养区增加</w:t>
            </w:r>
            <w:r>
              <w:rPr>
                <w:rFonts w:hint="eastAsia" w:ascii="仿宋" w:hAnsi="仿宋" w:eastAsia="仿宋" w:cs="仿宋"/>
                <w:b w:val="0"/>
                <w:bCs/>
                <w:color w:val="auto"/>
                <w:kern w:val="2"/>
                <w:sz w:val="24"/>
                <w:szCs w:val="24"/>
                <w:highlight w:val="none"/>
                <w:lang w:val="en-US" w:eastAsia="zh-CN"/>
              </w:rPr>
              <w:t>65.847</w:t>
            </w:r>
            <w:r>
              <w:rPr>
                <w:rFonts w:hint="eastAsia" w:ascii="仿宋" w:hAnsi="仿宋" w:eastAsia="仿宋" w:cs="仿宋"/>
                <w:b w:val="0"/>
                <w:bCs w:val="0"/>
                <w:color w:val="auto"/>
                <w:kern w:val="2"/>
                <w:sz w:val="24"/>
                <w:szCs w:val="24"/>
                <w:highlight w:val="none"/>
                <w:lang w:val="en-US" w:eastAsia="zh-CN"/>
              </w:rPr>
              <w:t>km</w:t>
            </w:r>
            <w:r>
              <w:rPr>
                <w:rFonts w:hint="eastAsia" w:ascii="仿宋" w:hAnsi="仿宋" w:eastAsia="仿宋" w:cs="仿宋"/>
                <w:b w:val="0"/>
                <w:bCs w:val="0"/>
                <w:color w:val="auto"/>
                <w:kern w:val="2"/>
                <w:sz w:val="24"/>
                <w:szCs w:val="24"/>
                <w:highlight w:val="none"/>
                <w:vertAlign w:val="superscript"/>
                <w:lang w:val="en-US" w:eastAsia="zh-CN"/>
              </w:rPr>
              <w:t>2</w:t>
            </w:r>
          </w:p>
        </w:tc>
      </w:tr>
    </w:tbl>
    <w:p w14:paraId="25327518">
      <w:pPr>
        <w:pStyle w:val="20"/>
        <w:keepNext w:val="0"/>
        <w:keepLines w:val="0"/>
        <w:pageBreakBefore w:val="0"/>
        <w:widowControl/>
        <w:kinsoku/>
        <w:wordWrap/>
        <w:overflowPunct/>
        <w:topLinePunct w:val="0"/>
        <w:autoSpaceDE/>
        <w:autoSpaceDN/>
        <w:bidi w:val="0"/>
        <w:adjustRightInd/>
        <w:snapToGrid/>
        <w:spacing w:line="360" w:lineRule="auto"/>
        <w:ind w:firstLine="694"/>
        <w:textAlignment w:val="auto"/>
        <w:rPr>
          <w:rFonts w:hint="eastAsia" w:ascii="Times New Roman" w:hAnsi="Times New Roman" w:eastAsia="仿宋_GB2312" w:cs="Times New Roman"/>
          <w:color w:val="auto"/>
          <w:kern w:val="2"/>
          <w:sz w:val="24"/>
          <w:szCs w:val="24"/>
          <w:lang w:val="en-US" w:eastAsia="zh-CN" w:bidi="ar-SA"/>
          <w14:ligatures w14:val="none"/>
        </w:rPr>
      </w:pPr>
    </w:p>
    <w:p w14:paraId="1564A8CF">
      <w:pPr>
        <w:spacing w:line="360" w:lineRule="auto"/>
        <w:ind w:firstLine="480" w:firstLineChars="200"/>
        <w:rPr>
          <w:color w:val="auto"/>
          <w:sz w:val="24"/>
          <w:szCs w:val="24"/>
        </w:rPr>
        <w:sectPr>
          <w:pgSz w:w="16838" w:h="11906" w:orient="landscape"/>
          <w:pgMar w:top="1800" w:right="1440" w:bottom="1800" w:left="1440" w:header="851" w:footer="992" w:gutter="0"/>
          <w:pgNumType w:fmt="decimal"/>
          <w:cols w:space="425" w:num="1"/>
          <w:docGrid w:type="lines" w:linePitch="312" w:charSpace="0"/>
        </w:sectPr>
      </w:pPr>
    </w:p>
    <w:p w14:paraId="5F108517">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18" w:name="_Toc25935"/>
      <w:r>
        <w:rPr>
          <w:rFonts w:hint="eastAsia" w:ascii="Times New Roman" w:hAnsi="Times New Roman" w:eastAsia="仿宋_GB2312" w:cs="Times New Roman"/>
          <w:snapToGrid/>
          <w:color w:val="auto"/>
          <w:kern w:val="2"/>
          <w:sz w:val="28"/>
          <w:szCs w:val="22"/>
          <w:lang w:val="en-US" w:eastAsia="zh-CN" w:bidi="ar-SA"/>
        </w:rPr>
        <w:t>附图1 兴宁市饮用水水源保护区分布图</w:t>
      </w:r>
      <w:bookmarkEnd w:id="18"/>
    </w:p>
    <w:p w14:paraId="3B435896">
      <w:pPr>
        <w:rPr>
          <w:rFonts w:hint="eastAsia" w:ascii="Times New Roman" w:hAnsi="Times New Roman" w:eastAsia="仿宋_GB2312" w:cs="Times New Roman"/>
          <w:snapToGrid/>
          <w:color w:val="auto"/>
          <w:kern w:val="2"/>
          <w:sz w:val="28"/>
          <w:szCs w:val="22"/>
          <w:lang w:val="en-US" w:eastAsia="zh-CN" w:bidi="ar-SA"/>
        </w:rPr>
      </w:pPr>
      <w:r>
        <w:rPr>
          <w:rFonts w:hint="eastAsia" w:eastAsiaTheme="minorEastAsia"/>
          <w:color w:val="auto"/>
          <w:lang w:val="en-US" w:eastAsia="zh-CN"/>
        </w:rPr>
        <w:drawing>
          <wp:inline distT="0" distB="0" distL="114300" distR="114300">
            <wp:extent cx="5754370" cy="8565515"/>
            <wp:effectExtent l="0" t="0" r="17780" b="6985"/>
            <wp:docPr id="1" name="图片 1" descr="兴宁市饮用水水源保护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兴宁市饮用水水源保护区分布图"/>
                    <pic:cNvPicPr>
                      <a:picLocks noChangeAspect="1"/>
                    </pic:cNvPicPr>
                  </pic:nvPicPr>
                  <pic:blipFill>
                    <a:blip r:embed="rId14"/>
                    <a:stretch>
                      <a:fillRect/>
                    </a:stretch>
                  </pic:blipFill>
                  <pic:spPr>
                    <a:xfrm>
                      <a:off x="0" y="0"/>
                      <a:ext cx="5754370" cy="8565515"/>
                    </a:xfrm>
                    <a:prstGeom prst="rect">
                      <a:avLst/>
                    </a:prstGeom>
                    <a:noFill/>
                    <a:ln>
                      <a:noFill/>
                    </a:ln>
                  </pic:spPr>
                </pic:pic>
              </a:graphicData>
            </a:graphic>
          </wp:inline>
        </w:drawing>
      </w:r>
    </w:p>
    <w:p w14:paraId="7F22E50F">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2BA1D112">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19" w:name="_Toc21404"/>
      <w:r>
        <w:rPr>
          <w:rFonts w:hint="eastAsia" w:ascii="Times New Roman" w:hAnsi="Times New Roman" w:eastAsia="仿宋_GB2312" w:cs="Times New Roman"/>
          <w:snapToGrid/>
          <w:color w:val="auto"/>
          <w:kern w:val="2"/>
          <w:sz w:val="28"/>
          <w:szCs w:val="22"/>
          <w:lang w:val="en-US" w:eastAsia="zh-CN" w:bidi="ar-SA"/>
        </w:rPr>
        <w:t>附图2 兴宁市自然保护地分布图</w:t>
      </w:r>
      <w:bookmarkEnd w:id="19"/>
    </w:p>
    <w:p w14:paraId="0656393A">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60085" cy="8575675"/>
            <wp:effectExtent l="0" t="0" r="12065" b="15875"/>
            <wp:docPr id="40" name="图片 40" descr="兴宁市自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兴宁市自然保护地分布图"/>
                    <pic:cNvPicPr>
                      <a:picLocks noChangeAspect="1"/>
                    </pic:cNvPicPr>
                  </pic:nvPicPr>
                  <pic:blipFill>
                    <a:blip r:embed="rId15"/>
                    <a:stretch>
                      <a:fillRect/>
                    </a:stretch>
                  </pic:blipFill>
                  <pic:spPr>
                    <a:xfrm>
                      <a:off x="0" y="0"/>
                      <a:ext cx="5760085" cy="8575675"/>
                    </a:xfrm>
                    <a:prstGeom prst="rect">
                      <a:avLst/>
                    </a:prstGeom>
                  </pic:spPr>
                </pic:pic>
              </a:graphicData>
            </a:graphic>
          </wp:inline>
        </w:drawing>
      </w:r>
    </w:p>
    <w:p w14:paraId="11BB331F">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19A75FE7">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20" w:name="_Toc23355"/>
      <w:r>
        <w:rPr>
          <w:rFonts w:hint="eastAsia" w:ascii="Times New Roman" w:hAnsi="Times New Roman" w:eastAsia="仿宋_GB2312" w:cs="Times New Roman"/>
          <w:snapToGrid/>
          <w:color w:val="auto"/>
          <w:kern w:val="2"/>
          <w:sz w:val="28"/>
          <w:szCs w:val="22"/>
          <w:lang w:val="en-US" w:eastAsia="zh-CN" w:bidi="ar-SA"/>
        </w:rPr>
        <w:t>附图3 兴宁市重要地表水体功能区分布图</w:t>
      </w:r>
      <w:bookmarkEnd w:id="20"/>
    </w:p>
    <w:p w14:paraId="2F38450C">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77230" cy="8600440"/>
            <wp:effectExtent l="0" t="0" r="13970" b="10160"/>
            <wp:docPr id="39" name="图片 39" descr="兴宁市重要地表水功能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兴宁市重要地表水功能区分布图"/>
                    <pic:cNvPicPr>
                      <a:picLocks noChangeAspect="1"/>
                    </pic:cNvPicPr>
                  </pic:nvPicPr>
                  <pic:blipFill>
                    <a:blip r:embed="rId16"/>
                    <a:stretch>
                      <a:fillRect/>
                    </a:stretch>
                  </pic:blipFill>
                  <pic:spPr>
                    <a:xfrm>
                      <a:off x="0" y="0"/>
                      <a:ext cx="5777230" cy="8600440"/>
                    </a:xfrm>
                    <a:prstGeom prst="rect">
                      <a:avLst/>
                    </a:prstGeom>
                  </pic:spPr>
                </pic:pic>
              </a:graphicData>
            </a:graphic>
          </wp:inline>
        </w:drawing>
      </w:r>
    </w:p>
    <w:p w14:paraId="3FBFEDC3">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39769B8F">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default" w:ascii="Times New Roman" w:hAnsi="Times New Roman" w:eastAsia="仿宋_GB2312" w:cs="Times New Roman"/>
          <w:snapToGrid/>
          <w:color w:val="auto"/>
          <w:kern w:val="2"/>
          <w:sz w:val="28"/>
          <w:szCs w:val="22"/>
          <w:lang w:val="en-US" w:eastAsia="zh-CN" w:bidi="ar-SA"/>
        </w:rPr>
      </w:pPr>
      <w:bookmarkStart w:id="21" w:name="_Toc12414"/>
      <w:r>
        <w:rPr>
          <w:rFonts w:hint="eastAsia" w:ascii="Times New Roman" w:hAnsi="Times New Roman" w:eastAsia="仿宋_GB2312" w:cs="Times New Roman"/>
          <w:snapToGrid/>
          <w:color w:val="auto"/>
          <w:kern w:val="2"/>
          <w:sz w:val="28"/>
          <w:szCs w:val="22"/>
          <w:lang w:val="en-US" w:eastAsia="zh-CN" w:bidi="ar-SA"/>
        </w:rPr>
        <w:t>附图4 兴宁市城镇开发边界分布图</w:t>
      </w:r>
      <w:bookmarkEnd w:id="21"/>
    </w:p>
    <w:p w14:paraId="2C4D8928">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82945" cy="8608060"/>
            <wp:effectExtent l="0" t="0" r="8255" b="2540"/>
            <wp:docPr id="38" name="图片 38" descr="兴宁市城镇开发边界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兴宁市城镇开发边界分布图"/>
                    <pic:cNvPicPr>
                      <a:picLocks noChangeAspect="1"/>
                    </pic:cNvPicPr>
                  </pic:nvPicPr>
                  <pic:blipFill>
                    <a:blip r:embed="rId17"/>
                    <a:stretch>
                      <a:fillRect/>
                    </a:stretch>
                  </pic:blipFill>
                  <pic:spPr>
                    <a:xfrm>
                      <a:off x="0" y="0"/>
                      <a:ext cx="5782945" cy="8608060"/>
                    </a:xfrm>
                    <a:prstGeom prst="rect">
                      <a:avLst/>
                    </a:prstGeom>
                  </pic:spPr>
                </pic:pic>
              </a:graphicData>
            </a:graphic>
          </wp:inline>
        </w:drawing>
      </w:r>
    </w:p>
    <w:p w14:paraId="5441BB77">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default" w:ascii="Times New Roman" w:hAnsi="Times New Roman" w:eastAsia="仿宋_GB2312" w:cs="Times New Roman"/>
          <w:snapToGrid/>
          <w:color w:val="auto"/>
          <w:kern w:val="2"/>
          <w:sz w:val="28"/>
          <w:szCs w:val="22"/>
          <w:lang w:val="en-US" w:eastAsia="zh-CN" w:bidi="ar-SA"/>
        </w:rPr>
      </w:pPr>
      <w:bookmarkStart w:id="22" w:name="_Toc324"/>
      <w:r>
        <w:rPr>
          <w:rFonts w:hint="eastAsia" w:ascii="Times New Roman" w:hAnsi="Times New Roman" w:eastAsia="仿宋_GB2312" w:cs="Times New Roman"/>
          <w:snapToGrid/>
          <w:color w:val="auto"/>
          <w:kern w:val="2"/>
          <w:sz w:val="28"/>
          <w:szCs w:val="22"/>
          <w:lang w:val="en-US" w:eastAsia="zh-CN" w:bidi="ar-SA"/>
        </w:rPr>
        <w:t>附图5 兴宁市主要工业园区分布图</w:t>
      </w:r>
      <w:bookmarkEnd w:id="22"/>
    </w:p>
    <w:p w14:paraId="3D3886E7">
      <w:pPr>
        <w:rPr>
          <w:rFonts w:hint="eastAsia" w:ascii="Times New Roman" w:hAnsi="Times New Roman" w:eastAsia="仿宋_GB2312" w:cs="Times New Roman"/>
          <w:snapToGrid/>
          <w:color w:val="auto"/>
          <w:kern w:val="2"/>
          <w:sz w:val="28"/>
          <w:szCs w:val="22"/>
          <w:lang w:val="en-US" w:eastAsia="zh-CN" w:bidi="ar-SA"/>
        </w:rPr>
      </w:pPr>
      <w:r>
        <w:rPr>
          <w:rFonts w:hint="eastAsia" w:eastAsiaTheme="minorEastAsia"/>
          <w:color w:val="auto"/>
          <w:lang w:val="en-US" w:eastAsia="zh-CN"/>
        </w:rPr>
        <w:drawing>
          <wp:inline distT="0" distB="0" distL="114300" distR="114300">
            <wp:extent cx="5783580" cy="8609330"/>
            <wp:effectExtent l="0" t="0" r="7620" b="1270"/>
            <wp:docPr id="10" name="图片 10" descr="兴宁市主要工业园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兴宁市主要工业园区分布图"/>
                    <pic:cNvPicPr>
                      <a:picLocks noChangeAspect="1"/>
                    </pic:cNvPicPr>
                  </pic:nvPicPr>
                  <pic:blipFill>
                    <a:blip r:embed="rId18"/>
                    <a:stretch>
                      <a:fillRect/>
                    </a:stretch>
                  </pic:blipFill>
                  <pic:spPr>
                    <a:xfrm>
                      <a:off x="0" y="0"/>
                      <a:ext cx="5783580" cy="8609330"/>
                    </a:xfrm>
                    <a:prstGeom prst="rect">
                      <a:avLst/>
                    </a:prstGeom>
                  </pic:spPr>
                </pic:pic>
              </a:graphicData>
            </a:graphic>
          </wp:inline>
        </w:drawing>
      </w:r>
    </w:p>
    <w:p w14:paraId="454A9330">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36EFFF65">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23" w:name="_Toc7798"/>
      <w:r>
        <w:rPr>
          <w:rFonts w:hint="eastAsia" w:ascii="Times New Roman" w:hAnsi="Times New Roman" w:eastAsia="仿宋_GB2312" w:cs="Times New Roman"/>
          <w:snapToGrid/>
          <w:color w:val="auto"/>
          <w:kern w:val="2"/>
          <w:sz w:val="28"/>
          <w:szCs w:val="22"/>
          <w:lang w:val="en-US" w:eastAsia="zh-CN" w:bidi="ar-SA"/>
        </w:rPr>
        <w:t>附图6 兴宁市永久基本农田保护区分布图</w:t>
      </w:r>
      <w:bookmarkEnd w:id="23"/>
    </w:p>
    <w:p w14:paraId="5A1C839C">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64530" cy="8582025"/>
            <wp:effectExtent l="0" t="0" r="7620" b="9525"/>
            <wp:docPr id="9" name="图片 9" descr="兴宁市永久基本农田保护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兴宁市永久基本农田保护区分布图"/>
                    <pic:cNvPicPr>
                      <a:picLocks noChangeAspect="1"/>
                    </pic:cNvPicPr>
                  </pic:nvPicPr>
                  <pic:blipFill>
                    <a:blip r:embed="rId19"/>
                    <a:stretch>
                      <a:fillRect/>
                    </a:stretch>
                  </pic:blipFill>
                  <pic:spPr>
                    <a:xfrm>
                      <a:off x="0" y="0"/>
                      <a:ext cx="5764530" cy="8582025"/>
                    </a:xfrm>
                    <a:prstGeom prst="rect">
                      <a:avLst/>
                    </a:prstGeom>
                  </pic:spPr>
                </pic:pic>
              </a:graphicData>
            </a:graphic>
          </wp:inline>
        </w:drawing>
      </w:r>
    </w:p>
    <w:p w14:paraId="6D328160">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073294ED">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24" w:name="_Toc21698"/>
      <w:r>
        <w:rPr>
          <w:rFonts w:hint="eastAsia" w:ascii="Times New Roman" w:hAnsi="Times New Roman" w:eastAsia="仿宋_GB2312" w:cs="Times New Roman"/>
          <w:snapToGrid/>
          <w:color w:val="auto"/>
          <w:kern w:val="2"/>
          <w:sz w:val="28"/>
          <w:szCs w:val="22"/>
          <w:lang w:val="en-US" w:eastAsia="zh-CN" w:bidi="ar-SA"/>
        </w:rPr>
        <w:t>附图7 兴宁市主要交通路网分布图</w:t>
      </w:r>
      <w:bookmarkEnd w:id="24"/>
    </w:p>
    <w:p w14:paraId="5E0ED515">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71515" cy="8592820"/>
            <wp:effectExtent l="0" t="0" r="635" b="17780"/>
            <wp:docPr id="8" name="图片 8" descr="兴宁市主要交通路网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兴宁市主要交通路网分布图"/>
                    <pic:cNvPicPr>
                      <a:picLocks noChangeAspect="1"/>
                    </pic:cNvPicPr>
                  </pic:nvPicPr>
                  <pic:blipFill>
                    <a:blip r:embed="rId20"/>
                    <a:stretch>
                      <a:fillRect/>
                    </a:stretch>
                  </pic:blipFill>
                  <pic:spPr>
                    <a:xfrm>
                      <a:off x="0" y="0"/>
                      <a:ext cx="5771515" cy="8592820"/>
                    </a:xfrm>
                    <a:prstGeom prst="rect">
                      <a:avLst/>
                    </a:prstGeom>
                  </pic:spPr>
                </pic:pic>
              </a:graphicData>
            </a:graphic>
          </wp:inline>
        </w:drawing>
      </w:r>
    </w:p>
    <w:p w14:paraId="449A8F03">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32DC9296">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25" w:name="_Toc4838"/>
      <w:r>
        <w:rPr>
          <w:rFonts w:hint="eastAsia" w:ascii="Times New Roman" w:hAnsi="Times New Roman" w:eastAsia="仿宋_GB2312" w:cs="Times New Roman"/>
          <w:snapToGrid/>
          <w:color w:val="auto"/>
          <w:kern w:val="2"/>
          <w:sz w:val="28"/>
          <w:szCs w:val="22"/>
          <w:lang w:val="en-US" w:eastAsia="zh-CN" w:bidi="ar-SA"/>
        </w:rPr>
        <w:t>附图8 兴宁市县级以上文物保护单位分布图</w:t>
      </w:r>
      <w:bookmarkEnd w:id="25"/>
    </w:p>
    <w:p w14:paraId="1A622983">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78500" cy="8602345"/>
            <wp:effectExtent l="0" t="0" r="12700" b="8255"/>
            <wp:docPr id="6" name="图片 6" descr="兴宁市县级以上文物保护单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兴宁市县级以上文物保护单位分布图"/>
                    <pic:cNvPicPr>
                      <a:picLocks noChangeAspect="1"/>
                    </pic:cNvPicPr>
                  </pic:nvPicPr>
                  <pic:blipFill>
                    <a:blip r:embed="rId21"/>
                    <a:stretch>
                      <a:fillRect/>
                    </a:stretch>
                  </pic:blipFill>
                  <pic:spPr>
                    <a:xfrm>
                      <a:off x="0" y="0"/>
                      <a:ext cx="5778500" cy="8602345"/>
                    </a:xfrm>
                    <a:prstGeom prst="rect">
                      <a:avLst/>
                    </a:prstGeom>
                  </pic:spPr>
                </pic:pic>
              </a:graphicData>
            </a:graphic>
          </wp:inline>
        </w:drawing>
      </w:r>
    </w:p>
    <w:p w14:paraId="5CD67CC9">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352F23CB">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26" w:name="_Toc21844"/>
      <w:r>
        <w:rPr>
          <w:rFonts w:hint="eastAsia" w:ascii="Times New Roman" w:hAnsi="Times New Roman" w:eastAsia="仿宋_GB2312" w:cs="Times New Roman"/>
          <w:snapToGrid/>
          <w:color w:val="auto"/>
          <w:kern w:val="2"/>
          <w:sz w:val="28"/>
          <w:szCs w:val="22"/>
          <w:lang w:val="en-US" w:eastAsia="zh-CN" w:bidi="ar-SA"/>
        </w:rPr>
        <w:t>附图9原兴宁市畜禽养殖禁养区分布图（2020版）</w:t>
      </w:r>
      <w:bookmarkEnd w:id="26"/>
    </w:p>
    <w:p w14:paraId="708B2857">
      <w:pPr>
        <w:keepNext w:val="0"/>
        <w:keepLines w:val="0"/>
        <w:pageBreakBefore w:val="0"/>
        <w:widowControl/>
        <w:kinsoku w:val="0"/>
        <w:wordWrap/>
        <w:overflowPunct/>
        <w:topLinePunct w:val="0"/>
        <w:autoSpaceDE w:val="0"/>
        <w:autoSpaceDN w:val="0"/>
        <w:bidi w:val="0"/>
        <w:adjustRightInd w:val="0"/>
        <w:snapToGrid w:val="0"/>
        <w:textAlignment w:val="baseline"/>
        <w:outlineLvl w:val="9"/>
        <w:rPr>
          <w:color w:val="auto"/>
          <w:position w:val="-238"/>
        </w:rPr>
      </w:pPr>
      <w:r>
        <w:rPr>
          <w:color w:val="auto"/>
          <w:position w:val="-238"/>
        </w:rPr>
        <w:drawing>
          <wp:inline distT="0" distB="0" distL="0" distR="0">
            <wp:extent cx="5606415" cy="8385810"/>
            <wp:effectExtent l="0" t="0" r="13335" b="15240"/>
            <wp:docPr id="7" name="IM 24"/>
            <wp:cNvGraphicFramePr/>
            <a:graphic xmlns:a="http://schemas.openxmlformats.org/drawingml/2006/main">
              <a:graphicData uri="http://schemas.openxmlformats.org/drawingml/2006/picture">
                <pic:pic xmlns:pic="http://schemas.openxmlformats.org/drawingml/2006/picture">
                  <pic:nvPicPr>
                    <pic:cNvPr id="7" name="IM 24"/>
                    <pic:cNvPicPr/>
                  </pic:nvPicPr>
                  <pic:blipFill>
                    <a:blip r:embed="rId22"/>
                    <a:stretch>
                      <a:fillRect/>
                    </a:stretch>
                  </pic:blipFill>
                  <pic:spPr>
                    <a:xfrm>
                      <a:off x="0" y="0"/>
                      <a:ext cx="5606415" cy="8385810"/>
                    </a:xfrm>
                    <a:prstGeom prst="rect">
                      <a:avLst/>
                    </a:prstGeom>
                  </pic:spPr>
                </pic:pic>
              </a:graphicData>
            </a:graphic>
          </wp:inline>
        </w:drawing>
      </w:r>
    </w:p>
    <w:p w14:paraId="1C37B22D">
      <w:pPr>
        <w:rPr>
          <w:color w:val="auto"/>
          <w:position w:val="-238"/>
        </w:rPr>
      </w:pPr>
      <w:r>
        <w:rPr>
          <w:color w:val="auto"/>
          <w:position w:val="-238"/>
        </w:rPr>
        <w:br w:type="page"/>
      </w:r>
    </w:p>
    <w:p w14:paraId="25EF0280">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27" w:name="_Toc30634"/>
      <w:r>
        <w:rPr>
          <w:rFonts w:hint="eastAsia" w:ascii="Times New Roman" w:hAnsi="Times New Roman" w:eastAsia="仿宋_GB2312" w:cs="Times New Roman"/>
          <w:snapToGrid/>
          <w:color w:val="auto"/>
          <w:kern w:val="2"/>
          <w:sz w:val="28"/>
          <w:szCs w:val="22"/>
          <w:lang w:val="en-US" w:eastAsia="zh-CN" w:bidi="ar-SA"/>
        </w:rPr>
        <w:t>附图10 兴宁市畜禽养殖禁养区分布图</w:t>
      </w:r>
      <w:bookmarkEnd w:id="27"/>
    </w:p>
    <w:p w14:paraId="48FECD6D">
      <w:pPr>
        <w:keepNext w:val="0"/>
        <w:keepLines w:val="0"/>
        <w:pageBreakBefore w:val="0"/>
        <w:widowControl/>
        <w:kinsoku w:val="0"/>
        <w:wordWrap/>
        <w:overflowPunct/>
        <w:topLinePunct w:val="0"/>
        <w:autoSpaceDE w:val="0"/>
        <w:autoSpaceDN w:val="0"/>
        <w:bidi w:val="0"/>
        <w:adjustRightInd w:val="0"/>
        <w:snapToGrid w:val="0"/>
        <w:textAlignment w:val="baseline"/>
        <w:outlineLvl w:val="9"/>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eastAsiaTheme="minorEastAsia"/>
          <w:color w:val="auto"/>
          <w:lang w:val="en-US" w:eastAsia="zh-CN"/>
        </w:rPr>
        <w:drawing>
          <wp:inline distT="0" distB="0" distL="114300" distR="114300">
            <wp:extent cx="5774690" cy="8596630"/>
            <wp:effectExtent l="0" t="0" r="16510" b="13970"/>
            <wp:docPr id="41" name="图片 41" descr="兴宁市畜禽养殖禁养区分布图（2025版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兴宁市畜禽养殖禁养区分布图（2025版5"/>
                    <pic:cNvPicPr>
                      <a:picLocks noChangeAspect="1"/>
                    </pic:cNvPicPr>
                  </pic:nvPicPr>
                  <pic:blipFill>
                    <a:blip r:embed="rId23"/>
                    <a:stretch>
                      <a:fillRect/>
                    </a:stretch>
                  </pic:blipFill>
                  <pic:spPr>
                    <a:xfrm>
                      <a:off x="0" y="0"/>
                      <a:ext cx="5774690" cy="8596630"/>
                    </a:xfrm>
                    <a:prstGeom prst="rect">
                      <a:avLst/>
                    </a:prstGeom>
                    <a:ln>
                      <a:noFill/>
                    </a:ln>
                  </pic:spPr>
                </pic:pic>
              </a:graphicData>
            </a:graphic>
          </wp:inline>
        </w:drawing>
      </w:r>
    </w:p>
    <w:p w14:paraId="7784F298">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28" w:name="_Toc29493"/>
      <w:r>
        <w:rPr>
          <w:rFonts w:hint="eastAsia" w:ascii="Times New Roman" w:hAnsi="Times New Roman" w:eastAsia="仿宋_GB2312" w:cs="Times New Roman"/>
          <w:snapToGrid/>
          <w:color w:val="auto"/>
          <w:kern w:val="2"/>
          <w:sz w:val="28"/>
          <w:szCs w:val="22"/>
          <w:lang w:val="en-US" w:eastAsia="zh-CN" w:bidi="ar-SA"/>
        </w:rPr>
        <w:t>附图11 兴田街道畜禽养殖禁养区分布图</w:t>
      </w:r>
      <w:bookmarkEnd w:id="28"/>
    </w:p>
    <w:p w14:paraId="71FC9C84">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43575" cy="8550910"/>
            <wp:effectExtent l="0" t="0" r="9525" b="2540"/>
            <wp:docPr id="42" name="图片 42" descr="兴宁市兴田街道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兴宁市兴田街道畜禽养殖禁养区分布图（6.16）"/>
                    <pic:cNvPicPr>
                      <a:picLocks noChangeAspect="1"/>
                    </pic:cNvPicPr>
                  </pic:nvPicPr>
                  <pic:blipFill>
                    <a:blip r:embed="rId24"/>
                    <a:stretch>
                      <a:fillRect/>
                    </a:stretch>
                  </pic:blipFill>
                  <pic:spPr>
                    <a:xfrm>
                      <a:off x="0" y="0"/>
                      <a:ext cx="5743575" cy="8550910"/>
                    </a:xfrm>
                    <a:prstGeom prst="rect">
                      <a:avLst/>
                    </a:prstGeom>
                  </pic:spPr>
                </pic:pic>
              </a:graphicData>
            </a:graphic>
          </wp:inline>
        </w:drawing>
      </w:r>
    </w:p>
    <w:p w14:paraId="490B5FD1">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0C56FC8C">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29" w:name="_Toc15007"/>
      <w:r>
        <w:rPr>
          <w:rFonts w:hint="eastAsia" w:ascii="Times New Roman" w:hAnsi="Times New Roman" w:eastAsia="仿宋_GB2312" w:cs="Times New Roman"/>
          <w:snapToGrid/>
          <w:color w:val="auto"/>
          <w:kern w:val="2"/>
          <w:sz w:val="28"/>
          <w:szCs w:val="22"/>
          <w:lang w:val="en-US" w:eastAsia="zh-CN" w:bidi="ar-SA"/>
        </w:rPr>
        <w:t>附图12 福兴街道畜禽养殖禁养区分布图</w:t>
      </w:r>
      <w:bookmarkEnd w:id="29"/>
    </w:p>
    <w:p w14:paraId="25BF3557">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67070" cy="8583930"/>
            <wp:effectExtent l="0" t="0" r="5080" b="7620"/>
            <wp:docPr id="43" name="图片 43" descr="兴宁市福兴街道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兴宁市福兴街道畜禽养殖禁养区分布图6.16"/>
                    <pic:cNvPicPr>
                      <a:picLocks noChangeAspect="1"/>
                    </pic:cNvPicPr>
                  </pic:nvPicPr>
                  <pic:blipFill>
                    <a:blip r:embed="rId25"/>
                    <a:stretch>
                      <a:fillRect/>
                    </a:stretch>
                  </pic:blipFill>
                  <pic:spPr>
                    <a:xfrm>
                      <a:off x="0" y="0"/>
                      <a:ext cx="5767070" cy="8583930"/>
                    </a:xfrm>
                    <a:prstGeom prst="rect">
                      <a:avLst/>
                    </a:prstGeom>
                  </pic:spPr>
                </pic:pic>
              </a:graphicData>
            </a:graphic>
          </wp:inline>
        </w:drawing>
      </w:r>
    </w:p>
    <w:p w14:paraId="06A51454">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1FD32928">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0" w:name="_Toc20787"/>
      <w:r>
        <w:rPr>
          <w:rFonts w:hint="eastAsia" w:ascii="Times New Roman" w:hAnsi="Times New Roman" w:eastAsia="仿宋_GB2312" w:cs="Times New Roman"/>
          <w:snapToGrid/>
          <w:color w:val="auto"/>
          <w:kern w:val="2"/>
          <w:sz w:val="28"/>
          <w:szCs w:val="22"/>
          <w:lang w:val="en-US" w:eastAsia="zh-CN" w:bidi="ar-SA"/>
        </w:rPr>
        <w:t>附图13 宁新街道畜禽养殖禁养区分布图</w:t>
      </w:r>
      <w:bookmarkEnd w:id="30"/>
    </w:p>
    <w:p w14:paraId="484CADCB">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80405" cy="8604885"/>
            <wp:effectExtent l="0" t="0" r="10795" b="5715"/>
            <wp:docPr id="44" name="图片 44" descr="兴宁市宁新街道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兴宁市宁新街道畜禽养殖禁养区分布图6.16"/>
                    <pic:cNvPicPr>
                      <a:picLocks noChangeAspect="1"/>
                    </pic:cNvPicPr>
                  </pic:nvPicPr>
                  <pic:blipFill>
                    <a:blip r:embed="rId26"/>
                    <a:stretch>
                      <a:fillRect/>
                    </a:stretch>
                  </pic:blipFill>
                  <pic:spPr>
                    <a:xfrm>
                      <a:off x="0" y="0"/>
                      <a:ext cx="5780405" cy="8604885"/>
                    </a:xfrm>
                    <a:prstGeom prst="rect">
                      <a:avLst/>
                    </a:prstGeom>
                  </pic:spPr>
                </pic:pic>
              </a:graphicData>
            </a:graphic>
          </wp:inline>
        </w:drawing>
      </w:r>
    </w:p>
    <w:p w14:paraId="202BDC70">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3C073755">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1" w:name="_Toc13873"/>
      <w:r>
        <w:rPr>
          <w:rFonts w:hint="eastAsia" w:ascii="Times New Roman" w:hAnsi="Times New Roman" w:eastAsia="仿宋_GB2312" w:cs="Times New Roman"/>
          <w:snapToGrid/>
          <w:color w:val="auto"/>
          <w:kern w:val="2"/>
          <w:sz w:val="28"/>
          <w:szCs w:val="22"/>
          <w:lang w:val="en-US" w:eastAsia="zh-CN" w:bidi="ar-SA"/>
        </w:rPr>
        <w:t>附图14 永和镇畜禽养殖禁养区分布图</w:t>
      </w:r>
      <w:bookmarkEnd w:id="31"/>
    </w:p>
    <w:p w14:paraId="0AFF5F6B">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65800" cy="8582660"/>
            <wp:effectExtent l="0" t="0" r="6350" b="8890"/>
            <wp:docPr id="45" name="图片 45" descr="兴宁市永和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兴宁市永和镇畜禽养殖禁养区分布图6.16"/>
                    <pic:cNvPicPr>
                      <a:picLocks noChangeAspect="1"/>
                    </pic:cNvPicPr>
                  </pic:nvPicPr>
                  <pic:blipFill>
                    <a:blip r:embed="rId27"/>
                    <a:stretch>
                      <a:fillRect/>
                    </a:stretch>
                  </pic:blipFill>
                  <pic:spPr>
                    <a:xfrm>
                      <a:off x="0" y="0"/>
                      <a:ext cx="5765800" cy="8582660"/>
                    </a:xfrm>
                    <a:prstGeom prst="rect">
                      <a:avLst/>
                    </a:prstGeom>
                  </pic:spPr>
                </pic:pic>
              </a:graphicData>
            </a:graphic>
          </wp:inline>
        </w:drawing>
      </w:r>
    </w:p>
    <w:p w14:paraId="48121462">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122D7ECE">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2" w:name="_Toc32632"/>
      <w:r>
        <w:rPr>
          <w:rFonts w:hint="eastAsia" w:ascii="Times New Roman" w:hAnsi="Times New Roman" w:eastAsia="仿宋_GB2312" w:cs="Times New Roman"/>
          <w:snapToGrid/>
          <w:color w:val="auto"/>
          <w:kern w:val="2"/>
          <w:sz w:val="28"/>
          <w:szCs w:val="22"/>
          <w:lang w:val="en-US" w:eastAsia="zh-CN" w:bidi="ar-SA"/>
        </w:rPr>
        <w:t>附图15 新圩镇畜禽养殖禁养区分布图</w:t>
      </w:r>
      <w:bookmarkEnd w:id="32"/>
    </w:p>
    <w:p w14:paraId="3145A079">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59450" cy="8572500"/>
            <wp:effectExtent l="0" t="0" r="12700" b="0"/>
            <wp:docPr id="46" name="图片 46" descr="兴宁市新圩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兴宁市新圩镇畜禽养殖禁养区分布图6.16"/>
                    <pic:cNvPicPr>
                      <a:picLocks noChangeAspect="1"/>
                    </pic:cNvPicPr>
                  </pic:nvPicPr>
                  <pic:blipFill>
                    <a:blip r:embed="rId28"/>
                    <a:stretch>
                      <a:fillRect/>
                    </a:stretch>
                  </pic:blipFill>
                  <pic:spPr>
                    <a:xfrm>
                      <a:off x="0" y="0"/>
                      <a:ext cx="5759450" cy="8572500"/>
                    </a:xfrm>
                    <a:prstGeom prst="rect">
                      <a:avLst/>
                    </a:prstGeom>
                  </pic:spPr>
                </pic:pic>
              </a:graphicData>
            </a:graphic>
          </wp:inline>
        </w:drawing>
      </w:r>
    </w:p>
    <w:p w14:paraId="01A9A693">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3" w:name="_Toc9100"/>
      <w:r>
        <w:rPr>
          <w:rFonts w:hint="eastAsia" w:ascii="Times New Roman" w:hAnsi="Times New Roman" w:eastAsia="仿宋_GB2312" w:cs="Times New Roman"/>
          <w:snapToGrid/>
          <w:color w:val="auto"/>
          <w:kern w:val="2"/>
          <w:sz w:val="28"/>
          <w:szCs w:val="22"/>
          <w:lang w:val="en-US" w:eastAsia="zh-CN" w:bidi="ar-SA"/>
        </w:rPr>
        <w:t>附图16 罗浮镇畜禽养殖禁养区分布图</w:t>
      </w:r>
      <w:bookmarkEnd w:id="33"/>
    </w:p>
    <w:p w14:paraId="0721033D">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51830" cy="8561705"/>
            <wp:effectExtent l="0" t="0" r="1270" b="10795"/>
            <wp:docPr id="47" name="图片 47" descr="兴宁市罗浮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兴宁市罗浮镇畜禽养殖禁养区分布图6.16"/>
                    <pic:cNvPicPr>
                      <a:picLocks noChangeAspect="1"/>
                    </pic:cNvPicPr>
                  </pic:nvPicPr>
                  <pic:blipFill>
                    <a:blip r:embed="rId29"/>
                    <a:stretch>
                      <a:fillRect/>
                    </a:stretch>
                  </pic:blipFill>
                  <pic:spPr>
                    <a:xfrm>
                      <a:off x="0" y="0"/>
                      <a:ext cx="5751830" cy="8561705"/>
                    </a:xfrm>
                    <a:prstGeom prst="rect">
                      <a:avLst/>
                    </a:prstGeom>
                  </pic:spPr>
                </pic:pic>
              </a:graphicData>
            </a:graphic>
          </wp:inline>
        </w:drawing>
      </w:r>
    </w:p>
    <w:p w14:paraId="3909BF91">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698A5088">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4" w:name="_Toc15751"/>
      <w:r>
        <w:rPr>
          <w:rFonts w:hint="eastAsia" w:ascii="Times New Roman" w:hAnsi="Times New Roman" w:eastAsia="仿宋_GB2312" w:cs="Times New Roman"/>
          <w:snapToGrid/>
          <w:color w:val="auto"/>
          <w:kern w:val="2"/>
          <w:sz w:val="28"/>
          <w:szCs w:val="22"/>
          <w:lang w:val="en-US" w:eastAsia="zh-CN" w:bidi="ar-SA"/>
        </w:rPr>
        <w:t>附图17 罗岗镇畜禽养殖禁养区分布图</w:t>
      </w:r>
      <w:bookmarkEnd w:id="34"/>
    </w:p>
    <w:p w14:paraId="5BDC56F2">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51830" cy="8561705"/>
            <wp:effectExtent l="0" t="0" r="1270" b="10795"/>
            <wp:docPr id="48" name="图片 48" descr="兴宁市罗岗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兴宁市罗岗镇畜禽养殖禁养区分布图6.16"/>
                    <pic:cNvPicPr>
                      <a:picLocks noChangeAspect="1"/>
                    </pic:cNvPicPr>
                  </pic:nvPicPr>
                  <pic:blipFill>
                    <a:blip r:embed="rId30"/>
                    <a:stretch>
                      <a:fillRect/>
                    </a:stretch>
                  </pic:blipFill>
                  <pic:spPr>
                    <a:xfrm>
                      <a:off x="0" y="0"/>
                      <a:ext cx="5751830" cy="8561705"/>
                    </a:xfrm>
                    <a:prstGeom prst="rect">
                      <a:avLst/>
                    </a:prstGeom>
                  </pic:spPr>
                </pic:pic>
              </a:graphicData>
            </a:graphic>
          </wp:inline>
        </w:drawing>
      </w:r>
    </w:p>
    <w:p w14:paraId="743A2EAC">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1B0FFAEF">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5" w:name="_Toc2852"/>
      <w:r>
        <w:rPr>
          <w:rFonts w:hint="eastAsia" w:ascii="Times New Roman" w:hAnsi="Times New Roman" w:eastAsia="仿宋_GB2312" w:cs="Times New Roman"/>
          <w:snapToGrid/>
          <w:color w:val="auto"/>
          <w:kern w:val="2"/>
          <w:sz w:val="28"/>
          <w:szCs w:val="22"/>
          <w:lang w:val="en-US" w:eastAsia="zh-CN" w:bidi="ar-SA"/>
        </w:rPr>
        <w:t>附图18 黄槐镇畜禽养殖禁养区分布图</w:t>
      </w:r>
      <w:bookmarkEnd w:id="35"/>
    </w:p>
    <w:p w14:paraId="1E664E70">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41035" cy="8545830"/>
            <wp:effectExtent l="0" t="0" r="12065" b="7620"/>
            <wp:docPr id="49" name="图片 49" descr="兴宁市黄槐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兴宁市黄槐镇畜禽养殖禁养区分布图6.16"/>
                    <pic:cNvPicPr>
                      <a:picLocks noChangeAspect="1"/>
                    </pic:cNvPicPr>
                  </pic:nvPicPr>
                  <pic:blipFill>
                    <a:blip r:embed="rId31"/>
                    <a:stretch>
                      <a:fillRect/>
                    </a:stretch>
                  </pic:blipFill>
                  <pic:spPr>
                    <a:xfrm>
                      <a:off x="0" y="0"/>
                      <a:ext cx="5741035" cy="8545830"/>
                    </a:xfrm>
                    <a:prstGeom prst="rect">
                      <a:avLst/>
                    </a:prstGeom>
                  </pic:spPr>
                </pic:pic>
              </a:graphicData>
            </a:graphic>
          </wp:inline>
        </w:drawing>
      </w:r>
    </w:p>
    <w:p w14:paraId="7C6F0E83">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5F8597C4">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6" w:name="_Toc1296"/>
      <w:r>
        <w:rPr>
          <w:rFonts w:hint="eastAsia" w:ascii="Times New Roman" w:hAnsi="Times New Roman" w:eastAsia="仿宋_GB2312" w:cs="Times New Roman"/>
          <w:snapToGrid/>
          <w:color w:val="auto"/>
          <w:kern w:val="2"/>
          <w:sz w:val="28"/>
          <w:szCs w:val="22"/>
          <w:lang w:val="en-US" w:eastAsia="zh-CN" w:bidi="ar-SA"/>
        </w:rPr>
        <w:t>附图19 龙田镇畜禽养殖禁养区分布图</w:t>
      </w:r>
      <w:bookmarkEnd w:id="36"/>
    </w:p>
    <w:p w14:paraId="2563E48D">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51195" cy="8560435"/>
            <wp:effectExtent l="0" t="0" r="1905" b="12065"/>
            <wp:docPr id="50" name="图片 50" descr="兴宁市龙田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兴宁市龙田镇畜禽养殖禁养区分布图6.16"/>
                    <pic:cNvPicPr>
                      <a:picLocks noChangeAspect="1"/>
                    </pic:cNvPicPr>
                  </pic:nvPicPr>
                  <pic:blipFill>
                    <a:blip r:embed="rId32"/>
                    <a:stretch>
                      <a:fillRect/>
                    </a:stretch>
                  </pic:blipFill>
                  <pic:spPr>
                    <a:xfrm>
                      <a:off x="0" y="0"/>
                      <a:ext cx="5751195" cy="8560435"/>
                    </a:xfrm>
                    <a:prstGeom prst="rect">
                      <a:avLst/>
                    </a:prstGeom>
                  </pic:spPr>
                </pic:pic>
              </a:graphicData>
            </a:graphic>
          </wp:inline>
        </w:drawing>
      </w:r>
    </w:p>
    <w:p w14:paraId="73A1437F">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2C80E74A">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7" w:name="_Toc3762"/>
      <w:r>
        <w:rPr>
          <w:rFonts w:hint="eastAsia" w:ascii="Times New Roman" w:hAnsi="Times New Roman" w:eastAsia="仿宋_GB2312" w:cs="Times New Roman"/>
          <w:snapToGrid/>
          <w:color w:val="auto"/>
          <w:kern w:val="2"/>
          <w:sz w:val="28"/>
          <w:szCs w:val="22"/>
          <w:lang w:val="en-US" w:eastAsia="zh-CN" w:bidi="ar-SA"/>
        </w:rPr>
        <w:t>附图20 石马镇畜禽养殖禁养区分布图</w:t>
      </w:r>
      <w:bookmarkEnd w:id="37"/>
    </w:p>
    <w:p w14:paraId="64A0C1AA">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67705" cy="8585200"/>
            <wp:effectExtent l="0" t="0" r="4445" b="6350"/>
            <wp:docPr id="51" name="图片 51" descr="兴宁市石马镇畜禽养殖禁养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兴宁市石马镇畜禽养殖禁养区分布图"/>
                    <pic:cNvPicPr>
                      <a:picLocks noChangeAspect="1"/>
                    </pic:cNvPicPr>
                  </pic:nvPicPr>
                  <pic:blipFill>
                    <a:blip r:embed="rId33"/>
                    <a:stretch>
                      <a:fillRect/>
                    </a:stretch>
                  </pic:blipFill>
                  <pic:spPr>
                    <a:xfrm>
                      <a:off x="0" y="0"/>
                      <a:ext cx="5767705" cy="8585200"/>
                    </a:xfrm>
                    <a:prstGeom prst="rect">
                      <a:avLst/>
                    </a:prstGeom>
                  </pic:spPr>
                </pic:pic>
              </a:graphicData>
            </a:graphic>
          </wp:inline>
        </w:drawing>
      </w:r>
    </w:p>
    <w:p w14:paraId="16ED1232">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5ACDC622">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8" w:name="_Toc27793"/>
      <w:r>
        <w:rPr>
          <w:rFonts w:hint="eastAsia" w:ascii="Times New Roman" w:hAnsi="Times New Roman" w:eastAsia="仿宋_GB2312" w:cs="Times New Roman"/>
          <w:snapToGrid/>
          <w:color w:val="auto"/>
          <w:kern w:val="2"/>
          <w:sz w:val="28"/>
          <w:szCs w:val="22"/>
          <w:lang w:val="en-US" w:eastAsia="zh-CN" w:bidi="ar-SA"/>
        </w:rPr>
        <w:t>附图21 宁中镇畜禽养殖禁养区分布图</w:t>
      </w:r>
      <w:bookmarkEnd w:id="38"/>
    </w:p>
    <w:p w14:paraId="5E72A3C8">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53735" cy="8564880"/>
            <wp:effectExtent l="0" t="0" r="18415" b="7620"/>
            <wp:docPr id="52" name="图片 52" descr="兴宁市宁中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兴宁市宁中镇畜禽养殖禁养区分布图6.16"/>
                    <pic:cNvPicPr>
                      <a:picLocks noChangeAspect="1"/>
                    </pic:cNvPicPr>
                  </pic:nvPicPr>
                  <pic:blipFill>
                    <a:blip r:embed="rId34"/>
                    <a:stretch>
                      <a:fillRect/>
                    </a:stretch>
                  </pic:blipFill>
                  <pic:spPr>
                    <a:xfrm>
                      <a:off x="0" y="0"/>
                      <a:ext cx="5753735" cy="8564880"/>
                    </a:xfrm>
                    <a:prstGeom prst="rect">
                      <a:avLst/>
                    </a:prstGeom>
                  </pic:spPr>
                </pic:pic>
              </a:graphicData>
            </a:graphic>
          </wp:inline>
        </w:drawing>
      </w:r>
    </w:p>
    <w:p w14:paraId="5971439C">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4064406B">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39" w:name="_Toc32722"/>
      <w:r>
        <w:rPr>
          <w:rFonts w:hint="eastAsia" w:ascii="Times New Roman" w:hAnsi="Times New Roman" w:eastAsia="仿宋_GB2312" w:cs="Times New Roman"/>
          <w:snapToGrid/>
          <w:color w:val="auto"/>
          <w:kern w:val="2"/>
          <w:sz w:val="28"/>
          <w:szCs w:val="22"/>
          <w:lang w:val="en-US" w:eastAsia="zh-CN" w:bidi="ar-SA"/>
        </w:rPr>
        <w:t>附图22 径南镇畜禽养殖禁养区分布图</w:t>
      </w:r>
      <w:bookmarkEnd w:id="39"/>
    </w:p>
    <w:p w14:paraId="49FA5DCF">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56275" cy="8568055"/>
            <wp:effectExtent l="0" t="0" r="15875" b="4445"/>
            <wp:docPr id="53" name="图片 53" descr="兴宁市径南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兴宁市径南镇畜禽养殖禁养区分布图6.16"/>
                    <pic:cNvPicPr>
                      <a:picLocks noChangeAspect="1"/>
                    </pic:cNvPicPr>
                  </pic:nvPicPr>
                  <pic:blipFill>
                    <a:blip r:embed="rId35"/>
                    <a:stretch>
                      <a:fillRect/>
                    </a:stretch>
                  </pic:blipFill>
                  <pic:spPr>
                    <a:xfrm>
                      <a:off x="0" y="0"/>
                      <a:ext cx="5756275" cy="8568055"/>
                    </a:xfrm>
                    <a:prstGeom prst="rect">
                      <a:avLst/>
                    </a:prstGeom>
                  </pic:spPr>
                </pic:pic>
              </a:graphicData>
            </a:graphic>
          </wp:inline>
        </w:drawing>
      </w:r>
    </w:p>
    <w:p w14:paraId="21CECA0B">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04C6E2F8">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40" w:name="_Toc10210"/>
      <w:r>
        <w:rPr>
          <w:rFonts w:hint="eastAsia" w:ascii="Times New Roman" w:hAnsi="Times New Roman" w:eastAsia="仿宋_GB2312" w:cs="Times New Roman"/>
          <w:snapToGrid/>
          <w:color w:val="auto"/>
          <w:kern w:val="2"/>
          <w:sz w:val="28"/>
          <w:szCs w:val="22"/>
          <w:lang w:val="en-US" w:eastAsia="zh-CN" w:bidi="ar-SA"/>
        </w:rPr>
        <w:t>附图23 坭陂镇畜禽养殖禁养区分布图</w:t>
      </w:r>
      <w:bookmarkEnd w:id="40"/>
    </w:p>
    <w:p w14:paraId="344C52F3">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68975" cy="8587740"/>
            <wp:effectExtent l="0" t="0" r="3175" b="3810"/>
            <wp:docPr id="54" name="图片 54" descr="兴宁市坭陂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兴宁市坭陂镇畜禽养殖禁养区分布图6.16"/>
                    <pic:cNvPicPr>
                      <a:picLocks noChangeAspect="1"/>
                    </pic:cNvPicPr>
                  </pic:nvPicPr>
                  <pic:blipFill>
                    <a:blip r:embed="rId36"/>
                    <a:stretch>
                      <a:fillRect/>
                    </a:stretch>
                  </pic:blipFill>
                  <pic:spPr>
                    <a:xfrm>
                      <a:off x="0" y="0"/>
                      <a:ext cx="5768975" cy="8587740"/>
                    </a:xfrm>
                    <a:prstGeom prst="rect">
                      <a:avLst/>
                    </a:prstGeom>
                  </pic:spPr>
                </pic:pic>
              </a:graphicData>
            </a:graphic>
          </wp:inline>
        </w:drawing>
      </w:r>
    </w:p>
    <w:p w14:paraId="0510BB34">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640F5082">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41" w:name="_Toc4332"/>
      <w:r>
        <w:rPr>
          <w:rFonts w:hint="eastAsia" w:ascii="Times New Roman" w:hAnsi="Times New Roman" w:eastAsia="仿宋_GB2312" w:cs="Times New Roman"/>
          <w:snapToGrid/>
          <w:color w:val="auto"/>
          <w:kern w:val="2"/>
          <w:sz w:val="28"/>
          <w:szCs w:val="22"/>
          <w:lang w:val="en-US" w:eastAsia="zh-CN" w:bidi="ar-SA"/>
        </w:rPr>
        <w:t>附图24 水口镇畜禽养殖禁养区分布图</w:t>
      </w:r>
      <w:bookmarkEnd w:id="41"/>
    </w:p>
    <w:p w14:paraId="731107F3">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75325" cy="8595995"/>
            <wp:effectExtent l="0" t="0" r="15875" b="14605"/>
            <wp:docPr id="55" name="图片 55" descr="兴宁市水口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兴宁市水口镇畜禽养殖禁养区分布图6.16"/>
                    <pic:cNvPicPr>
                      <a:picLocks noChangeAspect="1"/>
                    </pic:cNvPicPr>
                  </pic:nvPicPr>
                  <pic:blipFill>
                    <a:blip r:embed="rId37"/>
                    <a:stretch>
                      <a:fillRect/>
                    </a:stretch>
                  </pic:blipFill>
                  <pic:spPr>
                    <a:xfrm>
                      <a:off x="0" y="0"/>
                      <a:ext cx="5775325" cy="8595995"/>
                    </a:xfrm>
                    <a:prstGeom prst="rect">
                      <a:avLst/>
                    </a:prstGeom>
                  </pic:spPr>
                </pic:pic>
              </a:graphicData>
            </a:graphic>
          </wp:inline>
        </w:drawing>
      </w:r>
    </w:p>
    <w:p w14:paraId="04AF19C7">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61890131">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42" w:name="_Toc24080"/>
      <w:r>
        <w:rPr>
          <w:rFonts w:hint="eastAsia" w:ascii="Times New Roman" w:hAnsi="Times New Roman" w:eastAsia="仿宋_GB2312" w:cs="Times New Roman"/>
          <w:snapToGrid/>
          <w:color w:val="auto"/>
          <w:kern w:val="2"/>
          <w:sz w:val="28"/>
          <w:szCs w:val="22"/>
          <w:lang w:val="en-US" w:eastAsia="zh-CN" w:bidi="ar-SA"/>
        </w:rPr>
        <w:t>附图25 黄陂镇畜禽养殖禁养区分布图</w:t>
      </w:r>
      <w:bookmarkEnd w:id="42"/>
    </w:p>
    <w:p w14:paraId="48477F68">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48020" cy="8556625"/>
            <wp:effectExtent l="0" t="0" r="5080" b="15875"/>
            <wp:docPr id="56" name="图片 56" descr="兴宁市黄陂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兴宁市黄陂镇畜禽养殖禁养区分布图6.16"/>
                    <pic:cNvPicPr>
                      <a:picLocks noChangeAspect="1"/>
                    </pic:cNvPicPr>
                  </pic:nvPicPr>
                  <pic:blipFill>
                    <a:blip r:embed="rId38"/>
                    <a:stretch>
                      <a:fillRect/>
                    </a:stretch>
                  </pic:blipFill>
                  <pic:spPr>
                    <a:xfrm>
                      <a:off x="0" y="0"/>
                      <a:ext cx="5748020" cy="8556625"/>
                    </a:xfrm>
                    <a:prstGeom prst="rect">
                      <a:avLst/>
                    </a:prstGeom>
                  </pic:spPr>
                </pic:pic>
              </a:graphicData>
            </a:graphic>
          </wp:inline>
        </w:drawing>
      </w:r>
    </w:p>
    <w:p w14:paraId="1B0CB3CF">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7E75C08B">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43" w:name="_Toc6671"/>
      <w:r>
        <w:rPr>
          <w:rFonts w:hint="eastAsia" w:ascii="Times New Roman" w:hAnsi="Times New Roman" w:eastAsia="仿宋_GB2312" w:cs="Times New Roman"/>
          <w:snapToGrid/>
          <w:color w:val="auto"/>
          <w:kern w:val="2"/>
          <w:sz w:val="28"/>
          <w:szCs w:val="22"/>
          <w:lang w:val="en-US" w:eastAsia="zh-CN" w:bidi="ar-SA"/>
        </w:rPr>
        <w:t>附图26 合水镇畜禽养殖禁养区分布图</w:t>
      </w:r>
      <w:bookmarkEnd w:id="43"/>
    </w:p>
    <w:p w14:paraId="3A4CD661">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64530" cy="8581390"/>
            <wp:effectExtent l="0" t="0" r="7620" b="10160"/>
            <wp:docPr id="57" name="图片 57" descr="兴宁市合水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兴宁市合水镇畜禽养殖禁养区分布图6.16"/>
                    <pic:cNvPicPr>
                      <a:picLocks noChangeAspect="1"/>
                    </pic:cNvPicPr>
                  </pic:nvPicPr>
                  <pic:blipFill>
                    <a:blip r:embed="rId39"/>
                    <a:stretch>
                      <a:fillRect/>
                    </a:stretch>
                  </pic:blipFill>
                  <pic:spPr>
                    <a:xfrm>
                      <a:off x="0" y="0"/>
                      <a:ext cx="5764530" cy="8581390"/>
                    </a:xfrm>
                    <a:prstGeom prst="rect">
                      <a:avLst/>
                    </a:prstGeom>
                  </pic:spPr>
                </pic:pic>
              </a:graphicData>
            </a:graphic>
          </wp:inline>
        </w:drawing>
      </w:r>
    </w:p>
    <w:p w14:paraId="32607488">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1E0908D3">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44" w:name="_Toc1853"/>
      <w:r>
        <w:rPr>
          <w:rFonts w:hint="eastAsia" w:ascii="Times New Roman" w:hAnsi="Times New Roman" w:eastAsia="仿宋_GB2312" w:cs="Times New Roman"/>
          <w:snapToGrid/>
          <w:color w:val="auto"/>
          <w:kern w:val="2"/>
          <w:sz w:val="28"/>
          <w:szCs w:val="22"/>
          <w:lang w:val="en-US" w:eastAsia="zh-CN" w:bidi="ar-SA"/>
        </w:rPr>
        <w:t>附图27 大坪镇畜禽养殖禁养区分布图</w:t>
      </w:r>
      <w:bookmarkEnd w:id="44"/>
    </w:p>
    <w:p w14:paraId="3F3B61C7">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59450" cy="8572500"/>
            <wp:effectExtent l="0" t="0" r="12700" b="0"/>
            <wp:docPr id="58" name="图片 58" descr="兴宁市大坪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兴宁市大坪镇畜禽养殖禁养区分布图6.16"/>
                    <pic:cNvPicPr>
                      <a:picLocks noChangeAspect="1"/>
                    </pic:cNvPicPr>
                  </pic:nvPicPr>
                  <pic:blipFill>
                    <a:blip r:embed="rId40"/>
                    <a:stretch>
                      <a:fillRect/>
                    </a:stretch>
                  </pic:blipFill>
                  <pic:spPr>
                    <a:xfrm>
                      <a:off x="0" y="0"/>
                      <a:ext cx="5759450" cy="8572500"/>
                    </a:xfrm>
                    <a:prstGeom prst="rect">
                      <a:avLst/>
                    </a:prstGeom>
                  </pic:spPr>
                </pic:pic>
              </a:graphicData>
            </a:graphic>
          </wp:inline>
        </w:drawing>
      </w:r>
    </w:p>
    <w:p w14:paraId="42B00929">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4A37025B">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45" w:name="_Toc31199"/>
      <w:r>
        <w:rPr>
          <w:rFonts w:hint="eastAsia" w:ascii="Times New Roman" w:hAnsi="Times New Roman" w:eastAsia="仿宋_GB2312" w:cs="Times New Roman"/>
          <w:snapToGrid/>
          <w:color w:val="auto"/>
          <w:kern w:val="2"/>
          <w:sz w:val="28"/>
          <w:szCs w:val="22"/>
          <w:lang w:val="en-US" w:eastAsia="zh-CN" w:bidi="ar-SA"/>
        </w:rPr>
        <w:t>附图28 叶塘镇畜禽养殖禁养区分布图</w:t>
      </w:r>
      <w:bookmarkEnd w:id="45"/>
    </w:p>
    <w:p w14:paraId="47F61E20">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75325" cy="8595995"/>
            <wp:effectExtent l="0" t="0" r="15875" b="14605"/>
            <wp:docPr id="59" name="图片 59" descr="兴宁市叶塘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兴宁市叶塘镇畜禽养殖禁养区分布图6.16"/>
                    <pic:cNvPicPr>
                      <a:picLocks noChangeAspect="1"/>
                    </pic:cNvPicPr>
                  </pic:nvPicPr>
                  <pic:blipFill>
                    <a:blip r:embed="rId41"/>
                    <a:stretch>
                      <a:fillRect/>
                    </a:stretch>
                  </pic:blipFill>
                  <pic:spPr>
                    <a:xfrm>
                      <a:off x="0" y="0"/>
                      <a:ext cx="5775325" cy="8595995"/>
                    </a:xfrm>
                    <a:prstGeom prst="rect">
                      <a:avLst/>
                    </a:prstGeom>
                  </pic:spPr>
                </pic:pic>
              </a:graphicData>
            </a:graphic>
          </wp:inline>
        </w:drawing>
      </w:r>
    </w:p>
    <w:p w14:paraId="24F6DF0B">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1FC7D546">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46" w:name="_Toc23138"/>
      <w:r>
        <w:rPr>
          <w:rFonts w:hint="eastAsia" w:ascii="Times New Roman" w:hAnsi="Times New Roman" w:eastAsia="仿宋_GB2312" w:cs="Times New Roman"/>
          <w:snapToGrid/>
          <w:color w:val="auto"/>
          <w:kern w:val="2"/>
          <w:sz w:val="28"/>
          <w:szCs w:val="22"/>
          <w:lang w:val="en-US" w:eastAsia="zh-CN" w:bidi="ar-SA"/>
        </w:rPr>
        <w:t>附图29 新陂镇畜禽养殖禁养区分布图</w:t>
      </w:r>
      <w:bookmarkEnd w:id="46"/>
    </w:p>
    <w:p w14:paraId="1C737005">
      <w:pPr>
        <w:keepNext w:val="0"/>
        <w:keepLines w:val="0"/>
        <w:pageBreakBefore w:val="0"/>
        <w:widowControl/>
        <w:kinsoku w:val="0"/>
        <w:wordWrap/>
        <w:overflowPunct/>
        <w:topLinePunct w:val="0"/>
        <w:autoSpaceDE w:val="0"/>
        <w:autoSpaceDN w:val="0"/>
        <w:bidi w:val="0"/>
        <w:adjustRightInd w:val="0"/>
        <w:snapToGrid w:val="0"/>
        <w:textAlignment w:val="baseline"/>
        <w:outlineLvl w:val="9"/>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46750" cy="8554720"/>
            <wp:effectExtent l="0" t="0" r="6350" b="17780"/>
            <wp:docPr id="60" name="图片 60" descr="兴宁市新陂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兴宁市新陂镇畜禽养殖禁养区分布图6.16"/>
                    <pic:cNvPicPr>
                      <a:picLocks noChangeAspect="1"/>
                    </pic:cNvPicPr>
                  </pic:nvPicPr>
                  <pic:blipFill>
                    <a:blip r:embed="rId42"/>
                    <a:stretch>
                      <a:fillRect/>
                    </a:stretch>
                  </pic:blipFill>
                  <pic:spPr>
                    <a:xfrm>
                      <a:off x="0" y="0"/>
                      <a:ext cx="5746750" cy="8554720"/>
                    </a:xfrm>
                    <a:prstGeom prst="rect">
                      <a:avLst/>
                    </a:prstGeom>
                  </pic:spPr>
                </pic:pic>
              </a:graphicData>
            </a:graphic>
          </wp:inline>
        </w:drawing>
      </w:r>
    </w:p>
    <w:p w14:paraId="78A3CD1A">
      <w:pPr>
        <w:rPr>
          <w:rFonts w:hint="eastAsia" w:ascii="Times New Roman" w:hAnsi="Times New Roman" w:eastAsia="仿宋_GB2312" w:cs="Times New Roman"/>
          <w:snapToGrid/>
          <w:color w:val="auto"/>
          <w:kern w:val="2"/>
          <w:sz w:val="28"/>
          <w:szCs w:val="22"/>
          <w:lang w:val="en-US" w:eastAsia="zh-CN" w:bidi="ar-SA"/>
        </w:rPr>
        <w:sectPr>
          <w:pgSz w:w="11906" w:h="16838"/>
          <w:pgMar w:top="1440" w:right="1800" w:bottom="1440" w:left="1800" w:header="851" w:footer="992" w:gutter="0"/>
          <w:pgNumType w:fmt="decimal"/>
          <w:cols w:space="425" w:num="1"/>
          <w:docGrid w:type="lines" w:linePitch="312" w:charSpace="0"/>
        </w:sectPr>
      </w:pPr>
    </w:p>
    <w:p w14:paraId="2FAA4C47">
      <w:pPr>
        <w:keepNext w:val="0"/>
        <w:keepLines w:val="0"/>
        <w:pageBreakBefore w:val="0"/>
        <w:widowControl/>
        <w:kinsoku w:val="0"/>
        <w:wordWrap/>
        <w:overflowPunct/>
        <w:topLinePunct w:val="0"/>
        <w:autoSpaceDE w:val="0"/>
        <w:autoSpaceDN w:val="0"/>
        <w:bidi w:val="0"/>
        <w:adjustRightInd w:val="0"/>
        <w:snapToGrid w:val="0"/>
        <w:textAlignment w:val="baseline"/>
        <w:outlineLvl w:val="0"/>
        <w:rPr>
          <w:rFonts w:hint="eastAsia" w:ascii="Times New Roman" w:hAnsi="Times New Roman" w:eastAsia="仿宋_GB2312" w:cs="Times New Roman"/>
          <w:snapToGrid/>
          <w:color w:val="auto"/>
          <w:kern w:val="2"/>
          <w:sz w:val="28"/>
          <w:szCs w:val="22"/>
          <w:lang w:val="en-US" w:eastAsia="zh-CN" w:bidi="ar-SA"/>
        </w:rPr>
      </w:pPr>
      <w:bookmarkStart w:id="47" w:name="_Toc6863"/>
      <w:r>
        <w:rPr>
          <w:rFonts w:hint="eastAsia" w:ascii="Times New Roman" w:hAnsi="Times New Roman" w:eastAsia="仿宋_GB2312" w:cs="Times New Roman"/>
          <w:snapToGrid/>
          <w:color w:val="auto"/>
          <w:kern w:val="2"/>
          <w:sz w:val="28"/>
          <w:szCs w:val="22"/>
          <w:lang w:val="en-US" w:eastAsia="zh-CN" w:bidi="ar-SA"/>
        </w:rPr>
        <w:t>附图30 刁坊镇畜禽养殖禁养区分布图</w:t>
      </w:r>
      <w:bookmarkEnd w:id="47"/>
    </w:p>
    <w:p w14:paraId="2DFA6FC7">
      <w:pPr>
        <w:rPr>
          <w:rFonts w:hint="eastAsia" w:ascii="Times New Roman" w:hAnsi="Times New Roman" w:eastAsia="仿宋_GB2312" w:cs="Times New Roman"/>
          <w:snapToGrid/>
          <w:color w:val="auto"/>
          <w:kern w:val="2"/>
          <w:sz w:val="28"/>
          <w:szCs w:val="22"/>
          <w:lang w:val="en-US" w:eastAsia="zh-CN" w:bidi="ar-SA"/>
        </w:rPr>
      </w:pPr>
      <w:r>
        <w:rPr>
          <w:rFonts w:hint="eastAsia" w:ascii="Times New Roman" w:hAnsi="Times New Roman" w:eastAsia="仿宋_GB2312" w:cs="Times New Roman"/>
          <w:snapToGrid/>
          <w:color w:val="auto"/>
          <w:kern w:val="2"/>
          <w:sz w:val="28"/>
          <w:szCs w:val="22"/>
          <w:lang w:val="en-US" w:eastAsia="zh-CN" w:bidi="ar-SA"/>
        </w:rPr>
        <w:drawing>
          <wp:inline distT="0" distB="0" distL="114300" distR="114300">
            <wp:extent cx="5752465" cy="8562975"/>
            <wp:effectExtent l="0" t="0" r="635" b="9525"/>
            <wp:docPr id="61" name="图片 61" descr="兴宁市刁坊镇畜禽养殖禁养区分布图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兴宁市刁坊镇畜禽养殖禁养区分布图6.16"/>
                    <pic:cNvPicPr>
                      <a:picLocks noChangeAspect="1"/>
                    </pic:cNvPicPr>
                  </pic:nvPicPr>
                  <pic:blipFill>
                    <a:blip r:embed="rId43"/>
                    <a:stretch>
                      <a:fillRect/>
                    </a:stretch>
                  </pic:blipFill>
                  <pic:spPr>
                    <a:xfrm>
                      <a:off x="0" y="0"/>
                      <a:ext cx="5752465" cy="8562975"/>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7E378">
    <w:pPr>
      <w:spacing w:line="167" w:lineRule="auto"/>
      <w:ind w:left="4411"/>
      <w:rPr>
        <w:rFonts w:ascii="Calibri" w:hAnsi="Calibri" w:eastAsia="Calibri" w:cs="Calibri"/>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858F2">
    <w:pPr>
      <w:spacing w:line="167" w:lineRule="auto"/>
      <w:ind w:left="4411"/>
      <w:rPr>
        <w:rFonts w:ascii="Calibri" w:hAnsi="Calibri" w:eastAsia="Calibri" w:cs="Calibr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535CD">
    <w:pPr>
      <w:spacing w:line="167" w:lineRule="auto"/>
      <w:ind w:left="4411"/>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5FEC4">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675FEC4">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91BD8">
    <w:pPr>
      <w:spacing w:line="167" w:lineRule="auto"/>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4E4D5">
                          <w:pPr>
                            <w:pStyle w:val="6"/>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C94E4D5">
                    <w:pPr>
                      <w:pStyle w:val="6"/>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F13B4">
    <w:pPr>
      <w:spacing w:line="167" w:lineRule="auto"/>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0BF07">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370BF07">
                    <w:pPr>
                      <w:pStyle w:val="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38211">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E84CB">
                          <w:pPr>
                            <w:pStyle w:val="6"/>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A3E84CB">
                    <w:pPr>
                      <w:pStyle w:val="6"/>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5017F">
    <w:pPr>
      <w:spacing w:line="167" w:lineRule="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160BA">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F5160BA">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D2B26">
    <w:pPr>
      <w:spacing w:line="167" w:lineRule="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C3C1B">
                          <w:pPr>
                            <w:pStyle w:val="6"/>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E9C3C1B">
                    <w:pPr>
                      <w:pStyle w:val="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7C1C43"/>
    <w:rsid w:val="004E380B"/>
    <w:rsid w:val="007E48AA"/>
    <w:rsid w:val="008C334D"/>
    <w:rsid w:val="025846BF"/>
    <w:rsid w:val="0C6E07CA"/>
    <w:rsid w:val="0CE22266"/>
    <w:rsid w:val="0DD140AE"/>
    <w:rsid w:val="0E1C78AB"/>
    <w:rsid w:val="0E5B278B"/>
    <w:rsid w:val="11780093"/>
    <w:rsid w:val="1AF97ED7"/>
    <w:rsid w:val="1DA226D7"/>
    <w:rsid w:val="1E143321"/>
    <w:rsid w:val="1F0D3A40"/>
    <w:rsid w:val="2339711C"/>
    <w:rsid w:val="2375081D"/>
    <w:rsid w:val="2441449C"/>
    <w:rsid w:val="24D66128"/>
    <w:rsid w:val="25046AF9"/>
    <w:rsid w:val="27515FB3"/>
    <w:rsid w:val="33A9195E"/>
    <w:rsid w:val="348E5ECB"/>
    <w:rsid w:val="35055261"/>
    <w:rsid w:val="352D08E2"/>
    <w:rsid w:val="35327A33"/>
    <w:rsid w:val="35330246"/>
    <w:rsid w:val="36E42EC4"/>
    <w:rsid w:val="37B95F2A"/>
    <w:rsid w:val="39BA42D4"/>
    <w:rsid w:val="39C22182"/>
    <w:rsid w:val="3AF17846"/>
    <w:rsid w:val="3B6F0883"/>
    <w:rsid w:val="3D764095"/>
    <w:rsid w:val="3E7C1C43"/>
    <w:rsid w:val="41484C0F"/>
    <w:rsid w:val="41E838FF"/>
    <w:rsid w:val="457404EC"/>
    <w:rsid w:val="482C615D"/>
    <w:rsid w:val="49056DD7"/>
    <w:rsid w:val="495114A5"/>
    <w:rsid w:val="49E50E75"/>
    <w:rsid w:val="4D3D3050"/>
    <w:rsid w:val="4DD92A5B"/>
    <w:rsid w:val="4E1C7FB7"/>
    <w:rsid w:val="4E597666"/>
    <w:rsid w:val="4ED04F5B"/>
    <w:rsid w:val="523B04C9"/>
    <w:rsid w:val="53014EEA"/>
    <w:rsid w:val="55A93180"/>
    <w:rsid w:val="5794675D"/>
    <w:rsid w:val="57FD57CF"/>
    <w:rsid w:val="59713027"/>
    <w:rsid w:val="5988152F"/>
    <w:rsid w:val="59CE2FBF"/>
    <w:rsid w:val="5AD67A02"/>
    <w:rsid w:val="5EE0183E"/>
    <w:rsid w:val="5FFB3EA5"/>
    <w:rsid w:val="642C15E7"/>
    <w:rsid w:val="64B863BB"/>
    <w:rsid w:val="655F547D"/>
    <w:rsid w:val="67955879"/>
    <w:rsid w:val="6EC61B12"/>
    <w:rsid w:val="7294672D"/>
    <w:rsid w:val="75A82C1C"/>
    <w:rsid w:val="766D7DC9"/>
    <w:rsid w:val="78C532E5"/>
    <w:rsid w:val="7926147A"/>
    <w:rsid w:val="7BD64FE4"/>
    <w:rsid w:val="7C842768"/>
    <w:rsid w:val="7E6F3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240" w:after="240"/>
      <w:ind w:firstLine="0" w:firstLineChars="0"/>
      <w:outlineLvl w:val="0"/>
    </w:pPr>
    <w:rPr>
      <w:rFonts w:ascii="Arial" w:hAnsi="Arial" w:eastAsia="黑体"/>
      <w:bCs/>
      <w:kern w:val="44"/>
      <w:sz w:val="36"/>
      <w:szCs w:val="44"/>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semiHidden/>
    <w:qFormat/>
    <w:uiPriority w:val="0"/>
    <w:rPr>
      <w:rFonts w:ascii="仿宋" w:hAnsi="仿宋" w:eastAsia="仿宋" w:cs="仿宋"/>
      <w:sz w:val="31"/>
      <w:szCs w:val="31"/>
      <w:lang w:val="en-US" w:eastAsia="en-US"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Subtitle"/>
    <w:basedOn w:val="1"/>
    <w:next w:val="1"/>
    <w:qFormat/>
    <w:uiPriority w:val="11"/>
    <w:pPr>
      <w:ind w:firstLine="0" w:firstLineChars="0"/>
      <w:jc w:val="center"/>
    </w:pPr>
    <w:rPr>
      <w:rFonts w:eastAsiaTheme="majorEastAsia" w:cstheme="majorBidi"/>
      <w:b/>
    </w:rPr>
  </w:style>
  <w:style w:type="table" w:styleId="11">
    <w:name w:val="Table Grid"/>
    <w:basedOn w:val="10"/>
    <w:qFormat/>
    <w:uiPriority w:val="39"/>
    <w:pPr>
      <w:widowControl w:val="0"/>
      <w:spacing w:line="560" w:lineRule="exact"/>
      <w:ind w:firstLine="200" w:firstLineChars="20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paragraph" w:customStyle="1" w:styleId="14">
    <w:name w:val="表格内"/>
    <w:basedOn w:val="9"/>
    <w:qFormat/>
    <w:uiPriority w:val="0"/>
    <w:pPr>
      <w:widowControl/>
      <w:jc w:val="center"/>
    </w:pPr>
    <w:rPr>
      <w:rFonts w:ascii="Times New Roman" w:hAnsi="Times New Roman" w:eastAsia="宋体" w:cs="Times New Roman"/>
      <w:sz w:val="21"/>
      <w:szCs w:val="24"/>
      <w:lang w:eastAsia="zh-CN"/>
    </w:rPr>
  </w:style>
  <w:style w:type="paragraph" w:customStyle="1" w:styleId="15">
    <w:name w:val="Table Paragraph"/>
    <w:basedOn w:val="1"/>
    <w:qFormat/>
    <w:uiPriority w:val="1"/>
  </w:style>
  <w:style w:type="paragraph" w:customStyle="1" w:styleId="16">
    <w:name w:val="图片格式"/>
    <w:basedOn w:val="1"/>
    <w:qFormat/>
    <w:uiPriority w:val="0"/>
    <w:pPr>
      <w:jc w:val="center"/>
    </w:pPr>
    <w:rPr>
      <w:rFonts w:ascii="Times New Roman" w:hAnsi="Times New Roman"/>
      <w:color w:val="000000"/>
      <w:kern w:val="2"/>
      <w:sz w:val="24"/>
      <w:lang w:eastAsia="zh-CN"/>
    </w:rPr>
  </w:style>
  <w:style w:type="paragraph" w:customStyle="1" w:styleId="17">
    <w:name w:val="表格标题"/>
    <w:basedOn w:val="1"/>
    <w:qFormat/>
    <w:uiPriority w:val="0"/>
    <w:pPr>
      <w:spacing w:line="360" w:lineRule="auto"/>
      <w:jc w:val="center"/>
    </w:pPr>
    <w:rPr>
      <w:rFonts w:ascii="Times New Roman" w:hAnsi="Times New Roman"/>
      <w:b/>
      <w:color w:val="000000"/>
      <w:kern w:val="2"/>
      <w:sz w:val="24"/>
      <w:lang w:eastAsia="zh-CN"/>
    </w:rPr>
  </w:style>
  <w:style w:type="paragraph" w:customStyle="1" w:styleId="18">
    <w:name w:val="Table Text"/>
    <w:basedOn w:val="1"/>
    <w:semiHidden/>
    <w:qFormat/>
    <w:uiPriority w:val="0"/>
    <w:rPr>
      <w:rFonts w:ascii="仿宋" w:hAnsi="仿宋" w:eastAsia="仿宋" w:cs="仿宋"/>
      <w:sz w:val="22"/>
      <w:szCs w:val="22"/>
      <w:lang w:val="en-US" w:eastAsia="en-US" w:bidi="ar-SA"/>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编制说明正文"/>
    <w:qFormat/>
    <w:uiPriority w:val="0"/>
    <w:pPr>
      <w:ind w:firstLine="200" w:firstLineChars="200"/>
      <w:jc w:val="both"/>
    </w:pPr>
    <w:rPr>
      <w:rFonts w:ascii="Times New Roman" w:hAnsi="Times New Roman" w:eastAsia="仿宋" w:cstheme="minorBidi"/>
      <w:kern w:val="2"/>
      <w:sz w:val="32"/>
      <w:szCs w:val="22"/>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980</Words>
  <Characters>1059</Characters>
  <Lines>0</Lines>
  <Paragraphs>0</Paragraphs>
  <TotalTime>1</TotalTime>
  <ScaleCrop>false</ScaleCrop>
  <LinksUpToDate>false</LinksUpToDate>
  <CharactersWithSpaces>1252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2025-02-12T07:31:00Z</dcterms:created>
  <dc:creator>廖卓新</dc:creator>
  <cp:lastModifiedBy>曾宇龙</cp:lastModifiedBy>
  <dcterms:modified xsi:type="dcterms:W3CDTF">2025-08-12T00:57:03Z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B0D76F0F0FAF48BFA32269836A37B0C3_13</vt:lpwstr>
  </property>
  <property fmtid="{D5CDD505-2E9C-101B-9397-08002B2CF9AE}" pid="4" name="KSOTemplateDocerSaveRecord">
    <vt:lpwstr>eyJoZGlkIjoiNmUwMDcxOWMxYTVlMjczYmMzZDU4NWJmMzA2OWZmNjAiLCJ1c2VySWQiOiIxNjQ0MTc1ODc1In0=</vt:lpwstr>
  </property>
</Properties>
</file>