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spacing w:afterLines="50" w:line="40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1</w:t>
      </w:r>
    </w:p>
    <w:p>
      <w:pPr>
        <w:pStyle w:val="43"/>
        <w:spacing w:line="560" w:lineRule="exact"/>
        <w:jc w:val="center"/>
        <w:rPr>
          <w:rFonts w:ascii="长城大标宋体" w:hAnsi="黑体" w:eastAsia="长城大标宋体" w:cs="黑体"/>
          <w:sz w:val="44"/>
          <w:szCs w:val="44"/>
          <w:shd w:val="clear" w:color="auto" w:fill="FFFFFF"/>
        </w:rPr>
      </w:pPr>
      <w:r>
        <w:rPr>
          <w:rFonts w:hint="eastAsia" w:ascii="长城大标宋体" w:hAnsi="黑体" w:eastAsia="长城大标宋体" w:cs="黑体"/>
          <w:sz w:val="44"/>
          <w:szCs w:val="44"/>
          <w:shd w:val="clear" w:color="auto" w:fill="FFFFFF"/>
        </w:rPr>
        <w:t>兴宁市松材线虫病疫情防控五年攻坚行动</w:t>
      </w:r>
    </w:p>
    <w:p>
      <w:pPr>
        <w:pStyle w:val="43"/>
        <w:spacing w:afterLines="50" w:line="560" w:lineRule="exact"/>
        <w:jc w:val="center"/>
        <w:rPr>
          <w:rFonts w:ascii="长城大标宋体" w:hAnsi="黑体" w:eastAsia="长城大标宋体" w:cs="黑体"/>
          <w:sz w:val="44"/>
          <w:szCs w:val="44"/>
          <w:shd w:val="clear" w:color="auto" w:fill="FFFFFF"/>
        </w:rPr>
      </w:pPr>
      <w:r>
        <w:rPr>
          <w:rFonts w:hint="eastAsia" w:ascii="长城大标宋体" w:hAnsi="黑体" w:eastAsia="长城大标宋体" w:cs="黑体"/>
          <w:sz w:val="44"/>
          <w:szCs w:val="44"/>
          <w:shd w:val="clear" w:color="auto" w:fill="FFFFFF"/>
        </w:rPr>
        <w:t>总体目标表</w:t>
      </w:r>
    </w:p>
    <w:tbl>
      <w:tblPr>
        <w:tblStyle w:val="28"/>
        <w:tblW w:w="9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442"/>
        <w:gridCol w:w="1447"/>
        <w:gridCol w:w="1437"/>
        <w:gridCol w:w="1639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shd w:val="clear" w:color="auto" w:fill="FFFFFF"/>
              </w:rPr>
              <w:t>“十四五”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末控制目标</w:t>
            </w:r>
          </w:p>
        </w:tc>
        <w:tc>
          <w:tcPr>
            <w:tcW w:w="5047" w:type="dxa"/>
            <w:gridSpan w:val="3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shd w:val="clear" w:color="auto" w:fill="FFFFFF"/>
              </w:rPr>
              <w:t>“十四五”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攻坚任务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2" w:type="dxa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发生面积</w:t>
            </w:r>
          </w:p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（万亩）</w:t>
            </w:r>
          </w:p>
        </w:tc>
        <w:tc>
          <w:tcPr>
            <w:tcW w:w="1447" w:type="dxa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shd w:val="clear" w:color="auto" w:fill="FFFFFF"/>
              </w:rPr>
              <w:t>镇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级疫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shd w:val="clear" w:color="auto" w:fill="FFFFFF"/>
              </w:rPr>
              <w:t>点</w:t>
            </w:r>
          </w:p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（个）</w:t>
            </w:r>
          </w:p>
        </w:tc>
        <w:tc>
          <w:tcPr>
            <w:tcW w:w="1437" w:type="dxa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拔除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shd w:val="clear" w:color="auto" w:fill="FFFFFF"/>
              </w:rPr>
              <w:t>镇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级疫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shd w:val="clear" w:color="auto" w:fill="FFFFFF"/>
              </w:rPr>
              <w:t>点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（个）</w:t>
            </w:r>
          </w:p>
        </w:tc>
        <w:tc>
          <w:tcPr>
            <w:tcW w:w="1639" w:type="dxa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实现无疫情</w:t>
            </w:r>
          </w:p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疫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shd w:val="clear" w:color="auto" w:fill="FFFFFF"/>
              </w:rPr>
              <w:t>区镇</w:t>
            </w: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（个）</w:t>
            </w:r>
          </w:p>
        </w:tc>
        <w:tc>
          <w:tcPr>
            <w:tcW w:w="1971" w:type="dxa"/>
            <w:vAlign w:val="center"/>
          </w:tcPr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压减面积任务</w:t>
            </w:r>
          </w:p>
          <w:p>
            <w:pPr>
              <w:pStyle w:val="43"/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  <w:shd w:val="clear" w:color="auto" w:fill="FFFFFF"/>
              </w:rPr>
              <w:t>（万亩）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福兴街道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永和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新圩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罗浮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罗岗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黄槐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龙田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石马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宁中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径南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05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坭陂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水口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黄陂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合水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大坪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叶塘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新陂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刁坊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石壁林场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铁山林场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9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备注：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. 县级疫区以《国家林业和草原局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年第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号公告》为准；</w:t>
      </w:r>
    </w:p>
    <w:p>
      <w:pPr>
        <w:pStyle w:val="9"/>
        <w:ind w:firstLine="720" w:firstLineChars="300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. 镇级疫点以《广东省林业局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年第</w:t>
      </w: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号公告》为准；</w:t>
      </w:r>
    </w:p>
    <w:p>
      <w:pPr>
        <w:pStyle w:val="9"/>
        <w:ind w:firstLine="720" w:firstLineChars="300"/>
        <w:rPr>
          <w:rFonts w:eastAsia="长城仿宋体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. 合计发生面积包含县属林场等数据。</w:t>
      </w:r>
    </w:p>
    <w:p>
      <w:pPr>
        <w:rPr>
          <w:rFonts w:eastAsia="长城仿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021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0" w:lineRule="atLeas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2</w:t>
      </w:r>
    </w:p>
    <w:p>
      <w:pPr>
        <w:pStyle w:val="43"/>
        <w:spacing w:line="0" w:lineRule="atLeast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>兴宁市松材线虫病疫情防控五年攻坚行动阶段目标表</w:t>
      </w:r>
    </w:p>
    <w:p>
      <w:pPr>
        <w:pStyle w:val="43"/>
        <w:spacing w:afterLines="50" w:line="0" w:lineRule="atLeast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>（只含镇级疫区）</w:t>
      </w:r>
    </w:p>
    <w:tbl>
      <w:tblPr>
        <w:tblStyle w:val="28"/>
        <w:tblW w:w="1496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65"/>
        <w:gridCol w:w="1312"/>
        <w:gridCol w:w="1534"/>
        <w:gridCol w:w="1191"/>
        <w:gridCol w:w="1430"/>
        <w:gridCol w:w="1235"/>
        <w:gridCol w:w="899"/>
        <w:gridCol w:w="1665"/>
        <w:gridCol w:w="1320"/>
        <w:gridCol w:w="948"/>
        <w:gridCol w:w="18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3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065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县级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行政区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12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防控区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34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疫区划分</w:t>
            </w:r>
          </w:p>
        </w:tc>
        <w:tc>
          <w:tcPr>
            <w:tcW w:w="1191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松林面积（万亩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430" w:type="dxa"/>
            <w:vMerge w:val="restart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发生面积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（万亩）</w:t>
            </w:r>
          </w:p>
        </w:tc>
        <w:tc>
          <w:tcPr>
            <w:tcW w:w="3799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2021-2023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年中期目标</w:t>
            </w:r>
          </w:p>
        </w:tc>
        <w:tc>
          <w:tcPr>
            <w:tcW w:w="4098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2021-2025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年总体目标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31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减少发生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（万亩）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拔除镇级疫点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减少发生面积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（万亩）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拔除镇级疫点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31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数量（个）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名称及疫情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小班数量（个）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数量（个）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名称及疫情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小班数量（个）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46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08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福兴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永和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03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新圩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01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罗浮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罗岗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02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黄槐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龙田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石马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04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宁中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04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径南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坭陂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水口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01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</w:t>
            </w:r>
            <w:r>
              <w:rPr>
                <w:rFonts w:eastAsia="仿宋_GB2312"/>
                <w:bCs/>
                <w:sz w:val="24"/>
              </w:rPr>
              <w:t>01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01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合水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大坪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07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</w:t>
            </w:r>
            <w:r>
              <w:rPr>
                <w:rFonts w:eastAsia="仿宋_GB2312"/>
                <w:bCs/>
                <w:sz w:val="24"/>
              </w:rPr>
              <w:t>02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03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叶塘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.</w:t>
            </w:r>
            <w:r>
              <w:rPr>
                <w:rFonts w:eastAsia="仿宋_GB2312"/>
                <w:bCs/>
                <w:sz w:val="24"/>
              </w:rPr>
              <w:t>04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.</w:t>
            </w:r>
            <w:r>
              <w:rPr>
                <w:rFonts w:eastAsia="仿宋_GB2312"/>
                <w:bCs/>
                <w:kern w:val="0"/>
                <w:sz w:val="24"/>
              </w:rPr>
              <w:t>06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新陂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刁坊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重型疫区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06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石壁林场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一般预防区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00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铁山林场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轻型疫区</w:t>
            </w:r>
          </w:p>
        </w:tc>
        <w:tc>
          <w:tcPr>
            <w:tcW w:w="1191" w:type="dxa"/>
            <w:noWrap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43"/>
        <w:spacing w:line="560" w:lineRule="exact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备注：小班数量是现有数量，不只是拔除现有小班，如果疫情扩大，拔除的小班数量也应扩大，保证整个疫点拔除。</w:t>
      </w:r>
    </w:p>
    <w:p>
      <w:pPr>
        <w:rPr>
          <w:rFonts w:eastAsia="长城仿宋体"/>
          <w:sz w:val="32"/>
          <w:szCs w:val="32"/>
        </w:rPr>
        <w:sectPr>
          <w:footerReference r:id="rId6" w:type="first"/>
          <w:footerReference r:id="rId5" w:type="even"/>
          <w:pgSz w:w="16838" w:h="11906" w:orient="landscape"/>
          <w:pgMar w:top="1701" w:right="1474" w:bottom="1418" w:left="1588" w:header="851" w:footer="850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360" w:lineRule="auto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3</w:t>
      </w:r>
    </w:p>
    <w:p>
      <w:pPr>
        <w:pStyle w:val="43"/>
        <w:spacing w:line="360" w:lineRule="auto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>兴宁市松材线虫病防控区划表</w:t>
      </w:r>
    </w:p>
    <w:p>
      <w:pPr>
        <w:pStyle w:val="43"/>
        <w:spacing w:line="360" w:lineRule="auto"/>
        <w:rPr>
          <w:rFonts w:ascii="Times New Roman" w:hAnsi="Times New Roman" w:eastAsia="黑体"/>
          <w:sz w:val="21"/>
          <w:szCs w:val="21"/>
          <w:shd w:val="clear" w:color="auto" w:fill="FFFFFF"/>
        </w:rPr>
      </w:pPr>
    </w:p>
    <w:tbl>
      <w:tblPr>
        <w:tblStyle w:val="28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26"/>
        <w:gridCol w:w="1560"/>
        <w:gridCol w:w="4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区域划分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数量（个）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防控区名称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一般预防区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石壁林场。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轻型疫区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罗岗镇、罗浮镇、黄槐镇、龙田镇、合水镇、石马镇、黄陂镇、大坪镇。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重型疫区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兴街道、永和镇、新圩镇、宁中镇、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径南镇、坭陂镇、水口镇、叶塘镇、新陂镇、刁坊镇。</w:t>
            </w:r>
          </w:p>
        </w:tc>
      </w:tr>
    </w:tbl>
    <w:p>
      <w:pPr>
        <w:pStyle w:val="11"/>
        <w:ind w:firstLine="0" w:firstLineChars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注：县属林场以及功能区等单位不进行疫区划分。</w:t>
      </w:r>
    </w:p>
    <w:p>
      <w:pPr>
        <w:rPr>
          <w:rFonts w:eastAsia="长城仿宋体"/>
          <w:sz w:val="32"/>
          <w:szCs w:val="32"/>
        </w:rPr>
      </w:pPr>
    </w:p>
    <w:p>
      <w:pPr>
        <w:rPr>
          <w:rFonts w:eastAsia="长城仿宋体"/>
          <w:sz w:val="32"/>
          <w:szCs w:val="32"/>
        </w:rPr>
      </w:pPr>
    </w:p>
    <w:p>
      <w:pPr>
        <w:rPr>
          <w:rFonts w:eastAsia="长城仿宋体"/>
          <w:sz w:val="32"/>
          <w:szCs w:val="32"/>
        </w:rPr>
        <w:sectPr>
          <w:footerReference r:id="rId7" w:type="first"/>
          <w:pgSz w:w="11906" w:h="16838"/>
          <w:pgMar w:top="2098" w:right="1474" w:bottom="1985" w:left="1588" w:header="851" w:footer="1020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560" w:lineRule="exact"/>
        <w:jc w:val="lef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4</w:t>
      </w:r>
    </w:p>
    <w:p>
      <w:pPr>
        <w:pStyle w:val="43"/>
        <w:spacing w:afterLines="50" w:line="560" w:lineRule="exact"/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 xml:space="preserve"> 兴宁市松材线虫病疫情防控五年攻坚行动防治任务分解表</w:t>
      </w:r>
    </w:p>
    <w:tbl>
      <w:tblPr>
        <w:tblStyle w:val="28"/>
        <w:tblW w:w="16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"/>
        <w:gridCol w:w="635"/>
        <w:gridCol w:w="418"/>
        <w:gridCol w:w="680"/>
        <w:gridCol w:w="553"/>
        <w:gridCol w:w="567"/>
        <w:gridCol w:w="680"/>
        <w:gridCol w:w="652"/>
        <w:gridCol w:w="652"/>
        <w:gridCol w:w="652"/>
        <w:gridCol w:w="668"/>
        <w:gridCol w:w="669"/>
        <w:gridCol w:w="669"/>
        <w:gridCol w:w="643"/>
        <w:gridCol w:w="644"/>
        <w:gridCol w:w="644"/>
        <w:gridCol w:w="591"/>
        <w:gridCol w:w="592"/>
        <w:gridCol w:w="592"/>
        <w:gridCol w:w="592"/>
        <w:gridCol w:w="598"/>
        <w:gridCol w:w="599"/>
        <w:gridCol w:w="599"/>
        <w:gridCol w:w="537"/>
        <w:gridCol w:w="537"/>
        <w:gridCol w:w="537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26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号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>县级行政区名称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>防控区名称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疫区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划分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松林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2020年发生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（万亩）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合计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2021</w:t>
            </w: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年防治任务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2022</w:t>
            </w: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年防治任务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2023</w:t>
            </w: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年防治任务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2024</w:t>
            </w: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年防治任务</w:t>
            </w:r>
          </w:p>
        </w:tc>
        <w:tc>
          <w:tcPr>
            <w:tcW w:w="214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2025</w:t>
            </w: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年防治任务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81" w:hRule="atLeast"/>
          <w:tblHeader/>
          <w:jc w:val="center"/>
        </w:trPr>
        <w:tc>
          <w:tcPr>
            <w:tcW w:w="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5"/>
                <w:szCs w:val="15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松林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改造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松林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改造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监测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普查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防治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面积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（万亩次以上）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松林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改造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（万亩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exact"/>
          <w:jc w:val="center"/>
        </w:trPr>
        <w:tc>
          <w:tcPr>
            <w:tcW w:w="131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5"/>
                <w:szCs w:val="15"/>
              </w:rPr>
              <w:t>合计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15"/>
                <w:szCs w:val="15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2107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92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91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08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421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58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84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15"/>
                <w:szCs w:val="15"/>
              </w:rPr>
            </w:pP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/>
                <w:bCs/>
                <w:kern w:val="0"/>
                <w:sz w:val="15"/>
                <w:szCs w:val="15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福兴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永和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03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Cs/>
                <w:kern w:val="0"/>
                <w:sz w:val="15"/>
                <w:szCs w:val="15"/>
              </w:rPr>
              <w:t>01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新圩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01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罗浮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07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罗岗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137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02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黄槐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龙田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03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石马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04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宁中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04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径南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272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坭陂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水口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黄陂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01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Cs/>
                <w:kern w:val="0"/>
                <w:sz w:val="15"/>
                <w:szCs w:val="15"/>
              </w:rPr>
              <w:t>01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合水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01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大坪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Cs/>
                <w:kern w:val="0"/>
                <w:sz w:val="15"/>
                <w:szCs w:val="15"/>
              </w:rPr>
              <w:t>02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叶塘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03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bCs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bCs/>
                <w:kern w:val="0"/>
                <w:sz w:val="15"/>
                <w:szCs w:val="15"/>
              </w:rPr>
              <w:t>04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新陂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kern w:val="0"/>
                <w:sz w:val="15"/>
                <w:szCs w:val="15"/>
              </w:rPr>
              <w:t>06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刁坊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重型疫区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06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04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石壁林场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一般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预防区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00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6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兴宁市</w:t>
            </w:r>
          </w:p>
        </w:tc>
        <w:tc>
          <w:tcPr>
            <w:tcW w:w="4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铁山林场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轻型疫区</w:t>
            </w:r>
          </w:p>
        </w:tc>
        <w:tc>
          <w:tcPr>
            <w:tcW w:w="553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669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644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92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59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99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37" w:type="dxa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eastAsia="仿宋_GB2312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15"/>
                <w:szCs w:val="15"/>
              </w:rPr>
            </w:pPr>
          </w:p>
        </w:tc>
      </w:tr>
    </w:tbl>
    <w:p>
      <w:pPr>
        <w:pStyle w:val="43"/>
        <w:spacing w:line="360" w:lineRule="auto"/>
        <w:ind w:left="-567" w:leftChars="-270" w:right="-683" w:rightChars="-325"/>
        <w:jc w:val="left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仿宋_GB2312" w:eastAsia="仿宋_GB2312"/>
          <w:sz w:val="21"/>
          <w:szCs w:val="21"/>
          <w:shd w:val="clear" w:color="auto" w:fill="FFFFFF"/>
        </w:rPr>
        <w:t>注：松林改造任务面积：分两期实施（</w:t>
      </w:r>
      <w:r>
        <w:rPr>
          <w:rFonts w:ascii="Times New Roman" w:hAnsi="Times New Roman" w:eastAsia="仿宋_GB2312"/>
          <w:sz w:val="21"/>
          <w:szCs w:val="21"/>
          <w:shd w:val="clear" w:color="auto" w:fill="FFFFFF"/>
        </w:rPr>
        <w:t>2023</w:t>
      </w:r>
      <w:r>
        <w:rPr>
          <w:rFonts w:ascii="Times New Roman" w:hAnsi="仿宋_GB2312" w:eastAsia="仿宋_GB2312"/>
          <w:sz w:val="21"/>
          <w:szCs w:val="21"/>
          <w:shd w:val="clear" w:color="auto" w:fill="FFFFFF"/>
        </w:rPr>
        <w:t>年末和</w:t>
      </w:r>
      <w:r>
        <w:rPr>
          <w:rFonts w:ascii="Times New Roman" w:hAnsi="Times New Roman" w:eastAsia="仿宋_GB2312"/>
          <w:sz w:val="21"/>
          <w:szCs w:val="21"/>
          <w:shd w:val="clear" w:color="auto" w:fill="FFFFFF"/>
        </w:rPr>
        <w:t>2025</w:t>
      </w:r>
      <w:r>
        <w:rPr>
          <w:rFonts w:ascii="Times New Roman" w:hAnsi="仿宋_GB2312" w:eastAsia="仿宋_GB2312"/>
          <w:sz w:val="21"/>
          <w:szCs w:val="21"/>
          <w:shd w:val="clear" w:color="auto" w:fill="FFFFFF"/>
        </w:rPr>
        <w:t>年末），</w:t>
      </w:r>
      <w:r>
        <w:rPr>
          <w:rFonts w:ascii="Times New Roman" w:hAnsi="仿宋_GB2312" w:eastAsia="仿宋_GB2312"/>
          <w:sz w:val="21"/>
          <w:szCs w:val="21"/>
        </w:rPr>
        <w:t>各镇（街道）可根据实际情况，自行分配年度任务，确保如期完成任务即可。</w:t>
      </w:r>
    </w:p>
    <w:p>
      <w:pPr>
        <w:pStyle w:val="43"/>
        <w:spacing w:line="360" w:lineRule="auto"/>
        <w:jc w:val="left"/>
        <w:rPr>
          <w:rFonts w:ascii="仿宋_GB2312" w:hAnsi="仿宋_GB2312" w:eastAsia="仿宋_GB2312" w:cs="仿宋_GB2312"/>
          <w:szCs w:val="24"/>
        </w:rPr>
      </w:pPr>
    </w:p>
    <w:p>
      <w:pPr>
        <w:pStyle w:val="43"/>
        <w:spacing w:line="360" w:lineRule="auto"/>
        <w:jc w:val="left"/>
        <w:rPr>
          <w:rFonts w:ascii="仿宋_GB2312" w:hAnsi="仿宋_GB2312" w:eastAsia="仿宋_GB2312" w:cs="仿宋_GB2312"/>
          <w:szCs w:val="24"/>
        </w:rPr>
      </w:pPr>
    </w:p>
    <w:p>
      <w:pPr>
        <w:rPr>
          <w:rFonts w:eastAsia="长城仿宋体"/>
          <w:sz w:val="32"/>
          <w:szCs w:val="32"/>
        </w:rPr>
        <w:sectPr>
          <w:footerReference r:id="rId9" w:type="first"/>
          <w:footerReference r:id="rId8" w:type="default"/>
          <w:pgSz w:w="16838" w:h="11906" w:orient="landscape"/>
          <w:pgMar w:top="1701" w:right="1474" w:bottom="1418" w:left="1588" w:header="851" w:footer="850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360" w:lineRule="auto"/>
        <w:jc w:val="left"/>
        <w:rPr>
          <w:rFonts w:ascii="Times New Roman" w:hAnsi="Times New Roman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/>
          <w:b/>
          <w:color w:val="000000"/>
          <w:kern w:val="0"/>
          <w:sz w:val="32"/>
          <w:szCs w:val="32"/>
        </w:rPr>
        <w:t>5</w:t>
      </w:r>
    </w:p>
    <w:p>
      <w:pPr>
        <w:pStyle w:val="43"/>
        <w:spacing w:afterLines="50" w:line="560" w:lineRule="exact"/>
        <w:jc w:val="center"/>
        <w:rPr>
          <w:rFonts w:ascii="长城大标宋体" w:hAnsi="黑体" w:eastAsia="长城大标宋体" w:cs="黑体"/>
          <w:bCs/>
          <w:color w:val="000000"/>
          <w:kern w:val="0"/>
          <w:sz w:val="44"/>
          <w:szCs w:val="44"/>
        </w:rPr>
      </w:pPr>
      <w:r>
        <w:rPr>
          <w:rFonts w:hint="eastAsia" w:ascii="长城大标宋体" w:hAnsi="黑体" w:eastAsia="长城大标宋体" w:cs="黑体"/>
          <w:bCs/>
          <w:color w:val="000000"/>
          <w:kern w:val="0"/>
          <w:sz w:val="44"/>
          <w:szCs w:val="44"/>
        </w:rPr>
        <w:t>兴宁市“十四五”疫点镇拔除任务统计表</w:t>
      </w:r>
    </w:p>
    <w:tbl>
      <w:tblPr>
        <w:tblStyle w:val="28"/>
        <w:tblW w:w="92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454"/>
        <w:gridCol w:w="1451"/>
        <w:gridCol w:w="2165"/>
        <w:gridCol w:w="1793"/>
        <w:gridCol w:w="17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县级行政区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拟拔除的疫点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小班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2023年前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完成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2025年前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完成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疫点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小班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发生面积（亩）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疫点松林面积</w:t>
            </w:r>
          </w:p>
          <w:p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（亩）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合计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2280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00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18549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黄陂镇下翁村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eastAsia="仿宋_GB2312"/>
                <w:color w:val="000000"/>
                <w:sz w:val="24"/>
              </w:rPr>
              <w:t>91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龙溪村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1791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黄陂镇后山村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2979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黄陂镇粒坑村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643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黄陂镇陶塘村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黄陂镇虎留村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黄陂镇学士村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2865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黄陂镇黄石村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黄陂镇径口村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黄陂镇径中村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黄陂镇联丰村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黄陂镇留陂村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2391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黄陂镇桥尾村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黄陂镇上翁村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黄陂镇寺岗村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黄陂镇陶古村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黄陂镇土墩村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黄陂镇五星村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兴宁市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黄陂镇振光村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</w:tbl>
    <w:p>
      <w:pPr>
        <w:rPr>
          <w:rFonts w:eastAsia="长城仿宋体"/>
          <w:sz w:val="32"/>
          <w:szCs w:val="32"/>
        </w:rPr>
        <w:sectPr>
          <w:footerReference r:id="rId10" w:type="first"/>
          <w:pgSz w:w="11906" w:h="16838"/>
          <w:pgMar w:top="2098" w:right="1474" w:bottom="1701" w:left="1588" w:header="851" w:footer="1191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360" w:lineRule="auto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6</w:t>
      </w:r>
    </w:p>
    <w:p>
      <w:pPr>
        <w:pStyle w:val="43"/>
        <w:spacing w:afterLines="50" w:line="360" w:lineRule="auto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 xml:space="preserve"> 兴宁市松材线虫病疫情防控五年攻坚行动投资概算表（镇级疫区）</w:t>
      </w:r>
    </w:p>
    <w:tbl>
      <w:tblPr>
        <w:tblStyle w:val="28"/>
        <w:tblW w:w="147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94"/>
        <w:gridCol w:w="1255"/>
        <w:gridCol w:w="1392"/>
        <w:gridCol w:w="1270"/>
        <w:gridCol w:w="1630"/>
        <w:gridCol w:w="1265"/>
        <w:gridCol w:w="1266"/>
        <w:gridCol w:w="1266"/>
        <w:gridCol w:w="1265"/>
        <w:gridCol w:w="1266"/>
        <w:gridCol w:w="12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序号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Cs w:val="21"/>
              </w:rPr>
              <w:t>县级行政区名称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防控区名称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松林面积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松林面积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2020年发生面积   （万亩）</w:t>
            </w:r>
          </w:p>
        </w:tc>
        <w:tc>
          <w:tcPr>
            <w:tcW w:w="7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投资金额（万元）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  <w:jc w:val="center"/>
        </w:trPr>
        <w:tc>
          <w:tcPr>
            <w:tcW w:w="5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合计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2021年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2022年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2023年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2024年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2025年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Ansi="仿宋_GB2312" w:eastAsia="仿宋_GB2312"/>
                <w:b/>
                <w:kern w:val="0"/>
                <w:szCs w:val="21"/>
              </w:rPr>
              <w:t>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82.06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10.62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16832.70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3366.54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3366.54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3366.54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3366.54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3366.54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福兴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1458.20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永和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1093.65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218.73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218.73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218.73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218.73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218.73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新圩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3.47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776.65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罗浮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9.67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1458.20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291.64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罗岗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5.48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649.85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黄槐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570.60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114.12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114.12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114.12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114.12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龙田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332.85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66.57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石马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8.01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713.25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142.65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142.65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宁中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776.65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155.33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径南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10.90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1695.95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339.19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339.19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339.19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339.19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339.19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坭陂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317.00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63.40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63.40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63.40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63.40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水口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7.62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1569.15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313.83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313.83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313.83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313.83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313.83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黄陂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348.70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69.74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69.74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69.74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69.74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69.74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合水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649.85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129.97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大坪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轻型疫区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7.90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1283.85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256.77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256.77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256.77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256.77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256.77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叶塘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523.05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104.61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104.61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104.61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104.61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新陂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966.85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193.37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193.37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193.37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193.37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193.37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兴宁市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刁坊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Ansi="仿宋_GB2312" w:eastAsia="仿宋_GB2312"/>
                <w:color w:val="000000"/>
                <w:kern w:val="0"/>
                <w:szCs w:val="21"/>
              </w:rPr>
              <w:t>重型疫区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3.06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1648.4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329.68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329.68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329.68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329.68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329.68</w:t>
            </w:r>
          </w:p>
        </w:tc>
      </w:tr>
    </w:tbl>
    <w:p>
      <w:pPr>
        <w:pStyle w:val="7"/>
        <w:spacing w:line="240" w:lineRule="exact"/>
        <w:ind w:left="362" w:leftChars="-67" w:right="-115" w:rightChars="-55" w:hanging="503" w:hangingChars="28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备注：拔除作业费用的测算方法：《松材线虫病疫区和疫木管理办法》要求疫点镇内所有伐除的松木（含伐桩及枝桠等）都要进行除害处理。据省林科院专家测算，结合我市实际，按目前疫木清理、防治、处理费用平均为</w:t>
      </w:r>
      <w:r>
        <w:rPr>
          <w:rFonts w:ascii="Times New Roman" w:hAnsi="Times New Roman" w:eastAsia="仿宋_GB2312"/>
          <w:sz w:val="18"/>
          <w:szCs w:val="18"/>
        </w:rPr>
        <w:t>317</w:t>
      </w:r>
      <w:r>
        <w:rPr>
          <w:rFonts w:hint="eastAsia" w:ascii="仿宋_GB2312" w:hAnsi="仿宋_GB2312" w:eastAsia="仿宋_GB2312" w:cs="仿宋_GB2312"/>
          <w:sz w:val="18"/>
          <w:szCs w:val="18"/>
        </w:rPr>
        <w:t>元/亩。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br w:type="page"/>
      </w:r>
    </w:p>
    <w:p>
      <w:pPr>
        <w:pStyle w:val="43"/>
        <w:spacing w:line="56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pStyle w:val="43"/>
        <w:spacing w:line="56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7</w:t>
      </w:r>
    </w:p>
    <w:p>
      <w:pPr>
        <w:pStyle w:val="43"/>
        <w:spacing w:line="560" w:lineRule="exact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 xml:space="preserve"> 兴宁市松材线虫病疫情防控五年攻坚行动投资概算表</w:t>
      </w:r>
    </w:p>
    <w:p>
      <w:pPr>
        <w:pStyle w:val="43"/>
        <w:spacing w:afterLines="50" w:line="560" w:lineRule="exact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>（县属林场）</w:t>
      </w:r>
    </w:p>
    <w:tbl>
      <w:tblPr>
        <w:tblStyle w:val="28"/>
        <w:tblW w:w="140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1310"/>
        <w:gridCol w:w="1690"/>
        <w:gridCol w:w="1320"/>
        <w:gridCol w:w="2053"/>
        <w:gridCol w:w="1174"/>
        <w:gridCol w:w="1171"/>
        <w:gridCol w:w="1176"/>
        <w:gridCol w:w="1171"/>
        <w:gridCol w:w="1174"/>
        <w:gridCol w:w="11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县级行政区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林场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松林面积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（万亩）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2020</w:t>
            </w:r>
            <w:r>
              <w:rPr>
                <w:rFonts w:hAnsi="黑体" w:eastAsia="黑体"/>
                <w:kern w:val="0"/>
                <w:sz w:val="24"/>
              </w:rPr>
              <w:t>年发生面积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（万亩）</w:t>
            </w:r>
          </w:p>
        </w:tc>
        <w:tc>
          <w:tcPr>
            <w:tcW w:w="7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投资金额（万元）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hAnsi="黑体" w:eastAsia="黑体"/>
                <w:kern w:val="0"/>
                <w:sz w:val="24"/>
              </w:rPr>
              <w:t>合计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2021</w:t>
            </w:r>
            <w:r>
              <w:rPr>
                <w:rFonts w:hAnsi="黑体" w:eastAsia="黑体"/>
                <w:kern w:val="0"/>
                <w:sz w:val="24"/>
              </w:rPr>
              <w:t>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2022</w:t>
            </w:r>
            <w:r>
              <w:rPr>
                <w:rFonts w:hAnsi="黑体" w:eastAsia="黑体"/>
                <w:kern w:val="0"/>
                <w:sz w:val="24"/>
              </w:rPr>
              <w:t>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2023</w:t>
            </w:r>
            <w:r>
              <w:rPr>
                <w:rFonts w:hAnsi="黑体" w:eastAsia="黑体"/>
                <w:kern w:val="0"/>
                <w:sz w:val="24"/>
              </w:rPr>
              <w:t>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2024</w:t>
            </w:r>
            <w:r>
              <w:rPr>
                <w:rFonts w:hAnsi="黑体" w:eastAsia="黑体"/>
                <w:kern w:val="0"/>
                <w:sz w:val="24"/>
              </w:rPr>
              <w:t>年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2025</w:t>
            </w:r>
            <w:r>
              <w:rPr>
                <w:rFonts w:hAnsi="黑体" w:eastAsia="黑体"/>
                <w:kern w:val="0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县属林场（小计）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kern w:val="0"/>
                <w:sz w:val="24"/>
              </w:rPr>
              <w:t>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kern w:val="0"/>
                <w:sz w:val="24"/>
              </w:rPr>
              <w:t>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871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eastAsia="仿宋_GB2312"/>
                <w:b/>
                <w:bCs/>
                <w:sz w:val="24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eastAsia="仿宋_GB2312"/>
                <w:b/>
                <w:bCs/>
                <w:sz w:val="24"/>
              </w:rPr>
              <w:t>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eastAsia="仿宋_GB2312"/>
                <w:b/>
                <w:bCs/>
                <w:sz w:val="24"/>
              </w:rPr>
              <w:t>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eastAsia="仿宋_GB2312"/>
                <w:b/>
                <w:bCs/>
                <w:sz w:val="24"/>
              </w:rPr>
              <w:t>35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eastAsia="仿宋_GB2312"/>
                <w:b/>
                <w:bCs/>
                <w:sz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兴宁市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石壁林场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3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铁山林场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871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174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35</w:t>
            </w:r>
          </w:p>
        </w:tc>
      </w:tr>
    </w:tbl>
    <w:p>
      <w:pPr>
        <w:pStyle w:val="7"/>
      </w:pPr>
    </w:p>
    <w:p>
      <w:pPr>
        <w:rPr>
          <w:rFonts w:eastAsia="长城仿宋体"/>
          <w:sz w:val="32"/>
          <w:szCs w:val="32"/>
        </w:rPr>
      </w:pPr>
    </w:p>
    <w:p>
      <w:pPr>
        <w:rPr>
          <w:rFonts w:eastAsia="长城仿宋体"/>
          <w:sz w:val="32"/>
          <w:szCs w:val="32"/>
        </w:rPr>
      </w:pPr>
    </w:p>
    <w:p>
      <w:pPr>
        <w:rPr>
          <w:rFonts w:eastAsia="长城仿宋体"/>
          <w:sz w:val="32"/>
          <w:szCs w:val="32"/>
        </w:rPr>
        <w:sectPr>
          <w:footerReference r:id="rId11" w:type="first"/>
          <w:pgSz w:w="16838" w:h="11906" w:orient="landscape"/>
          <w:pgMar w:top="1276" w:right="1474" w:bottom="1276" w:left="1588" w:header="851" w:footer="850" w:gutter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</w:t>
      </w:r>
      <w:r>
        <w:rPr>
          <w:rFonts w:eastAsia="黑体"/>
          <w:sz w:val="32"/>
          <w:szCs w:val="32"/>
          <w:shd w:val="clear" w:color="auto" w:fill="FFFFFF"/>
        </w:rPr>
        <w:t>8</w:t>
      </w:r>
    </w:p>
    <w:p>
      <w:pPr>
        <w:spacing w:afterLines="50" w:line="560" w:lineRule="exact"/>
        <w:jc w:val="center"/>
        <w:rPr>
          <w:rFonts w:ascii="长城大标宋体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eastAsia="长城大标宋体"/>
          <w:sz w:val="44"/>
          <w:szCs w:val="44"/>
          <w:shd w:val="clear" w:color="auto" w:fill="FFFFFF"/>
        </w:rPr>
        <w:t>松材线虫病防治单价核算指标表</w:t>
      </w:r>
    </w:p>
    <w:tbl>
      <w:tblPr>
        <w:tblStyle w:val="28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11"/>
        <w:gridCol w:w="782"/>
        <w:gridCol w:w="1268"/>
        <w:gridCol w:w="3530"/>
        <w:gridCol w:w="1759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bCs/>
                <w:sz w:val="24"/>
              </w:rPr>
            </w:pPr>
            <w:bookmarkStart w:id="0" w:name="_Toc23083"/>
            <w:r>
              <w:rPr>
                <w:rFonts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防治措施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费用明细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费用支出内容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分项核算单价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综合单价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疫情普查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日常监测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公顷次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专项普查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公顷次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线虫鉴定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对疑似松树取样检测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spacing w:before="19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230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线虫批量分离、鉴定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材料费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仪器、工具、试剂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诱捕器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诱杀防治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诱捕器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松墨天牛诱捕器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套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900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套年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诱芯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有效期</w:t>
            </w: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hAnsi="仿宋_GB2312" w:eastAsia="仿宋_GB2312"/>
                <w:bCs/>
                <w:sz w:val="24"/>
              </w:rPr>
              <w:t>个月期（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hAnsi="仿宋_GB2312" w:eastAsia="仿宋_GB2312"/>
                <w:bCs/>
                <w:sz w:val="24"/>
              </w:rPr>
              <w:t>包）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560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套年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换药查虫人工费（</w:t>
            </w:r>
            <w:r>
              <w:rPr>
                <w:rFonts w:eastAsia="仿宋_GB2312"/>
                <w:bCs/>
                <w:sz w:val="24"/>
              </w:rPr>
              <w:t>8</w:t>
            </w:r>
            <w:r>
              <w:rPr>
                <w:rFonts w:hAnsi="仿宋_GB2312" w:eastAsia="仿宋_GB2312"/>
                <w:bCs/>
                <w:sz w:val="24"/>
              </w:rPr>
              <w:t>次）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240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套年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药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剂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防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治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地面施药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人工喷药作业费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450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825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药剂费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以</w:t>
            </w:r>
            <w:r>
              <w:rPr>
                <w:rFonts w:eastAsia="仿宋_GB2312"/>
                <w:bCs/>
                <w:sz w:val="24"/>
              </w:rPr>
              <w:t>1%</w:t>
            </w:r>
            <w:r>
              <w:rPr>
                <w:rFonts w:hAnsi="仿宋_GB2312" w:eastAsia="仿宋_GB2312"/>
                <w:bCs/>
                <w:sz w:val="24"/>
              </w:rPr>
              <w:t>噻虫啉粉剂为例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375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注药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人工注药作业费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125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药剂费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以松线光为例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110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飞机施药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飞机防治、地勤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225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375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药剂费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以</w:t>
            </w:r>
            <w:r>
              <w:rPr>
                <w:rFonts w:eastAsia="仿宋_GB2312"/>
                <w:bCs/>
                <w:sz w:val="24"/>
              </w:rPr>
              <w:t>2-3%</w:t>
            </w:r>
            <w:r>
              <w:rPr>
                <w:rFonts w:hAnsi="仿宋_GB2312" w:eastAsia="仿宋_GB2312"/>
                <w:bCs/>
                <w:sz w:val="24"/>
              </w:rPr>
              <w:t>噻虫啉微胶囊剂为例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公顷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61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疫木除治</w:t>
            </w:r>
          </w:p>
        </w:tc>
        <w:tc>
          <w:tcPr>
            <w:tcW w:w="782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伐桩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磷化铝熏蒸，薄膜压实</w:t>
            </w:r>
          </w:p>
        </w:tc>
        <w:tc>
          <w:tcPr>
            <w:tcW w:w="17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材料费</w:t>
            </w:r>
          </w:p>
        </w:tc>
        <w:tc>
          <w:tcPr>
            <w:tcW w:w="35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磷化铝、薄膜或钢丝网罩</w:t>
            </w:r>
          </w:p>
        </w:tc>
        <w:tc>
          <w:tcPr>
            <w:tcW w:w="17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烧毁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伐倒、锯段、集材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材料费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燃料、防火设备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粉碎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伐倒、锯段、运输、粉碎（削片）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材料费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机械折旧、动力费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100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钢丝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网罩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人工费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伐倒、锯段、装网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150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450</w:t>
            </w:r>
            <w:r>
              <w:rPr>
                <w:rFonts w:hAnsi="仿宋_GB2312" w:eastAsia="仿宋_GB2312"/>
                <w:bCs/>
                <w:sz w:val="24"/>
              </w:rPr>
              <w:t>元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Ansi="仿宋_GB2312" w:eastAsia="仿宋_GB2312"/>
                <w:bCs/>
                <w:sz w:val="24"/>
              </w:rPr>
              <w:t>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24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材料费</w:t>
            </w:r>
          </w:p>
        </w:tc>
        <w:tc>
          <w:tcPr>
            <w:tcW w:w="3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Ansi="仿宋_GB2312" w:eastAsia="仿宋_GB2312"/>
                <w:bCs/>
                <w:sz w:val="24"/>
              </w:rPr>
              <w:t>钢丝网</w:t>
            </w:r>
          </w:p>
        </w:tc>
        <w:tc>
          <w:tcPr>
            <w:tcW w:w="175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24"/>
                <w:sz w:val="24"/>
              </w:rPr>
            </w:pPr>
            <w:r>
              <w:rPr>
                <w:rFonts w:eastAsia="仿宋_GB2312"/>
                <w:kern w:val="24"/>
                <w:sz w:val="24"/>
              </w:rPr>
              <w:t>300</w:t>
            </w:r>
            <w:r>
              <w:rPr>
                <w:rFonts w:hAnsi="仿宋_GB2312" w:eastAsia="仿宋_GB2312"/>
                <w:kern w:val="24"/>
                <w:sz w:val="24"/>
              </w:rPr>
              <w:t>元</w:t>
            </w:r>
            <w:r>
              <w:rPr>
                <w:rFonts w:eastAsia="仿宋_GB2312"/>
                <w:kern w:val="24"/>
                <w:sz w:val="24"/>
              </w:rPr>
              <w:t>/</w:t>
            </w:r>
            <w:r>
              <w:rPr>
                <w:rFonts w:hAnsi="仿宋_GB2312" w:eastAsia="仿宋_GB2312"/>
                <w:kern w:val="24"/>
                <w:sz w:val="24"/>
              </w:rPr>
              <w:t>株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24"/>
                <w:sz w:val="24"/>
              </w:rPr>
            </w:pPr>
          </w:p>
        </w:tc>
      </w:tr>
      <w:bookmarkEnd w:id="0"/>
    </w:tbl>
    <w:p>
      <w:pPr>
        <w:rPr>
          <w:rFonts w:eastAsia="长城仿宋体"/>
          <w:sz w:val="32"/>
          <w:szCs w:val="32"/>
        </w:rPr>
        <w:sectPr>
          <w:footerReference r:id="rId12" w:type="first"/>
          <w:pgSz w:w="11906" w:h="16838"/>
          <w:pgMar w:top="1701" w:right="1474" w:bottom="1418" w:left="1588" w:header="851" w:footer="850" w:gutter="0"/>
          <w:cols w:space="425" w:num="1"/>
          <w:titlePg/>
          <w:docGrid w:type="lines" w:linePitch="312" w:charSpace="0"/>
        </w:sectPr>
      </w:pPr>
    </w:p>
    <w:p>
      <w:pPr>
        <w:pStyle w:val="43"/>
        <w:spacing w:line="56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9</w:t>
      </w:r>
    </w:p>
    <w:p>
      <w:pPr>
        <w:pStyle w:val="43"/>
        <w:spacing w:afterLines="50" w:line="560" w:lineRule="exact"/>
        <w:jc w:val="center"/>
        <w:rPr>
          <w:rFonts w:ascii="长城大标宋体" w:hAnsi="Times New Roman" w:eastAsia="长城大标宋体"/>
          <w:sz w:val="44"/>
          <w:szCs w:val="44"/>
          <w:shd w:val="clear" w:color="auto" w:fill="FFFFFF"/>
        </w:rPr>
      </w:pPr>
      <w:r>
        <w:rPr>
          <w:rFonts w:hint="eastAsia" w:ascii="长城大标宋体" w:hAnsi="Times New Roman" w:eastAsia="长城大标宋体"/>
          <w:sz w:val="44"/>
          <w:szCs w:val="44"/>
          <w:shd w:val="clear" w:color="auto" w:fill="FFFFFF"/>
        </w:rPr>
        <w:t>疫木除治单株病（枯）死木单价核算表</w:t>
      </w:r>
    </w:p>
    <w:tbl>
      <w:tblPr>
        <w:tblStyle w:val="28"/>
        <w:tblW w:w="15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2"/>
        <w:gridCol w:w="749"/>
        <w:gridCol w:w="647"/>
        <w:gridCol w:w="761"/>
        <w:gridCol w:w="923"/>
        <w:gridCol w:w="981"/>
        <w:gridCol w:w="956"/>
        <w:gridCol w:w="957"/>
        <w:gridCol w:w="960"/>
        <w:gridCol w:w="960"/>
        <w:gridCol w:w="859"/>
        <w:gridCol w:w="859"/>
        <w:gridCol w:w="106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坡度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分项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胸径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分项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套袋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比例（%）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粉碎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比例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（%）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套钢丝网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比例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（%）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套袋消杀费用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（元）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粉碎费用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（元）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套钢丝网费用（元）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人工费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材料费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人工费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材料费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人工费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材料费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人工费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坡度&lt;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15cm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以下区域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2160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440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648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坡度&lt;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30cm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区域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3294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615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459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6828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坡度&lt;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30cm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以上区域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1260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144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216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坡度≥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15cm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以下区域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4104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1140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3300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660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540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810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7944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坡度≥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30cm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区域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5443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684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9316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2876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坡度≥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°胸径</w:t>
            </w:r>
            <w:r>
              <w:rPr>
                <w:rFonts w:eastAsia="仿宋_GB2312"/>
                <w:kern w:val="0"/>
                <w:sz w:val="24"/>
              </w:rPr>
              <w:t>30cm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以上区域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2808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264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4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92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35901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11806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.</w:t>
            </w: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</w:tbl>
    <w:p>
      <w:pPr>
        <w:spacing w:beforeLines="50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注：</w:t>
      </w:r>
      <w:r>
        <w:rPr>
          <w:rFonts w:eastAsia="仿宋_GB2312"/>
          <w:sz w:val="24"/>
        </w:rPr>
        <w:t xml:space="preserve">1. </w:t>
      </w:r>
      <w:r>
        <w:rPr>
          <w:rFonts w:hAnsi="仿宋_GB2312" w:eastAsia="仿宋_GB2312"/>
          <w:sz w:val="24"/>
        </w:rPr>
        <w:t>疫木除治单株平均费用</w:t>
      </w:r>
      <w:r>
        <w:rPr>
          <w:rFonts w:eastAsia="仿宋_GB2312"/>
          <w:sz w:val="24"/>
        </w:rPr>
        <w:t>=</w:t>
      </w:r>
      <w:r>
        <w:rPr>
          <w:rFonts w:hAnsi="仿宋_GB2312" w:eastAsia="仿宋_GB2312"/>
          <w:sz w:val="24"/>
        </w:rPr>
        <w:t>（</w:t>
      </w:r>
      <w:r>
        <w:rPr>
          <w:rFonts w:eastAsia="仿宋_GB2312"/>
          <w:sz w:val="24"/>
        </w:rPr>
        <w:t>35901.6+11806.1</w:t>
      </w:r>
      <w:r>
        <w:rPr>
          <w:rFonts w:hAnsi="仿宋_GB2312" w:eastAsia="仿宋_GB2312"/>
          <w:sz w:val="24"/>
        </w:rPr>
        <w:t>）</w:t>
      </w:r>
      <w:r>
        <w:rPr>
          <w:rFonts w:eastAsia="仿宋_GB2312"/>
          <w:sz w:val="24"/>
        </w:rPr>
        <w:t>/</w:t>
      </w:r>
      <w:r>
        <w:rPr>
          <w:rFonts w:hAnsi="仿宋_GB2312" w:eastAsia="仿宋_GB2312"/>
          <w:sz w:val="24"/>
        </w:rPr>
        <w:t>（</w:t>
      </w:r>
      <w:r>
        <w:rPr>
          <w:rFonts w:eastAsia="仿宋_GB2312"/>
          <w:sz w:val="24"/>
        </w:rPr>
        <w:t>70+20+10</w:t>
      </w:r>
      <w:r>
        <w:rPr>
          <w:rFonts w:hAnsi="仿宋_GB2312" w:eastAsia="仿宋_GB2312"/>
          <w:sz w:val="24"/>
        </w:rPr>
        <w:t>）</w:t>
      </w:r>
      <w:r>
        <w:rPr>
          <w:rFonts w:eastAsia="仿宋_GB2312"/>
          <w:sz w:val="24"/>
        </w:rPr>
        <w:t>=477</w:t>
      </w:r>
      <w:r>
        <w:rPr>
          <w:rFonts w:hAnsi="仿宋_GB2312" w:eastAsia="仿宋_GB2312"/>
          <w:sz w:val="24"/>
        </w:rPr>
        <w:t>元</w:t>
      </w:r>
      <w:r>
        <w:rPr>
          <w:rFonts w:eastAsia="仿宋_GB2312"/>
          <w:sz w:val="24"/>
        </w:rPr>
        <w:t>/</w:t>
      </w:r>
      <w:r>
        <w:rPr>
          <w:rFonts w:hAnsi="仿宋_GB2312" w:eastAsia="仿宋_GB2312"/>
          <w:sz w:val="24"/>
        </w:rPr>
        <w:t>株。</w:t>
      </w:r>
    </w:p>
    <w:p>
      <w:pPr>
        <w:ind w:left="767" w:leftChars="228" w:hanging="288" w:hangingChars="120"/>
        <w:rPr>
          <w:rFonts w:eastAsia="长城仿宋体"/>
          <w:sz w:val="32"/>
          <w:szCs w:val="32"/>
        </w:rPr>
      </w:pPr>
      <w:r>
        <w:rPr>
          <w:rFonts w:eastAsia="仿宋_GB2312"/>
          <w:sz w:val="24"/>
        </w:rPr>
        <w:t xml:space="preserve">2. </w:t>
      </w:r>
      <w:r>
        <w:rPr>
          <w:rFonts w:hAnsi="仿宋_GB2312" w:eastAsia="仿宋_GB2312"/>
          <w:sz w:val="24"/>
        </w:rPr>
        <w:t>测算说明：</w:t>
      </w:r>
      <w:r>
        <w:rPr>
          <w:rFonts w:hAnsi="仿宋_GB2312" w:eastAsia="仿宋_GB2312"/>
          <w:kern w:val="0"/>
          <w:sz w:val="24"/>
        </w:rPr>
        <w:t>以</w:t>
      </w:r>
      <w:r>
        <w:rPr>
          <w:rFonts w:eastAsia="仿宋_GB2312"/>
          <w:kern w:val="0"/>
          <w:sz w:val="24"/>
        </w:rPr>
        <w:t>100</w:t>
      </w:r>
      <w:r>
        <w:rPr>
          <w:rFonts w:hAnsi="仿宋_GB2312" w:eastAsia="仿宋_GB2312"/>
          <w:kern w:val="0"/>
          <w:sz w:val="24"/>
        </w:rPr>
        <w:t>棵死树测算，其中</w:t>
      </w:r>
      <w:r>
        <w:rPr>
          <w:rFonts w:eastAsia="仿宋_GB2312"/>
          <w:kern w:val="0"/>
          <w:sz w:val="24"/>
        </w:rPr>
        <w:t>70</w:t>
      </w:r>
      <w:r>
        <w:rPr>
          <w:rFonts w:hAnsi="仿宋_GB2312" w:eastAsia="仿宋_GB2312"/>
          <w:kern w:val="0"/>
          <w:sz w:val="24"/>
        </w:rPr>
        <w:t>株进行套袋消杀，</w:t>
      </w:r>
      <w:r>
        <w:rPr>
          <w:rFonts w:eastAsia="仿宋_GB2312"/>
          <w:kern w:val="0"/>
          <w:sz w:val="24"/>
        </w:rPr>
        <w:t>20</w:t>
      </w:r>
      <w:r>
        <w:rPr>
          <w:rFonts w:hAnsi="仿宋_GB2312" w:eastAsia="仿宋_GB2312"/>
          <w:kern w:val="0"/>
          <w:sz w:val="24"/>
        </w:rPr>
        <w:t>株进行粉碎，</w:t>
      </w:r>
      <w:r>
        <w:rPr>
          <w:rFonts w:eastAsia="仿宋_GB2312"/>
          <w:kern w:val="0"/>
          <w:sz w:val="24"/>
        </w:rPr>
        <w:t>10</w:t>
      </w:r>
      <w:r>
        <w:rPr>
          <w:rFonts w:hAnsi="仿宋_GB2312" w:eastAsia="仿宋_GB2312"/>
          <w:kern w:val="0"/>
          <w:sz w:val="24"/>
        </w:rPr>
        <w:t>株进行套钢丝网罩；树木分布情况：坡度：</w:t>
      </w:r>
      <w:r>
        <w:rPr>
          <w:rFonts w:eastAsia="仿宋_GB2312"/>
          <w:kern w:val="0"/>
          <w:sz w:val="24"/>
        </w:rPr>
        <w:t>25</w:t>
      </w:r>
      <w:r>
        <w:rPr>
          <w:rFonts w:hAnsi="仿宋_GB2312" w:eastAsia="仿宋_GB2312"/>
          <w:kern w:val="0"/>
          <w:sz w:val="24"/>
        </w:rPr>
        <w:t>度以下占</w:t>
      </w:r>
      <w:r>
        <w:rPr>
          <w:rFonts w:eastAsia="仿宋_GB2312"/>
          <w:kern w:val="0"/>
          <w:sz w:val="24"/>
        </w:rPr>
        <w:t>40%</w:t>
      </w:r>
      <w:r>
        <w:rPr>
          <w:rFonts w:hAnsi="仿宋_GB2312" w:eastAsia="仿宋_GB2312"/>
          <w:kern w:val="0"/>
          <w:sz w:val="24"/>
        </w:rPr>
        <w:t>（系数为</w:t>
      </w:r>
      <w:r>
        <w:rPr>
          <w:rFonts w:eastAsia="仿宋_GB2312"/>
          <w:kern w:val="0"/>
          <w:sz w:val="24"/>
        </w:rPr>
        <w:t>1.0</w:t>
      </w:r>
      <w:r>
        <w:rPr>
          <w:rFonts w:hAnsi="仿宋_GB2312" w:eastAsia="仿宋_GB2312"/>
          <w:kern w:val="0"/>
          <w:sz w:val="24"/>
        </w:rPr>
        <w:t>），</w:t>
      </w:r>
      <w:r>
        <w:rPr>
          <w:rFonts w:eastAsia="仿宋_GB2312"/>
          <w:kern w:val="0"/>
          <w:sz w:val="24"/>
        </w:rPr>
        <w:t>25</w:t>
      </w:r>
      <w:r>
        <w:rPr>
          <w:rFonts w:hAnsi="仿宋_GB2312" w:eastAsia="仿宋_GB2312"/>
          <w:kern w:val="0"/>
          <w:sz w:val="24"/>
        </w:rPr>
        <w:t>度以上占</w:t>
      </w:r>
      <w:r>
        <w:rPr>
          <w:rFonts w:eastAsia="仿宋_GB2312"/>
          <w:kern w:val="0"/>
          <w:sz w:val="24"/>
        </w:rPr>
        <w:t>60%</w:t>
      </w:r>
      <w:r>
        <w:rPr>
          <w:rFonts w:hAnsi="仿宋_GB2312" w:eastAsia="仿宋_GB2312"/>
          <w:kern w:val="0"/>
          <w:sz w:val="24"/>
        </w:rPr>
        <w:t>（系数为</w:t>
      </w:r>
      <w:r>
        <w:rPr>
          <w:rFonts w:eastAsia="仿宋_GB2312"/>
          <w:kern w:val="0"/>
          <w:sz w:val="24"/>
        </w:rPr>
        <w:t>1.2</w:t>
      </w:r>
      <w:r>
        <w:rPr>
          <w:rFonts w:hAnsi="仿宋_GB2312" w:eastAsia="仿宋_GB2312"/>
          <w:kern w:val="0"/>
          <w:sz w:val="24"/>
        </w:rPr>
        <w:t>）；树木胸径分布：</w:t>
      </w:r>
      <w:r>
        <w:rPr>
          <w:rFonts w:eastAsia="仿宋_GB2312"/>
          <w:kern w:val="0"/>
          <w:sz w:val="24"/>
        </w:rPr>
        <w:t>15cm</w:t>
      </w:r>
      <w:r>
        <w:rPr>
          <w:rFonts w:hAnsi="仿宋_GB2312" w:eastAsia="仿宋_GB2312"/>
          <w:kern w:val="0"/>
          <w:sz w:val="24"/>
        </w:rPr>
        <w:t>以下占</w:t>
      </w:r>
      <w:r>
        <w:rPr>
          <w:rFonts w:eastAsia="仿宋_GB2312"/>
          <w:kern w:val="0"/>
          <w:sz w:val="24"/>
        </w:rPr>
        <w:t>48%</w:t>
      </w:r>
      <w:r>
        <w:rPr>
          <w:rFonts w:hAnsi="仿宋_GB2312" w:eastAsia="仿宋_GB2312"/>
          <w:kern w:val="0"/>
          <w:sz w:val="24"/>
        </w:rPr>
        <w:t>（系数为</w:t>
      </w:r>
      <w:r>
        <w:rPr>
          <w:rFonts w:eastAsia="仿宋_GB2312"/>
          <w:kern w:val="0"/>
          <w:sz w:val="24"/>
        </w:rPr>
        <w:t>1.0</w:t>
      </w:r>
      <w:r>
        <w:rPr>
          <w:rFonts w:hAnsi="仿宋_GB2312" w:eastAsia="仿宋_GB2312"/>
          <w:kern w:val="0"/>
          <w:sz w:val="24"/>
        </w:rPr>
        <w:t>），</w:t>
      </w:r>
      <w:r>
        <w:rPr>
          <w:rFonts w:eastAsia="仿宋_GB2312"/>
          <w:kern w:val="0"/>
          <w:sz w:val="24"/>
        </w:rPr>
        <w:t>15-30cm</w:t>
      </w:r>
      <w:r>
        <w:rPr>
          <w:rFonts w:hAnsi="仿宋_GB2312" w:eastAsia="仿宋_GB2312"/>
          <w:kern w:val="0"/>
          <w:sz w:val="24"/>
        </w:rPr>
        <w:t>占</w:t>
      </w:r>
      <w:r>
        <w:rPr>
          <w:rFonts w:eastAsia="仿宋_GB2312"/>
          <w:kern w:val="0"/>
          <w:sz w:val="24"/>
        </w:rPr>
        <w:t>36%</w:t>
      </w:r>
      <w:r>
        <w:rPr>
          <w:rFonts w:hAnsi="仿宋_GB2312" w:eastAsia="仿宋_GB2312"/>
          <w:kern w:val="0"/>
          <w:sz w:val="24"/>
        </w:rPr>
        <w:t>（系数为</w:t>
      </w:r>
      <w:r>
        <w:rPr>
          <w:rFonts w:eastAsia="仿宋_GB2312"/>
          <w:kern w:val="0"/>
          <w:sz w:val="24"/>
        </w:rPr>
        <w:t>1.5</w:t>
      </w:r>
      <w:r>
        <w:rPr>
          <w:rFonts w:hAnsi="仿宋_GB2312" w:eastAsia="仿宋_GB2312"/>
          <w:kern w:val="0"/>
          <w:sz w:val="24"/>
        </w:rPr>
        <w:t>），</w:t>
      </w:r>
      <w:r>
        <w:rPr>
          <w:rFonts w:eastAsia="仿宋_GB2312"/>
          <w:kern w:val="0"/>
          <w:sz w:val="24"/>
        </w:rPr>
        <w:t>30cm</w:t>
      </w:r>
      <w:r>
        <w:rPr>
          <w:rFonts w:hAnsi="仿宋_GB2312" w:eastAsia="仿宋_GB2312"/>
          <w:kern w:val="0"/>
          <w:sz w:val="24"/>
        </w:rPr>
        <w:t>以上占</w:t>
      </w:r>
      <w:r>
        <w:rPr>
          <w:rFonts w:eastAsia="仿宋_GB2312"/>
          <w:kern w:val="0"/>
          <w:sz w:val="24"/>
        </w:rPr>
        <w:t>16%</w:t>
      </w:r>
      <w:r>
        <w:rPr>
          <w:rFonts w:hAnsi="仿宋_GB2312" w:eastAsia="仿宋_GB2312"/>
          <w:kern w:val="0"/>
          <w:sz w:val="24"/>
        </w:rPr>
        <w:t>（系数为</w:t>
      </w:r>
      <w:r>
        <w:rPr>
          <w:rFonts w:eastAsia="仿宋_GB2312"/>
          <w:kern w:val="0"/>
          <w:sz w:val="24"/>
        </w:rPr>
        <w:t>2.0</w:t>
      </w:r>
      <w:r>
        <w:rPr>
          <w:rFonts w:hAnsi="仿宋_GB2312" w:eastAsia="仿宋_GB2312"/>
          <w:kern w:val="0"/>
          <w:sz w:val="24"/>
        </w:rPr>
        <w:t>）。</w:t>
      </w:r>
    </w:p>
    <w:sectPr>
      <w:footerReference r:id="rId13" w:type="first"/>
      <w:pgSz w:w="16838" w:h="11906" w:orient="landscape"/>
      <w:pgMar w:top="1701" w:right="1474" w:bottom="1531" w:left="1588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长城仿宋体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06517"/>
      <w:docPartObj>
        <w:docPartGallery w:val="AutoText"/>
      </w:docPartObj>
    </w:sdtPr>
    <w:sdtContent>
      <w:p>
        <w:pPr>
          <w:pStyle w:val="18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19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1972"/>
      <w:docPartObj>
        <w:docPartGallery w:val="AutoText"/>
      </w:docPartObj>
    </w:sdtPr>
    <w:sdtContent>
      <w:p>
        <w:pPr>
          <w:pStyle w:val="18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1945"/>
      <w:docPartObj>
        <w:docPartGallery w:val="AutoText"/>
      </w:docPartObj>
    </w:sdtPr>
    <w:sdtContent>
      <w:p>
        <w:pPr>
          <w:pStyle w:val="18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1954"/>
      <w:docPartObj>
        <w:docPartGallery w:val="AutoText"/>
      </w:docPartObj>
    </w:sdtPr>
    <w:sdtContent>
      <w:p>
        <w:pPr>
          <w:pStyle w:val="18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06509"/>
      <w:docPartObj>
        <w:docPartGallery w:val="AutoText"/>
      </w:docPartObj>
    </w:sdtPr>
    <w:sdtContent>
      <w:p>
        <w:pPr>
          <w:pStyle w:val="18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21815"/>
      <w:docPartObj>
        <w:docPartGallery w:val="AutoText"/>
      </w:docPartObj>
    </w:sdtPr>
    <w:sdtContent>
      <w:p>
        <w:pPr>
          <w:pStyle w:val="18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1962"/>
      <w:docPartObj>
        <w:docPartGallery w:val="AutoText"/>
      </w:docPartObj>
    </w:sdtPr>
    <w:sdtContent>
      <w:p>
        <w:pPr>
          <w:pStyle w:val="18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17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0N2QwM2FjOTJkMWM3ZGI2N2Q4MTExNWJkZjNlYWEifQ=="/>
  </w:docVars>
  <w:rsids>
    <w:rsidRoot w:val="00506B74"/>
    <w:rsid w:val="0005228F"/>
    <w:rsid w:val="0009037E"/>
    <w:rsid w:val="000A7A67"/>
    <w:rsid w:val="000C213F"/>
    <w:rsid w:val="000C703B"/>
    <w:rsid w:val="000D4BDA"/>
    <w:rsid w:val="000E0618"/>
    <w:rsid w:val="000E3567"/>
    <w:rsid w:val="000E4DBE"/>
    <w:rsid w:val="000F07E3"/>
    <w:rsid w:val="000F4F64"/>
    <w:rsid w:val="0017544D"/>
    <w:rsid w:val="00182761"/>
    <w:rsid w:val="00184F63"/>
    <w:rsid w:val="001959B2"/>
    <w:rsid w:val="001A5E0A"/>
    <w:rsid w:val="001D4110"/>
    <w:rsid w:val="001D43C9"/>
    <w:rsid w:val="00224B07"/>
    <w:rsid w:val="002310A1"/>
    <w:rsid w:val="00244418"/>
    <w:rsid w:val="002C417E"/>
    <w:rsid w:val="002F25B8"/>
    <w:rsid w:val="0034408B"/>
    <w:rsid w:val="00364BD1"/>
    <w:rsid w:val="00382D2C"/>
    <w:rsid w:val="003B5ADC"/>
    <w:rsid w:val="003E7278"/>
    <w:rsid w:val="003E79CE"/>
    <w:rsid w:val="003F6EE5"/>
    <w:rsid w:val="00404FFE"/>
    <w:rsid w:val="004218AC"/>
    <w:rsid w:val="00424628"/>
    <w:rsid w:val="00425058"/>
    <w:rsid w:val="00457BAD"/>
    <w:rsid w:val="00474712"/>
    <w:rsid w:val="00487DA3"/>
    <w:rsid w:val="004A02AD"/>
    <w:rsid w:val="004A574F"/>
    <w:rsid w:val="004B265F"/>
    <w:rsid w:val="004B59BA"/>
    <w:rsid w:val="004D4972"/>
    <w:rsid w:val="004F1A00"/>
    <w:rsid w:val="00506B74"/>
    <w:rsid w:val="00511FAD"/>
    <w:rsid w:val="00516386"/>
    <w:rsid w:val="00530A7C"/>
    <w:rsid w:val="00536FF6"/>
    <w:rsid w:val="00542E63"/>
    <w:rsid w:val="005772E2"/>
    <w:rsid w:val="00582AD8"/>
    <w:rsid w:val="00584616"/>
    <w:rsid w:val="005B3055"/>
    <w:rsid w:val="005E37D7"/>
    <w:rsid w:val="005F6A04"/>
    <w:rsid w:val="00622373"/>
    <w:rsid w:val="006411CA"/>
    <w:rsid w:val="00651ECF"/>
    <w:rsid w:val="00664DA8"/>
    <w:rsid w:val="006A58BF"/>
    <w:rsid w:val="006A66BC"/>
    <w:rsid w:val="006D013A"/>
    <w:rsid w:val="006D14EA"/>
    <w:rsid w:val="006F2E39"/>
    <w:rsid w:val="00715681"/>
    <w:rsid w:val="0072066E"/>
    <w:rsid w:val="0075120A"/>
    <w:rsid w:val="007825F1"/>
    <w:rsid w:val="007857CD"/>
    <w:rsid w:val="00786921"/>
    <w:rsid w:val="00803638"/>
    <w:rsid w:val="00841E61"/>
    <w:rsid w:val="0087492C"/>
    <w:rsid w:val="008D1064"/>
    <w:rsid w:val="008E3A89"/>
    <w:rsid w:val="008E53D2"/>
    <w:rsid w:val="008F082A"/>
    <w:rsid w:val="0092597F"/>
    <w:rsid w:val="00963EBF"/>
    <w:rsid w:val="009906AA"/>
    <w:rsid w:val="009A0DE5"/>
    <w:rsid w:val="009A3FE9"/>
    <w:rsid w:val="009D1B03"/>
    <w:rsid w:val="009D676D"/>
    <w:rsid w:val="009D7801"/>
    <w:rsid w:val="009F3836"/>
    <w:rsid w:val="00A025F5"/>
    <w:rsid w:val="00A02815"/>
    <w:rsid w:val="00A21FBD"/>
    <w:rsid w:val="00A222CF"/>
    <w:rsid w:val="00A85CB2"/>
    <w:rsid w:val="00AF36F2"/>
    <w:rsid w:val="00B030CB"/>
    <w:rsid w:val="00B06D07"/>
    <w:rsid w:val="00B35598"/>
    <w:rsid w:val="00B50B6E"/>
    <w:rsid w:val="00B51221"/>
    <w:rsid w:val="00B73A50"/>
    <w:rsid w:val="00B76654"/>
    <w:rsid w:val="00B815E5"/>
    <w:rsid w:val="00B873BD"/>
    <w:rsid w:val="00B91FB1"/>
    <w:rsid w:val="00B95102"/>
    <w:rsid w:val="00BA0346"/>
    <w:rsid w:val="00BC1234"/>
    <w:rsid w:val="00BD1F19"/>
    <w:rsid w:val="00BD2E64"/>
    <w:rsid w:val="00BE1E06"/>
    <w:rsid w:val="00C01EA3"/>
    <w:rsid w:val="00C241E0"/>
    <w:rsid w:val="00C42327"/>
    <w:rsid w:val="00C80EBF"/>
    <w:rsid w:val="00CA6DB1"/>
    <w:rsid w:val="00D25BBF"/>
    <w:rsid w:val="00D65E1A"/>
    <w:rsid w:val="00D92A75"/>
    <w:rsid w:val="00DA2094"/>
    <w:rsid w:val="00DB6C9C"/>
    <w:rsid w:val="00DC2FE1"/>
    <w:rsid w:val="00DC6D97"/>
    <w:rsid w:val="00DE2F01"/>
    <w:rsid w:val="00E22416"/>
    <w:rsid w:val="00E310A8"/>
    <w:rsid w:val="00E806BA"/>
    <w:rsid w:val="00E83426"/>
    <w:rsid w:val="00E87BA9"/>
    <w:rsid w:val="00E95795"/>
    <w:rsid w:val="00EA393A"/>
    <w:rsid w:val="00EB39FC"/>
    <w:rsid w:val="00EB69D2"/>
    <w:rsid w:val="00EC08F9"/>
    <w:rsid w:val="00F06CE3"/>
    <w:rsid w:val="00F21342"/>
    <w:rsid w:val="00F33E39"/>
    <w:rsid w:val="00F4482F"/>
    <w:rsid w:val="00F45442"/>
    <w:rsid w:val="00F67BB9"/>
    <w:rsid w:val="00F85915"/>
    <w:rsid w:val="00FA5717"/>
    <w:rsid w:val="00FB53A3"/>
    <w:rsid w:val="00FB655E"/>
    <w:rsid w:val="00FB660A"/>
    <w:rsid w:val="00FD0075"/>
    <w:rsid w:val="00FD3D88"/>
    <w:rsid w:val="00FF7344"/>
    <w:rsid w:val="743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link w:val="3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8">
    <w:name w:val="Document Map"/>
    <w:basedOn w:val="1"/>
    <w:link w:val="45"/>
    <w:unhideWhenUsed/>
    <w:qFormat/>
    <w:uiPriority w:val="99"/>
    <w:rPr>
      <w:rFonts w:ascii="Microsoft YaHei UI" w:hAnsi="Calibri" w:eastAsia="Microsoft YaHei UI"/>
      <w:sz w:val="18"/>
      <w:szCs w:val="18"/>
    </w:rPr>
  </w:style>
  <w:style w:type="paragraph" w:styleId="9">
    <w:name w:val="annotation text"/>
    <w:basedOn w:val="1"/>
    <w:link w:val="42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jc w:val="left"/>
    </w:pPr>
    <w:rPr>
      <w:rFonts w:ascii="Calibri" w:hAnsi="Calibri"/>
      <w:szCs w:val="22"/>
    </w:rPr>
  </w:style>
  <w:style w:type="paragraph" w:styleId="10">
    <w:name w:val="Body Text"/>
    <w:basedOn w:val="1"/>
    <w:link w:val="46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11">
    <w:name w:val="Body Text Indent"/>
    <w:basedOn w:val="1"/>
    <w:link w:val="44"/>
    <w:qFormat/>
    <w:uiPriority w:val="0"/>
    <w:pPr>
      <w:ind w:firstLine="480" w:firstLineChars="200"/>
    </w:pPr>
    <w:rPr>
      <w:rFonts w:ascii="Calibri" w:hAnsi="Calibri"/>
    </w:rPr>
  </w:style>
  <w:style w:type="paragraph" w:styleId="12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13">
    <w:name w:val="toc 3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840" w:leftChars="400"/>
    </w:pPr>
    <w:rPr>
      <w:rFonts w:ascii="Calibri" w:hAnsi="Calibri"/>
      <w:szCs w:val="22"/>
    </w:rPr>
  </w:style>
  <w:style w:type="paragraph" w:styleId="14">
    <w:name w:val="Plain Text"/>
    <w:basedOn w:val="1"/>
    <w:link w:val="47"/>
    <w:qFormat/>
    <w:uiPriority w:val="0"/>
    <w:rPr>
      <w:rFonts w:ascii="宋体" w:hAnsi="Courier New" w:eastAsia="楷体_GB2312"/>
      <w:kern w:val="0"/>
      <w:sz w:val="20"/>
      <w:szCs w:val="20"/>
    </w:rPr>
  </w:style>
  <w:style w:type="paragraph" w:styleId="15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6">
    <w:name w:val="Date"/>
    <w:basedOn w:val="1"/>
    <w:next w:val="1"/>
    <w:link w:val="48"/>
    <w:unhideWhenUsed/>
    <w:qFormat/>
    <w:uiPriority w:val="99"/>
    <w:pPr>
      <w:ind w:left="100" w:leftChars="2500"/>
    </w:pPr>
    <w:rPr>
      <w:rFonts w:ascii="Calibri" w:hAnsi="Calibri"/>
      <w:szCs w:val="22"/>
    </w:rPr>
  </w:style>
  <w:style w:type="paragraph" w:styleId="17">
    <w:name w:val="Balloon Text"/>
    <w:basedOn w:val="1"/>
    <w:link w:val="49"/>
    <w:qFormat/>
    <w:uiPriority w:val="99"/>
    <w:rPr>
      <w:rFonts w:ascii="Calibri" w:hAnsi="Calibri"/>
      <w:sz w:val="18"/>
      <w:szCs w:val="18"/>
    </w:rPr>
  </w:style>
  <w:style w:type="paragraph" w:styleId="18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rPr>
      <w:rFonts w:ascii="Calibri" w:hAnsi="Calibri"/>
      <w:szCs w:val="22"/>
    </w:rPr>
  </w:style>
  <w:style w:type="paragraph" w:styleId="21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22">
    <w:name w:val="footnote text"/>
    <w:basedOn w:val="1"/>
    <w:link w:val="50"/>
    <w:qFormat/>
    <w:uiPriority w:val="0"/>
    <w:pPr>
      <w:snapToGrid w:val="0"/>
      <w:jc w:val="left"/>
    </w:pPr>
    <w:rPr>
      <w:rFonts w:ascii="Calibri" w:hAnsi="Calibri"/>
      <w:sz w:val="18"/>
    </w:rPr>
  </w:style>
  <w:style w:type="paragraph" w:styleId="23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24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  <w:szCs w:val="22"/>
    </w:rPr>
  </w:style>
  <w:style w:type="paragraph" w:styleId="25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annotation subject"/>
    <w:basedOn w:val="9"/>
    <w:next w:val="9"/>
    <w:link w:val="51"/>
    <w:unhideWhenUsed/>
    <w:qFormat/>
    <w:uiPriority w:val="99"/>
    <w:rPr>
      <w:b/>
      <w:bCs/>
    </w:rPr>
  </w:style>
  <w:style w:type="table" w:styleId="29">
    <w:name w:val="Table Grid"/>
    <w:basedOn w:val="2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0"/>
    <w:rPr>
      <w:b/>
    </w:rPr>
  </w:style>
  <w:style w:type="character" w:styleId="32">
    <w:name w:val="page number"/>
    <w:basedOn w:val="30"/>
    <w:uiPriority w:val="0"/>
  </w:style>
  <w:style w:type="character" w:styleId="33">
    <w:name w:val="Hyperlink"/>
    <w:unhideWhenUsed/>
    <w:qFormat/>
    <w:uiPriority w:val="99"/>
    <w:rPr>
      <w:color w:val="0000FF"/>
      <w:u w:val="single"/>
    </w:rPr>
  </w:style>
  <w:style w:type="character" w:styleId="34">
    <w:name w:val="annotation reference"/>
    <w:unhideWhenUsed/>
    <w:qFormat/>
    <w:uiPriority w:val="99"/>
    <w:rPr>
      <w:sz w:val="21"/>
      <w:szCs w:val="21"/>
    </w:rPr>
  </w:style>
  <w:style w:type="character" w:styleId="35">
    <w:name w:val="footnote reference"/>
    <w:qFormat/>
    <w:uiPriority w:val="0"/>
    <w:rPr>
      <w:vertAlign w:val="superscript"/>
    </w:rPr>
  </w:style>
  <w:style w:type="character" w:customStyle="1" w:styleId="36">
    <w:name w:val="标题 1 Char"/>
    <w:basedOn w:val="30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37">
    <w:name w:val="标题 2 Char"/>
    <w:basedOn w:val="30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8">
    <w:name w:val="标题 3 Char"/>
    <w:basedOn w:val="30"/>
    <w:link w:val="4"/>
    <w:qFormat/>
    <w:uiPriority w:val="9"/>
    <w:rPr>
      <w:rFonts w:ascii="Calibri" w:hAnsi="Calibri"/>
      <w:b/>
      <w:bCs/>
      <w:kern w:val="2"/>
      <w:sz w:val="32"/>
      <w:szCs w:val="32"/>
    </w:rPr>
  </w:style>
  <w:style w:type="character" w:customStyle="1" w:styleId="39">
    <w:name w:val="标题 4 Char"/>
    <w:basedOn w:val="30"/>
    <w:link w:val="5"/>
    <w:qFormat/>
    <w:uiPriority w:val="0"/>
    <w:rPr>
      <w:rFonts w:ascii="Cambria" w:hAnsi="Cambria"/>
      <w:b/>
      <w:bCs/>
      <w:kern w:val="2"/>
      <w:sz w:val="21"/>
      <w:szCs w:val="28"/>
    </w:rPr>
  </w:style>
  <w:style w:type="character" w:customStyle="1" w:styleId="40">
    <w:name w:val="页脚 Char"/>
    <w:basedOn w:val="30"/>
    <w:link w:val="18"/>
    <w:qFormat/>
    <w:uiPriority w:val="99"/>
    <w:rPr>
      <w:kern w:val="2"/>
      <w:sz w:val="18"/>
      <w:szCs w:val="18"/>
    </w:rPr>
  </w:style>
  <w:style w:type="character" w:customStyle="1" w:styleId="41">
    <w:name w:val="页眉 Char"/>
    <w:link w:val="19"/>
    <w:qFormat/>
    <w:uiPriority w:val="99"/>
    <w:rPr>
      <w:kern w:val="2"/>
      <w:sz w:val="18"/>
      <w:szCs w:val="18"/>
    </w:rPr>
  </w:style>
  <w:style w:type="character" w:customStyle="1" w:styleId="42">
    <w:name w:val="批注文字 Char"/>
    <w:basedOn w:val="30"/>
    <w:link w:val="9"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43">
    <w:name w:val="UserStyle_0"/>
    <w:basedOn w:val="1"/>
    <w:qFormat/>
    <w:uiPriority w:val="0"/>
    <w:pPr>
      <w:textAlignment w:val="baseline"/>
    </w:pPr>
    <w:rPr>
      <w:rFonts w:ascii="Tahoma" w:hAnsi="Tahoma"/>
      <w:sz w:val="24"/>
      <w:szCs w:val="20"/>
    </w:rPr>
  </w:style>
  <w:style w:type="character" w:customStyle="1" w:styleId="44">
    <w:name w:val="正文文本缩进 Char"/>
    <w:basedOn w:val="30"/>
    <w:link w:val="11"/>
    <w:uiPriority w:val="0"/>
    <w:rPr>
      <w:rFonts w:ascii="Calibri" w:hAnsi="Calibri"/>
      <w:kern w:val="2"/>
      <w:sz w:val="21"/>
      <w:szCs w:val="24"/>
    </w:rPr>
  </w:style>
  <w:style w:type="character" w:customStyle="1" w:styleId="45">
    <w:name w:val="文档结构图 Char"/>
    <w:basedOn w:val="30"/>
    <w:link w:val="8"/>
    <w:qFormat/>
    <w:uiPriority w:val="99"/>
    <w:rPr>
      <w:rFonts w:ascii="Microsoft YaHei UI" w:hAnsi="Calibri" w:eastAsia="Microsoft YaHei UI"/>
      <w:kern w:val="2"/>
      <w:sz w:val="18"/>
      <w:szCs w:val="18"/>
    </w:rPr>
  </w:style>
  <w:style w:type="character" w:customStyle="1" w:styleId="46">
    <w:name w:val="正文文本 Char"/>
    <w:basedOn w:val="30"/>
    <w:link w:val="10"/>
    <w:qFormat/>
    <w:uiPriority w:val="1"/>
    <w:rPr>
      <w:rFonts w:ascii="宋体" w:hAnsi="宋体" w:cs="宋体"/>
      <w:kern w:val="2"/>
      <w:sz w:val="28"/>
      <w:szCs w:val="28"/>
      <w:lang w:val="zh-CN" w:bidi="zh-CN"/>
    </w:rPr>
  </w:style>
  <w:style w:type="character" w:customStyle="1" w:styleId="47">
    <w:name w:val="纯文本 Char"/>
    <w:basedOn w:val="30"/>
    <w:link w:val="14"/>
    <w:uiPriority w:val="0"/>
    <w:rPr>
      <w:rFonts w:ascii="宋体" w:hAnsi="Courier New" w:eastAsia="楷体_GB2312"/>
    </w:rPr>
  </w:style>
  <w:style w:type="character" w:customStyle="1" w:styleId="48">
    <w:name w:val="日期 Char"/>
    <w:basedOn w:val="30"/>
    <w:link w:val="1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9">
    <w:name w:val="批注框文本 Char"/>
    <w:basedOn w:val="30"/>
    <w:link w:val="17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0">
    <w:name w:val="脚注文本 Char"/>
    <w:basedOn w:val="30"/>
    <w:link w:val="22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51">
    <w:name w:val="批注主题 Char"/>
    <w:basedOn w:val="42"/>
    <w:link w:val="27"/>
    <w:qFormat/>
    <w:uiPriority w:val="99"/>
    <w:rPr>
      <w:b/>
      <w:bCs/>
    </w:rPr>
  </w:style>
  <w:style w:type="character" w:customStyle="1" w:styleId="52">
    <w:name w:val="font01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53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4">
    <w:name w:val="font1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5">
    <w:name w:val="font23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6">
    <w:name w:val="font1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7">
    <w:name w:val="font5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58">
    <w:name w:val="font19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9">
    <w:name w:val="fontstyle01"/>
    <w:qFormat/>
    <w:uiPriority w:val="0"/>
    <w:rPr>
      <w:rFonts w:hint="eastAsia" w:ascii="黑体" w:hAnsi="黑体" w:eastAsia="黑体"/>
      <w:color w:val="000000"/>
      <w:sz w:val="36"/>
      <w:szCs w:val="36"/>
    </w:rPr>
  </w:style>
  <w:style w:type="character" w:customStyle="1" w:styleId="60">
    <w:name w:val="font10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perscript"/>
    </w:rPr>
  </w:style>
  <w:style w:type="character" w:customStyle="1" w:styleId="61">
    <w:name w:val="font22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2">
    <w:name w:val="font6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3">
    <w:name w:val="font18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4">
    <w:name w:val="font1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5">
    <w:name w:val="font2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6">
    <w:name w:val="font1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7">
    <w:name w:val="font1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8">
    <w:name w:val="font1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9">
    <w:name w:val="font24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0">
    <w:name w:val="font2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1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2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3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4">
    <w:name w:val="font1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5">
    <w:name w:val="font3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6">
    <w:name w:val="font17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7">
    <w:name w:val="font1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8">
    <w:name w:val="font9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9">
    <w:name w:val="font2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80">
    <w:name w:val="正文排版"/>
    <w:basedOn w:val="1"/>
    <w:next w:val="1"/>
    <w:qFormat/>
    <w:uiPriority w:val="0"/>
  </w:style>
  <w:style w:type="paragraph" w:customStyle="1" w:styleId="81">
    <w:name w:val="BodyText"/>
    <w:basedOn w:val="1"/>
    <w:qFormat/>
    <w:uiPriority w:val="0"/>
    <w:pPr>
      <w:spacing w:before="50"/>
      <w:jc w:val="center"/>
      <w:textAlignment w:val="baseline"/>
    </w:pPr>
    <w:rPr>
      <w:rFonts w:ascii="Calibri" w:hAnsi="Calibri" w:eastAsia="黑体"/>
      <w:kern w:val="0"/>
      <w:sz w:val="28"/>
      <w:szCs w:val="32"/>
    </w:rPr>
  </w:style>
  <w:style w:type="paragraph" w:customStyle="1" w:styleId="8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6C620F"/>
      <w:kern w:val="0"/>
      <w:sz w:val="28"/>
      <w:szCs w:val="28"/>
    </w:rPr>
  </w:style>
  <w:style w:type="paragraph" w:customStyle="1" w:styleId="8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84">
    <w:name w:val="Table Paragraph"/>
    <w:basedOn w:val="1"/>
    <w:qFormat/>
    <w:uiPriority w:val="1"/>
    <w:pPr>
      <w:spacing w:before="33"/>
      <w:jc w:val="center"/>
    </w:pPr>
    <w:rPr>
      <w:rFonts w:eastAsia="Times New Roman"/>
      <w:szCs w:val="22"/>
      <w:lang w:val="zh-CN" w:bidi="zh-CN"/>
    </w:rPr>
  </w:style>
  <w:style w:type="paragraph" w:customStyle="1" w:styleId="85">
    <w:name w:val="Other|1"/>
    <w:basedOn w:val="1"/>
    <w:qFormat/>
    <w:uiPriority w:val="0"/>
    <w:pPr>
      <w:jc w:val="center"/>
    </w:pPr>
    <w:rPr>
      <w:rFonts w:ascii="Calibri" w:hAnsi="Calibri"/>
      <w:sz w:val="26"/>
      <w:szCs w:val="26"/>
      <w:lang w:val="zh-TW" w:eastAsia="zh-TW" w:bidi="zh-TW"/>
    </w:rPr>
  </w:style>
  <w:style w:type="paragraph" w:customStyle="1" w:styleId="86">
    <w:name w:val="BodyText1I"/>
    <w:basedOn w:val="81"/>
    <w:qFormat/>
    <w:uiPriority w:val="0"/>
    <w:pPr>
      <w:ind w:firstLine="420" w:firstLineChars="100"/>
    </w:pPr>
    <w:rPr>
      <w:rFonts w:ascii="Times New Roman" w:hAnsi="Times New Roman" w:eastAsia="宋体"/>
      <w:sz w:val="20"/>
      <w:szCs w:val="21"/>
    </w:rPr>
  </w:style>
  <w:style w:type="paragraph" w:customStyle="1" w:styleId="8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customStyle="1" w:styleId="88">
    <w:name w:val="Char Char5 Char Char1"/>
    <w:basedOn w:val="8"/>
    <w:qFormat/>
    <w:uiPriority w:val="0"/>
    <w:pPr>
      <w:shd w:val="clear" w:color="auto" w:fill="000080"/>
    </w:pPr>
    <w:rPr>
      <w:rFonts w:ascii="Tahoma" w:hAnsi="Tahoma" w:eastAsia="宋体"/>
      <w:sz w:val="24"/>
      <w:szCs w:val="24"/>
    </w:rPr>
  </w:style>
  <w:style w:type="paragraph" w:styleId="89">
    <w:name w:val="List Paragraph"/>
    <w:basedOn w:val="1"/>
    <w:unhideWhenUsed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&#27169;&#26495;&#65288;2022&#65289;\2&#21150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2办函.dot</Template>
  <Company>CHINA</Company>
  <Pages>20</Pages>
  <Words>7964</Words>
  <Characters>11397</Characters>
  <Lines>47</Lines>
  <Paragraphs>27</Paragraphs>
  <TotalTime>125</TotalTime>
  <ScaleCrop>false</ScaleCrop>
  <LinksUpToDate>false</LinksUpToDate>
  <CharactersWithSpaces>11465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2022-06-21T02:58:00Z</dcterms:created>
  <dc:creator>Administrator</dc:creator>
  <cp:lastModifiedBy>Hecho</cp:lastModifiedBy>
  <cp:lastPrinted>2022-06-30T02:20:00Z</cp:lastPrinted>
  <dcterms:modified xsi:type="dcterms:W3CDTF">2022-08-02T08:21:41Z</dcterms:modified>
  <dc:title>兴市府函〔2010〕号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301E3F922CBB4C3DA37D4C3E15D61F07</vt:lpwstr>
  </property>
</Properties>
</file>