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62" w:rsidRPr="005B3208" w:rsidRDefault="00BF3D62" w:rsidP="00BF3D62">
      <w:pPr>
        <w:widowControl/>
        <w:spacing w:line="560" w:lineRule="exact"/>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附件</w:t>
      </w:r>
      <w:r w:rsidRPr="005B3208">
        <w:rPr>
          <w:rFonts w:ascii="Times New Roman" w:eastAsia="方正仿宋简体" w:hAnsi="Times New Roman" w:cs="Times New Roman" w:hint="eastAsia"/>
          <w:color w:val="000000" w:themeColor="text1"/>
          <w:sz w:val="32"/>
          <w:szCs w:val="32"/>
        </w:rPr>
        <w:t>1</w:t>
      </w:r>
    </w:p>
    <w:p w:rsidR="00631525" w:rsidRPr="005B3208" w:rsidRDefault="007E1479">
      <w:pPr>
        <w:widowControl/>
        <w:spacing w:line="420" w:lineRule="atLeast"/>
        <w:jc w:val="center"/>
        <w:rPr>
          <w:rFonts w:ascii="方正小标宋简体" w:eastAsia="方正小标宋简体" w:hAnsi="Times New Roman" w:cs="Times New Roman"/>
          <w:bCs/>
          <w:color w:val="000000" w:themeColor="text1"/>
          <w:kern w:val="0"/>
          <w:sz w:val="44"/>
          <w:szCs w:val="36"/>
        </w:rPr>
      </w:pPr>
      <w:r w:rsidRPr="005B3208">
        <w:rPr>
          <w:rFonts w:ascii="方正小标宋简体" w:eastAsia="方正小标宋简体" w:hAnsi="Times New Roman" w:cs="Times New Roman" w:hint="eastAsia"/>
          <w:bCs/>
          <w:color w:val="000000" w:themeColor="text1"/>
          <w:kern w:val="0"/>
          <w:sz w:val="44"/>
          <w:szCs w:val="36"/>
        </w:rPr>
        <w:t>兴宁市</w:t>
      </w:r>
      <w:r w:rsidR="00965B1B" w:rsidRPr="005B3208">
        <w:rPr>
          <w:rFonts w:ascii="方正小标宋简体" w:eastAsia="方正小标宋简体" w:hAnsi="Times New Roman" w:cs="Times New Roman" w:hint="eastAsia"/>
          <w:bCs/>
          <w:color w:val="000000" w:themeColor="text1"/>
          <w:kern w:val="0"/>
          <w:sz w:val="44"/>
          <w:szCs w:val="36"/>
        </w:rPr>
        <w:t>声环境功能区划方案</w:t>
      </w:r>
    </w:p>
    <w:p w:rsidR="006D4385" w:rsidRPr="005B3208" w:rsidRDefault="006D4385" w:rsidP="006D4385">
      <w:pPr>
        <w:widowControl/>
        <w:spacing w:line="560" w:lineRule="exact"/>
        <w:jc w:val="center"/>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w:t>
      </w:r>
      <w:r w:rsidR="003E401D" w:rsidRPr="005B3208">
        <w:rPr>
          <w:rFonts w:ascii="Times New Roman" w:eastAsia="方正仿宋简体" w:hAnsi="Times New Roman" w:cs="Times New Roman" w:hint="eastAsia"/>
          <w:color w:val="000000" w:themeColor="text1"/>
          <w:sz w:val="32"/>
          <w:szCs w:val="32"/>
        </w:rPr>
        <w:t>征求意见</w:t>
      </w:r>
      <w:r w:rsidRPr="005B3208">
        <w:rPr>
          <w:rFonts w:ascii="Times New Roman" w:eastAsia="方正仿宋简体" w:hAnsi="Times New Roman" w:cs="Times New Roman" w:hint="eastAsia"/>
          <w:color w:val="000000" w:themeColor="text1"/>
          <w:sz w:val="32"/>
          <w:szCs w:val="32"/>
        </w:rPr>
        <w:t>稿）</w:t>
      </w:r>
    </w:p>
    <w:p w:rsidR="00631525" w:rsidRPr="005B3208" w:rsidRDefault="00965B1B">
      <w:pPr>
        <w:widowControl/>
        <w:spacing w:line="420" w:lineRule="atLeast"/>
        <w:jc w:val="center"/>
        <w:rPr>
          <w:rFonts w:ascii="Times New Roman" w:eastAsia="宋体" w:hAnsi="Times New Roman" w:cs="Times New Roman"/>
          <w:color w:val="000000" w:themeColor="text1"/>
          <w:kern w:val="0"/>
          <w:szCs w:val="21"/>
        </w:rPr>
      </w:pPr>
      <w:r w:rsidRPr="005B3208">
        <w:rPr>
          <w:rFonts w:ascii="Times New Roman" w:eastAsia="宋体" w:hAnsi="Times New Roman" w:cs="Times New Roman"/>
          <w:color w:val="000000" w:themeColor="text1"/>
          <w:kern w:val="0"/>
          <w:szCs w:val="21"/>
        </w:rPr>
        <w:t xml:space="preserve">　</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为贯彻执行《中华人民共和国环境噪声污染防治法》，进一步</w:t>
      </w:r>
      <w:r w:rsidRPr="005B3208">
        <w:rPr>
          <w:rFonts w:ascii="Times New Roman" w:eastAsia="方正仿宋简体" w:hAnsi="Times New Roman" w:cs="Times New Roman" w:hint="eastAsia"/>
          <w:color w:val="000000" w:themeColor="text1"/>
          <w:sz w:val="32"/>
          <w:szCs w:val="32"/>
        </w:rPr>
        <w:t>强化</w:t>
      </w:r>
      <w:r w:rsidRPr="005B3208">
        <w:rPr>
          <w:rFonts w:ascii="Times New Roman" w:eastAsia="方正仿宋简体" w:hAnsi="Times New Roman" w:cs="Times New Roman"/>
          <w:color w:val="000000" w:themeColor="text1"/>
          <w:sz w:val="32"/>
          <w:szCs w:val="32"/>
        </w:rPr>
        <w:t>城市环境噪声管理，改善城市声环境质量，根据《声环境质量标准》（</w:t>
      </w:r>
      <w:r w:rsidRPr="005B3208">
        <w:rPr>
          <w:rFonts w:ascii="Times New Roman" w:eastAsia="方正仿宋简体" w:hAnsi="Times New Roman" w:cs="Times New Roman"/>
          <w:color w:val="000000" w:themeColor="text1"/>
          <w:sz w:val="32"/>
          <w:szCs w:val="32"/>
        </w:rPr>
        <w:t>GB 3096-2008</w:t>
      </w:r>
      <w:r w:rsidRPr="005B3208">
        <w:rPr>
          <w:rFonts w:ascii="Times New Roman" w:eastAsia="方正仿宋简体" w:hAnsi="Times New Roman" w:cs="Times New Roman"/>
          <w:color w:val="000000" w:themeColor="text1"/>
          <w:sz w:val="32"/>
          <w:szCs w:val="32"/>
        </w:rPr>
        <w:t>）、《声环境功能区划分技术规范》（</w:t>
      </w:r>
      <w:r w:rsidRPr="005B3208">
        <w:rPr>
          <w:rFonts w:ascii="Times New Roman" w:eastAsia="方正仿宋简体" w:hAnsi="Times New Roman" w:cs="Times New Roman"/>
          <w:color w:val="000000" w:themeColor="text1"/>
          <w:sz w:val="32"/>
          <w:szCs w:val="32"/>
        </w:rPr>
        <w:t>GB/T 15190-2014</w:t>
      </w:r>
      <w:r w:rsidRPr="005B3208">
        <w:rPr>
          <w:rFonts w:ascii="Times New Roman" w:eastAsia="方正仿宋简体" w:hAnsi="Times New Roman" w:cs="Times New Roman"/>
          <w:color w:val="000000" w:themeColor="text1"/>
          <w:sz w:val="32"/>
          <w:szCs w:val="32"/>
        </w:rPr>
        <w:t>）等要求，以</w:t>
      </w:r>
      <w:r w:rsidR="009711B5" w:rsidRPr="005B3208">
        <w:rPr>
          <w:rFonts w:ascii="Times New Roman" w:eastAsia="方正仿宋简体" w:hAnsi="Times New Roman" w:cs="Times New Roman" w:hint="eastAsia"/>
          <w:color w:val="000000" w:themeColor="text1"/>
          <w:sz w:val="32"/>
          <w:szCs w:val="32"/>
        </w:rPr>
        <w:t>《</w:t>
      </w:r>
      <w:r w:rsidR="007E1479" w:rsidRPr="005B3208">
        <w:rPr>
          <w:rFonts w:ascii="Times New Roman" w:eastAsia="方正仿宋简体" w:hAnsi="Times New Roman" w:cs="Times New Roman" w:hint="eastAsia"/>
          <w:color w:val="000000" w:themeColor="text1"/>
          <w:sz w:val="32"/>
          <w:szCs w:val="32"/>
        </w:rPr>
        <w:t>兴宁市</w:t>
      </w:r>
      <w:r w:rsidR="009711B5" w:rsidRPr="005B3208">
        <w:rPr>
          <w:rFonts w:ascii="Times New Roman" w:eastAsia="方正仿宋简体" w:hAnsi="Times New Roman" w:cs="Times New Roman" w:hint="eastAsia"/>
          <w:color w:val="000000" w:themeColor="text1"/>
          <w:sz w:val="32"/>
          <w:szCs w:val="32"/>
        </w:rPr>
        <w:t>城市总体规划（</w:t>
      </w:r>
      <w:r w:rsidR="009711B5" w:rsidRPr="005B3208">
        <w:rPr>
          <w:rFonts w:ascii="Times New Roman" w:eastAsia="方正仿宋简体" w:hAnsi="Times New Roman" w:cs="Times New Roman" w:hint="eastAsia"/>
          <w:color w:val="000000" w:themeColor="text1"/>
          <w:sz w:val="32"/>
          <w:szCs w:val="32"/>
        </w:rPr>
        <w:t>2012-2030</w:t>
      </w:r>
      <w:r w:rsidR="009711B5"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为指导，结合城市建设实际</w:t>
      </w:r>
      <w:r w:rsidRPr="005B3208">
        <w:rPr>
          <w:rFonts w:ascii="Times New Roman" w:eastAsia="方正仿宋简体" w:hAnsi="Times New Roman" w:cs="Times New Roman" w:hint="eastAsia"/>
          <w:color w:val="000000" w:themeColor="text1"/>
          <w:sz w:val="32"/>
          <w:szCs w:val="32"/>
        </w:rPr>
        <w:t>和发展需要</w:t>
      </w:r>
      <w:r w:rsidRPr="005B3208">
        <w:rPr>
          <w:rFonts w:ascii="Times New Roman" w:eastAsia="方正仿宋简体" w:hAnsi="Times New Roman" w:cs="Times New Roman"/>
          <w:color w:val="000000" w:themeColor="text1"/>
          <w:sz w:val="32"/>
          <w:szCs w:val="32"/>
        </w:rPr>
        <w:t>，制订《</w:t>
      </w:r>
      <w:r w:rsidR="007E1479" w:rsidRPr="005B3208">
        <w:rPr>
          <w:rFonts w:ascii="Times New Roman" w:eastAsia="方正仿宋简体" w:hAnsi="Times New Roman" w:cs="Times New Roman"/>
          <w:color w:val="000000" w:themeColor="text1"/>
          <w:sz w:val="32"/>
          <w:szCs w:val="32"/>
        </w:rPr>
        <w:t>兴宁市</w:t>
      </w:r>
      <w:r w:rsidR="009711B5" w:rsidRPr="005B3208">
        <w:rPr>
          <w:rFonts w:ascii="Times New Roman" w:eastAsia="方正仿宋简体" w:hAnsi="Times New Roman" w:cs="Times New Roman" w:hint="eastAsia"/>
          <w:color w:val="000000" w:themeColor="text1"/>
          <w:sz w:val="32"/>
          <w:szCs w:val="32"/>
        </w:rPr>
        <w:t>声环境功能区划方案</w:t>
      </w:r>
      <w:r w:rsidRPr="005B3208">
        <w:rPr>
          <w:rFonts w:ascii="Times New Roman" w:eastAsia="方正仿宋简体" w:hAnsi="Times New Roman" w:cs="Times New Roman"/>
          <w:color w:val="000000" w:themeColor="text1"/>
          <w:sz w:val="32"/>
          <w:szCs w:val="32"/>
        </w:rPr>
        <w:t>》（以下简称</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color w:val="000000" w:themeColor="text1"/>
          <w:sz w:val="32"/>
          <w:szCs w:val="32"/>
        </w:rPr>
        <w:t>区划方案</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color w:val="000000" w:themeColor="text1"/>
          <w:sz w:val="32"/>
          <w:szCs w:val="32"/>
        </w:rPr>
        <w:t>）。</w:t>
      </w:r>
    </w:p>
    <w:p w:rsidR="00631525" w:rsidRPr="005B3208" w:rsidRDefault="00965B1B">
      <w:pPr>
        <w:widowControl/>
        <w:spacing w:line="560" w:lineRule="exact"/>
        <w:ind w:firstLineChars="200" w:firstLine="640"/>
        <w:rPr>
          <w:rFonts w:ascii="方正黑体简体" w:eastAsia="方正黑体简体" w:hAnsi="Times New Roman" w:cs="Times New Roman"/>
          <w:color w:val="000000" w:themeColor="text1"/>
          <w:kern w:val="0"/>
          <w:sz w:val="32"/>
          <w:szCs w:val="32"/>
        </w:rPr>
      </w:pPr>
      <w:r w:rsidRPr="005B3208">
        <w:rPr>
          <w:rFonts w:ascii="方正黑体简体" w:eastAsia="方正黑体简体" w:hAnsi="Times New Roman" w:cs="Times New Roman" w:hint="eastAsia"/>
          <w:color w:val="000000" w:themeColor="text1"/>
          <w:kern w:val="0"/>
          <w:sz w:val="32"/>
          <w:szCs w:val="32"/>
        </w:rPr>
        <w:t>一、适用范围</w:t>
      </w:r>
    </w:p>
    <w:p w:rsidR="00631525" w:rsidRPr="005B3208" w:rsidRDefault="00965B1B">
      <w:pPr>
        <w:widowControl/>
        <w:spacing w:line="560" w:lineRule="exact"/>
        <w:ind w:firstLineChars="200" w:firstLine="640"/>
        <w:rPr>
          <w:rFonts w:ascii="Times New Roman" w:eastAsia="仿宋" w:hAnsi="Times New Roman" w:cs="Times New Roman"/>
          <w:color w:val="000000" w:themeColor="text1"/>
          <w:kern w:val="0"/>
          <w:sz w:val="32"/>
          <w:szCs w:val="32"/>
        </w:rPr>
      </w:pPr>
      <w:r w:rsidRPr="005B3208">
        <w:rPr>
          <w:rFonts w:ascii="Times New Roman" w:eastAsia="方正仿宋简体" w:hAnsi="Times New Roman" w:cs="Times New Roman" w:hint="eastAsia"/>
          <w:color w:val="000000" w:themeColor="text1"/>
          <w:sz w:val="32"/>
          <w:szCs w:val="32"/>
        </w:rPr>
        <w:t>本区划方案适用</w:t>
      </w:r>
      <w:r w:rsidRPr="005B3208">
        <w:rPr>
          <w:rFonts w:ascii="Times New Roman" w:eastAsia="方正仿宋简体" w:hAnsi="Times New Roman" w:cs="Times New Roman"/>
          <w:color w:val="000000" w:themeColor="text1"/>
          <w:sz w:val="32"/>
          <w:szCs w:val="32"/>
        </w:rPr>
        <w:t>范围为</w:t>
      </w:r>
      <w:r w:rsidR="009711B5" w:rsidRPr="005B3208">
        <w:rPr>
          <w:rFonts w:ascii="Times New Roman" w:eastAsia="方正仿宋简体" w:hAnsi="Times New Roman" w:cs="Times New Roman" w:hint="eastAsia"/>
          <w:color w:val="000000" w:themeColor="text1"/>
          <w:sz w:val="32"/>
          <w:szCs w:val="32"/>
        </w:rPr>
        <w:t>《</w:t>
      </w:r>
      <w:r w:rsidR="007E1479" w:rsidRPr="005B3208">
        <w:rPr>
          <w:rFonts w:ascii="Times New Roman" w:eastAsia="方正仿宋简体" w:hAnsi="Times New Roman" w:cs="Times New Roman" w:hint="eastAsia"/>
          <w:color w:val="000000" w:themeColor="text1"/>
          <w:sz w:val="32"/>
          <w:szCs w:val="32"/>
        </w:rPr>
        <w:t>兴宁市</w:t>
      </w:r>
      <w:r w:rsidR="009711B5" w:rsidRPr="005B3208">
        <w:rPr>
          <w:rFonts w:ascii="Times New Roman" w:eastAsia="方正仿宋简体" w:hAnsi="Times New Roman" w:cs="Times New Roman" w:hint="eastAsia"/>
          <w:color w:val="000000" w:themeColor="text1"/>
          <w:sz w:val="32"/>
          <w:szCs w:val="32"/>
        </w:rPr>
        <w:t>城市总体规划（</w:t>
      </w:r>
      <w:r w:rsidR="009711B5" w:rsidRPr="005B3208">
        <w:rPr>
          <w:rFonts w:ascii="Times New Roman" w:eastAsia="方正仿宋简体" w:hAnsi="Times New Roman" w:cs="Times New Roman" w:hint="eastAsia"/>
          <w:color w:val="000000" w:themeColor="text1"/>
          <w:sz w:val="32"/>
          <w:szCs w:val="32"/>
        </w:rPr>
        <w:t>2012-2030</w:t>
      </w:r>
      <w:r w:rsidR="009711B5" w:rsidRPr="005B3208">
        <w:rPr>
          <w:rFonts w:ascii="Times New Roman" w:eastAsia="方正仿宋简体" w:hAnsi="Times New Roman" w:cs="Times New Roman" w:hint="eastAsia"/>
          <w:color w:val="000000" w:themeColor="text1"/>
          <w:sz w:val="32"/>
          <w:szCs w:val="32"/>
        </w:rPr>
        <w:t>）</w:t>
      </w:r>
      <w:r w:rsidR="00B244E1">
        <w:rPr>
          <w:rFonts w:ascii="Times New Roman" w:eastAsia="方正仿宋简体" w:hAnsi="Times New Roman" w:cs="Times New Roman" w:hint="eastAsia"/>
          <w:color w:val="000000" w:themeColor="text1"/>
          <w:sz w:val="32"/>
          <w:szCs w:val="32"/>
        </w:rPr>
        <w:t>》确定的规划区</w:t>
      </w:r>
      <w:r w:rsidR="00C56C61" w:rsidRPr="00C56C61">
        <w:rPr>
          <w:rFonts w:ascii="Times New Roman" w:eastAsia="方正仿宋简体" w:hAnsi="Times New Roman" w:cs="Times New Roman" w:hint="eastAsia"/>
          <w:color w:val="000000" w:themeColor="text1"/>
          <w:sz w:val="32"/>
          <w:szCs w:val="32"/>
        </w:rPr>
        <w:t>范围内的区域，</w:t>
      </w:r>
      <w:r w:rsidR="00B244E1" w:rsidRPr="00B244E1">
        <w:rPr>
          <w:rFonts w:ascii="Times New Roman" w:eastAsia="方正仿宋简体" w:hAnsi="Times New Roman" w:cs="Times New Roman" w:hint="eastAsia"/>
          <w:color w:val="000000" w:themeColor="text1"/>
          <w:sz w:val="32"/>
          <w:szCs w:val="32"/>
        </w:rPr>
        <w:t>包括福兴、兴田、宁新街道的行</w:t>
      </w:r>
      <w:r w:rsidR="00B244E1">
        <w:rPr>
          <w:rFonts w:ascii="Times New Roman" w:eastAsia="方正仿宋简体" w:hAnsi="Times New Roman" w:cs="Times New Roman" w:hint="eastAsia"/>
          <w:color w:val="000000" w:themeColor="text1"/>
          <w:sz w:val="32"/>
          <w:szCs w:val="32"/>
        </w:rPr>
        <w:t>政辖区，以及合水、龙田、叶塘、宁中、永和、刁坊的镇区和部分村庄</w:t>
      </w:r>
      <w:r w:rsidRPr="005B3208">
        <w:rPr>
          <w:rFonts w:ascii="Times New Roman" w:eastAsia="方正仿宋简体" w:hAnsi="Times New Roman" w:cs="Times New Roman"/>
          <w:color w:val="000000" w:themeColor="text1"/>
          <w:sz w:val="32"/>
          <w:szCs w:val="32"/>
        </w:rPr>
        <w:t>，</w:t>
      </w:r>
      <w:r w:rsidR="00067413" w:rsidRPr="005B3208">
        <w:rPr>
          <w:rFonts w:ascii="Times New Roman" w:eastAsia="方正仿宋简体" w:hAnsi="Times New Roman" w:cs="Times New Roman" w:hint="eastAsia"/>
          <w:color w:val="000000" w:themeColor="text1"/>
          <w:sz w:val="32"/>
          <w:szCs w:val="32"/>
        </w:rPr>
        <w:t>总面积</w:t>
      </w:r>
      <w:r w:rsidR="009572EF">
        <w:rPr>
          <w:rFonts w:ascii="Times New Roman" w:eastAsia="方正仿宋简体" w:hAnsi="Times New Roman" w:cs="Times New Roman" w:hint="eastAsia"/>
          <w:color w:val="000000" w:themeColor="text1"/>
          <w:sz w:val="32"/>
          <w:szCs w:val="32"/>
        </w:rPr>
        <w:t>约</w:t>
      </w:r>
      <w:r w:rsidR="00067413" w:rsidRPr="005B3208">
        <w:rPr>
          <w:rFonts w:ascii="Times New Roman" w:eastAsia="方正仿宋简体" w:hAnsi="Times New Roman" w:cs="Times New Roman" w:hint="eastAsia"/>
          <w:color w:val="000000" w:themeColor="text1"/>
          <w:sz w:val="32"/>
          <w:szCs w:val="32"/>
        </w:rPr>
        <w:t xml:space="preserve"> </w:t>
      </w:r>
      <w:r w:rsidR="009572EF">
        <w:rPr>
          <w:rFonts w:ascii="Times New Roman" w:eastAsia="方正仿宋简体" w:hAnsi="Times New Roman" w:cs="Times New Roman" w:hint="eastAsia"/>
          <w:color w:val="000000" w:themeColor="text1"/>
          <w:sz w:val="32"/>
          <w:szCs w:val="32"/>
        </w:rPr>
        <w:t>194</w:t>
      </w:r>
      <w:r w:rsidR="00067413" w:rsidRPr="005B3208">
        <w:rPr>
          <w:rFonts w:ascii="Times New Roman" w:eastAsia="方正仿宋简体" w:hAnsi="Times New Roman" w:cs="Times New Roman" w:hint="eastAsia"/>
          <w:color w:val="000000" w:themeColor="text1"/>
          <w:sz w:val="32"/>
          <w:szCs w:val="32"/>
        </w:rPr>
        <w:t>平方公里</w:t>
      </w:r>
      <w:r w:rsidRPr="005B3208">
        <w:rPr>
          <w:rFonts w:ascii="Times New Roman" w:eastAsia="方正仿宋简体" w:hAnsi="Times New Roman" w:cs="Times New Roman"/>
          <w:color w:val="000000" w:themeColor="text1"/>
          <w:sz w:val="32"/>
          <w:szCs w:val="32"/>
        </w:rPr>
        <w:t>。</w:t>
      </w:r>
    </w:p>
    <w:p w:rsidR="00631525" w:rsidRPr="005B3208" w:rsidRDefault="00965B1B">
      <w:pPr>
        <w:widowControl/>
        <w:spacing w:line="560" w:lineRule="exact"/>
        <w:ind w:firstLineChars="200" w:firstLine="640"/>
        <w:rPr>
          <w:rFonts w:ascii="Times New Roman" w:eastAsia="黑体" w:hAnsi="Times New Roman" w:cs="Times New Roman"/>
          <w:color w:val="000000" w:themeColor="text1"/>
          <w:kern w:val="0"/>
          <w:sz w:val="32"/>
          <w:szCs w:val="32"/>
        </w:rPr>
      </w:pPr>
      <w:r w:rsidRPr="005B3208">
        <w:rPr>
          <w:rFonts w:ascii="方正黑体简体" w:eastAsia="方正黑体简体" w:hAnsi="Times New Roman" w:cs="Times New Roman" w:hint="eastAsia"/>
          <w:color w:val="000000" w:themeColor="text1"/>
          <w:kern w:val="0"/>
          <w:sz w:val="32"/>
          <w:szCs w:val="32"/>
        </w:rPr>
        <w:t>二</w:t>
      </w:r>
      <w:r w:rsidRPr="005B3208">
        <w:rPr>
          <w:rFonts w:ascii="方正黑体简体" w:eastAsia="方正黑体简体" w:hAnsi="Times New Roman" w:cs="Times New Roman"/>
          <w:color w:val="000000" w:themeColor="text1"/>
          <w:kern w:val="0"/>
          <w:sz w:val="32"/>
          <w:szCs w:val="32"/>
        </w:rPr>
        <w:t>、声环境功能区</w:t>
      </w:r>
      <w:r w:rsidRPr="005B3208">
        <w:rPr>
          <w:rFonts w:ascii="方正黑体简体" w:eastAsia="方正黑体简体" w:hAnsi="Times New Roman" w:cs="Times New Roman" w:hint="eastAsia"/>
          <w:color w:val="000000" w:themeColor="text1"/>
          <w:kern w:val="0"/>
          <w:sz w:val="32"/>
          <w:szCs w:val="32"/>
        </w:rPr>
        <w:t>划分</w:t>
      </w:r>
      <w:r w:rsidRPr="005B3208">
        <w:rPr>
          <w:rFonts w:ascii="方正黑体简体" w:eastAsia="方正黑体简体" w:hAnsi="Times New Roman" w:cs="Times New Roman"/>
          <w:color w:val="000000" w:themeColor="text1"/>
          <w:kern w:val="0"/>
          <w:sz w:val="32"/>
          <w:szCs w:val="32"/>
        </w:rPr>
        <w:t>及</w:t>
      </w:r>
      <w:r w:rsidRPr="005B3208">
        <w:rPr>
          <w:rFonts w:ascii="方正黑体简体" w:eastAsia="方正黑体简体" w:hAnsi="Times New Roman" w:cs="Times New Roman" w:hint="eastAsia"/>
          <w:color w:val="000000" w:themeColor="text1"/>
          <w:kern w:val="0"/>
          <w:sz w:val="32"/>
          <w:szCs w:val="32"/>
        </w:rPr>
        <w:t>执行标准</w:t>
      </w:r>
    </w:p>
    <w:p w:rsidR="00631525" w:rsidRPr="005B3208" w:rsidRDefault="00965B1B">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B3208">
        <w:rPr>
          <w:rFonts w:ascii="方正楷体简体" w:eastAsia="方正楷体简体" w:hAnsi="Times New Roman" w:cs="Times New Roman" w:hint="eastAsia"/>
          <w:color w:val="000000" w:themeColor="text1"/>
          <w:sz w:val="32"/>
          <w:szCs w:val="32"/>
        </w:rPr>
        <w:t>（一）声环境功能区定义</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依据</w:t>
      </w:r>
      <w:r w:rsidRPr="005B3208">
        <w:rPr>
          <w:rFonts w:ascii="Times New Roman" w:eastAsia="方正仿宋简体" w:hAnsi="Times New Roman" w:cs="Times New Roman"/>
          <w:color w:val="000000" w:themeColor="text1"/>
          <w:sz w:val="32"/>
          <w:szCs w:val="32"/>
        </w:rPr>
        <w:t>《声环境质量标准》（</w:t>
      </w:r>
      <w:r w:rsidRPr="005B3208">
        <w:rPr>
          <w:rFonts w:ascii="Times New Roman" w:eastAsia="方正仿宋简体" w:hAnsi="Times New Roman" w:cs="Times New Roman"/>
          <w:color w:val="000000" w:themeColor="text1"/>
          <w:sz w:val="32"/>
          <w:szCs w:val="32"/>
        </w:rPr>
        <w:t>GB</w:t>
      </w:r>
      <w:r w:rsidRPr="005B3208">
        <w:rPr>
          <w:rFonts w:ascii="Times New Roman" w:eastAsia="方正仿宋简体" w:hAnsi="Times New Roman" w:cs="Times New Roman" w:hint="eastAsia"/>
          <w:color w:val="000000" w:themeColor="text1"/>
          <w:sz w:val="32"/>
          <w:szCs w:val="32"/>
        </w:rPr>
        <w:t xml:space="preserve"> </w:t>
      </w:r>
      <w:r w:rsidRPr="005B3208">
        <w:rPr>
          <w:rFonts w:ascii="Times New Roman" w:eastAsia="方正仿宋简体" w:hAnsi="Times New Roman" w:cs="Times New Roman"/>
          <w:color w:val="000000" w:themeColor="text1"/>
          <w:sz w:val="32"/>
          <w:szCs w:val="32"/>
        </w:rPr>
        <w:t>3096</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2008</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hint="eastAsia"/>
          <w:color w:val="000000" w:themeColor="text1"/>
          <w:sz w:val="32"/>
          <w:szCs w:val="32"/>
        </w:rPr>
        <w:t>，本区划方案中各类声环境功能区定义为：</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0</w:t>
      </w:r>
      <w:r w:rsidRPr="005B3208">
        <w:rPr>
          <w:rFonts w:ascii="Times New Roman" w:eastAsia="方正仿宋简体" w:hAnsi="Times New Roman" w:cs="Times New Roman"/>
          <w:color w:val="000000" w:themeColor="text1"/>
          <w:sz w:val="32"/>
          <w:szCs w:val="32"/>
        </w:rPr>
        <w:t>类声环境功能区：指康复疗养区等特别需要安静的区域。</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1</w:t>
      </w:r>
      <w:r w:rsidRPr="005B3208">
        <w:rPr>
          <w:rFonts w:ascii="Times New Roman" w:eastAsia="方正仿宋简体" w:hAnsi="Times New Roman" w:cs="Times New Roman"/>
          <w:color w:val="000000" w:themeColor="text1"/>
          <w:sz w:val="32"/>
          <w:szCs w:val="32"/>
        </w:rPr>
        <w:t>类声环境功能区：指以居民住宅、医疗卫生、文教、</w:t>
      </w:r>
      <w:r w:rsidRPr="005B3208">
        <w:rPr>
          <w:rFonts w:ascii="Times New Roman" w:eastAsia="方正仿宋简体" w:hAnsi="Times New Roman" w:cs="Times New Roman" w:hint="eastAsia"/>
          <w:color w:val="000000" w:themeColor="text1"/>
          <w:sz w:val="32"/>
          <w:szCs w:val="32"/>
        </w:rPr>
        <w:t>科研设计、行政</w:t>
      </w:r>
      <w:r w:rsidRPr="005B3208">
        <w:rPr>
          <w:rFonts w:ascii="Times New Roman" w:eastAsia="方正仿宋简体" w:hAnsi="Times New Roman" w:cs="Times New Roman"/>
          <w:color w:val="000000" w:themeColor="text1"/>
          <w:sz w:val="32"/>
          <w:szCs w:val="32"/>
        </w:rPr>
        <w:t>办公为主要功能，需要保持安静的区域。</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2</w:t>
      </w:r>
      <w:r w:rsidRPr="005B3208">
        <w:rPr>
          <w:rFonts w:ascii="Times New Roman" w:eastAsia="方正仿宋简体" w:hAnsi="Times New Roman" w:cs="Times New Roman"/>
          <w:color w:val="000000" w:themeColor="text1"/>
          <w:sz w:val="32"/>
          <w:szCs w:val="32"/>
        </w:rPr>
        <w:t>类声环境功能区：指以商业金融、集市贸易为主要功能，或者居住、商业、工业混杂，需要维护住宅安静的区域。</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lastRenderedPageBreak/>
        <w:t>3</w:t>
      </w:r>
      <w:r w:rsidRPr="005B3208">
        <w:rPr>
          <w:rFonts w:ascii="Times New Roman" w:eastAsia="方正仿宋简体" w:hAnsi="Times New Roman" w:cs="Times New Roman"/>
          <w:color w:val="000000" w:themeColor="text1"/>
          <w:sz w:val="32"/>
          <w:szCs w:val="32"/>
        </w:rPr>
        <w:t>类声环境功能区：指以工业生产、仓储物流为主要功能，需要防止工业噪声对周围环境产生严重影响的区域。</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4</w:t>
      </w:r>
      <w:r w:rsidRPr="005B3208">
        <w:rPr>
          <w:rFonts w:ascii="Times New Roman" w:eastAsia="方正仿宋简体" w:hAnsi="Times New Roman" w:cs="Times New Roman"/>
          <w:color w:val="000000" w:themeColor="text1"/>
          <w:sz w:val="32"/>
          <w:szCs w:val="32"/>
        </w:rPr>
        <w:t>类声环境功能区：指交通干线两侧一定距离之内，需要防止交通噪声对周围环境产生严重影响的区域，包括</w:t>
      </w:r>
      <w:r w:rsidRPr="005B3208">
        <w:rPr>
          <w:rFonts w:ascii="Times New Roman" w:eastAsia="方正仿宋简体" w:hAnsi="Times New Roman" w:cs="Times New Roman"/>
          <w:color w:val="000000" w:themeColor="text1"/>
          <w:sz w:val="32"/>
          <w:szCs w:val="32"/>
        </w:rPr>
        <w:t>4a</w:t>
      </w:r>
      <w:r w:rsidRPr="005B3208">
        <w:rPr>
          <w:rFonts w:ascii="Times New Roman" w:eastAsia="方正仿宋简体" w:hAnsi="Times New Roman" w:cs="Times New Roman"/>
          <w:color w:val="000000" w:themeColor="text1"/>
          <w:sz w:val="32"/>
          <w:szCs w:val="32"/>
        </w:rPr>
        <w:t>类和</w:t>
      </w:r>
      <w:r w:rsidRPr="005B3208">
        <w:rPr>
          <w:rFonts w:ascii="Times New Roman" w:eastAsia="方正仿宋简体" w:hAnsi="Times New Roman" w:cs="Times New Roman"/>
          <w:color w:val="000000" w:themeColor="text1"/>
          <w:sz w:val="32"/>
          <w:szCs w:val="32"/>
        </w:rPr>
        <w:t>4b</w:t>
      </w:r>
      <w:r w:rsidRPr="005B3208">
        <w:rPr>
          <w:rFonts w:ascii="Times New Roman" w:eastAsia="方正仿宋简体" w:hAnsi="Times New Roman" w:cs="Times New Roman"/>
          <w:color w:val="000000" w:themeColor="text1"/>
          <w:sz w:val="32"/>
          <w:szCs w:val="32"/>
        </w:rPr>
        <w:t>类两种类型。</w:t>
      </w:r>
      <w:r w:rsidRPr="005B3208">
        <w:rPr>
          <w:rFonts w:ascii="Times New Roman" w:eastAsia="方正仿宋简体" w:hAnsi="Times New Roman" w:cs="Times New Roman"/>
          <w:color w:val="000000" w:themeColor="text1"/>
          <w:sz w:val="32"/>
          <w:szCs w:val="32"/>
        </w:rPr>
        <w:t>4a</w:t>
      </w:r>
      <w:r w:rsidRPr="005B3208">
        <w:rPr>
          <w:rFonts w:ascii="Times New Roman" w:eastAsia="方正仿宋简体" w:hAnsi="Times New Roman" w:cs="Times New Roman"/>
          <w:color w:val="000000" w:themeColor="text1"/>
          <w:sz w:val="32"/>
          <w:szCs w:val="32"/>
        </w:rPr>
        <w:t>类为高速公路、一级公路、二级公路、城市快速路、城市主干路、城市次干路、城市轨道交通（地面段）、内河航道两侧区域；</w:t>
      </w:r>
      <w:r w:rsidRPr="005B3208">
        <w:rPr>
          <w:rFonts w:ascii="Times New Roman" w:eastAsia="方正仿宋简体" w:hAnsi="Times New Roman" w:cs="Times New Roman"/>
          <w:color w:val="000000" w:themeColor="text1"/>
          <w:sz w:val="32"/>
          <w:szCs w:val="32"/>
        </w:rPr>
        <w:t>4b</w:t>
      </w:r>
      <w:r w:rsidRPr="005B3208">
        <w:rPr>
          <w:rFonts w:ascii="Times New Roman" w:eastAsia="方正仿宋简体" w:hAnsi="Times New Roman" w:cs="Times New Roman"/>
          <w:color w:val="000000" w:themeColor="text1"/>
          <w:sz w:val="32"/>
          <w:szCs w:val="32"/>
        </w:rPr>
        <w:t>类为铁路干线两侧区域。</w:t>
      </w:r>
    </w:p>
    <w:p w:rsidR="005F2838" w:rsidRPr="005B3208" w:rsidRDefault="005F2838" w:rsidP="005F2838">
      <w:pPr>
        <w:widowControl/>
        <w:spacing w:line="560" w:lineRule="exact"/>
        <w:ind w:firstLineChars="200" w:firstLine="640"/>
        <w:rPr>
          <w:rFonts w:ascii="Times New Roman" w:eastAsia="楷体" w:hAnsi="Times New Roman" w:cs="Times New Roman"/>
          <w:color w:val="000000" w:themeColor="text1"/>
          <w:sz w:val="32"/>
          <w:szCs w:val="32"/>
        </w:rPr>
      </w:pPr>
      <w:r w:rsidRPr="005B3208">
        <w:rPr>
          <w:rFonts w:ascii="方正楷体简体" w:eastAsia="方正楷体简体" w:hAnsi="Times New Roman" w:cs="Times New Roman"/>
          <w:color w:val="000000" w:themeColor="text1"/>
          <w:sz w:val="32"/>
          <w:szCs w:val="32"/>
        </w:rPr>
        <w:t>（二）4类声环境功能区的划分</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1</w:t>
      </w:r>
      <w:r w:rsidRPr="005B3208">
        <w:rPr>
          <w:rFonts w:ascii="Times New Roman" w:eastAsia="方正仿宋简体" w:hAnsi="Times New Roman" w:cs="Times New Roman"/>
          <w:color w:val="000000" w:themeColor="text1"/>
          <w:sz w:val="32"/>
          <w:szCs w:val="32"/>
        </w:rPr>
        <w:t>、道路交通干线两侧</w:t>
      </w:r>
      <w:r w:rsidRPr="005B3208">
        <w:rPr>
          <w:rFonts w:ascii="Times New Roman" w:eastAsia="方正仿宋简体" w:hAnsi="Times New Roman" w:cs="Times New Roman"/>
          <w:color w:val="000000" w:themeColor="text1"/>
          <w:sz w:val="32"/>
          <w:szCs w:val="32"/>
        </w:rPr>
        <w:t>4a</w:t>
      </w:r>
      <w:r w:rsidRPr="005B3208">
        <w:rPr>
          <w:rFonts w:ascii="Times New Roman" w:eastAsia="方正仿宋简体" w:hAnsi="Times New Roman" w:cs="Times New Roman"/>
          <w:color w:val="000000" w:themeColor="text1"/>
          <w:sz w:val="32"/>
          <w:szCs w:val="32"/>
        </w:rPr>
        <w:t>类功能区的划分</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color w:val="000000" w:themeColor="text1"/>
          <w:sz w:val="32"/>
          <w:szCs w:val="32"/>
        </w:rPr>
        <w:t>）若临街建筑以高于三层楼房以上（含三层）的建筑为主，将第一排建筑物面向道路一侧至道路边界线</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color w:val="000000" w:themeColor="text1"/>
          <w:sz w:val="32"/>
          <w:szCs w:val="32"/>
        </w:rPr>
        <w:t>道路红线</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color w:val="000000" w:themeColor="text1"/>
          <w:sz w:val="32"/>
          <w:szCs w:val="32"/>
        </w:rPr>
        <w:t>的区域划为</w:t>
      </w:r>
      <w:r w:rsidRPr="005B3208">
        <w:rPr>
          <w:rFonts w:ascii="Times New Roman" w:eastAsia="方正仿宋简体" w:hAnsi="Times New Roman" w:cs="Times New Roman"/>
          <w:color w:val="000000" w:themeColor="text1"/>
          <w:sz w:val="32"/>
          <w:szCs w:val="32"/>
        </w:rPr>
        <w:t>4a</w:t>
      </w:r>
      <w:r w:rsidRPr="005B3208">
        <w:rPr>
          <w:rFonts w:ascii="Times New Roman" w:eastAsia="方正仿宋简体" w:hAnsi="Times New Roman" w:cs="Times New Roman"/>
          <w:color w:val="000000" w:themeColor="text1"/>
          <w:sz w:val="32"/>
          <w:szCs w:val="32"/>
        </w:rPr>
        <w:t>类声环境功能区</w:t>
      </w:r>
      <w:r w:rsidRPr="005B3208">
        <w:rPr>
          <w:rFonts w:ascii="Times New Roman" w:eastAsia="方正仿宋简体" w:hAnsi="Times New Roman" w:cs="Times New Roman" w:hint="eastAsia"/>
          <w:color w:val="000000" w:themeColor="text1"/>
          <w:sz w:val="32"/>
          <w:szCs w:val="32"/>
        </w:rPr>
        <w:t>；</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color w:val="000000" w:themeColor="text1"/>
          <w:sz w:val="32"/>
          <w:szCs w:val="32"/>
        </w:rPr>
        <w:t>）若临街建筑以低于三层楼房建筑（含开阔地）为主，将道路边界线外一定距离</w:t>
      </w:r>
      <w:r w:rsidRPr="005B3208">
        <w:rPr>
          <w:rFonts w:ascii="Times New Roman" w:eastAsia="方正仿宋简体" w:hAnsi="Times New Roman" w:cs="Times New Roman" w:hint="eastAsia"/>
          <w:color w:val="000000" w:themeColor="text1"/>
          <w:sz w:val="32"/>
          <w:szCs w:val="32"/>
        </w:rPr>
        <w:t>（表</w:t>
      </w: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的区域划为</w:t>
      </w:r>
      <w:r w:rsidRPr="005B3208">
        <w:rPr>
          <w:rFonts w:ascii="Times New Roman" w:eastAsia="方正仿宋简体" w:hAnsi="Times New Roman" w:cs="Times New Roman"/>
          <w:color w:val="000000" w:themeColor="text1"/>
          <w:sz w:val="32"/>
          <w:szCs w:val="32"/>
        </w:rPr>
        <w:t>4a</w:t>
      </w:r>
      <w:r w:rsidRPr="005B3208">
        <w:rPr>
          <w:rFonts w:ascii="Times New Roman" w:eastAsia="方正仿宋简体" w:hAnsi="Times New Roman" w:cs="Times New Roman"/>
          <w:color w:val="000000" w:themeColor="text1"/>
          <w:sz w:val="32"/>
          <w:szCs w:val="32"/>
        </w:rPr>
        <w:t>类声环境功能区域。</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、公路客运站场、公交总站、高速公路服务区等具有一定规模的交通服务区域执行</w:t>
      </w:r>
      <w:r w:rsidRPr="005B3208">
        <w:rPr>
          <w:rFonts w:ascii="Times New Roman" w:eastAsia="方正仿宋简体" w:hAnsi="Times New Roman" w:cs="Times New Roman" w:hint="eastAsia"/>
          <w:color w:val="000000" w:themeColor="text1"/>
          <w:sz w:val="32"/>
          <w:szCs w:val="32"/>
        </w:rPr>
        <w:t>4a</w:t>
      </w:r>
      <w:r w:rsidRPr="005B3208">
        <w:rPr>
          <w:rFonts w:ascii="Times New Roman" w:eastAsia="方正仿宋简体" w:hAnsi="Times New Roman" w:cs="Times New Roman" w:hint="eastAsia"/>
          <w:color w:val="000000" w:themeColor="text1"/>
          <w:sz w:val="32"/>
          <w:szCs w:val="32"/>
        </w:rPr>
        <w:t>类声环境功能区标准。</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color w:val="000000" w:themeColor="text1"/>
          <w:sz w:val="32"/>
          <w:szCs w:val="32"/>
        </w:rPr>
        <w:t>、铁路干线两侧</w:t>
      </w:r>
      <w:r w:rsidRPr="005B3208">
        <w:rPr>
          <w:rFonts w:ascii="Times New Roman" w:eastAsia="方正仿宋简体" w:hAnsi="Times New Roman" w:cs="Times New Roman"/>
          <w:color w:val="000000" w:themeColor="text1"/>
          <w:sz w:val="32"/>
          <w:szCs w:val="32"/>
        </w:rPr>
        <w:t>4b</w:t>
      </w:r>
      <w:r w:rsidRPr="005B3208">
        <w:rPr>
          <w:rFonts w:ascii="Times New Roman" w:eastAsia="方正仿宋简体" w:hAnsi="Times New Roman" w:cs="Times New Roman"/>
          <w:color w:val="000000" w:themeColor="text1"/>
          <w:sz w:val="32"/>
          <w:szCs w:val="32"/>
        </w:rPr>
        <w:t>类声环境功能区划分</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color w:val="000000" w:themeColor="text1"/>
          <w:sz w:val="32"/>
          <w:szCs w:val="32"/>
        </w:rPr>
        <w:t>将铁路用地范围外一定距离</w:t>
      </w:r>
      <w:r w:rsidRPr="005B3208">
        <w:rPr>
          <w:rFonts w:ascii="Times New Roman" w:eastAsia="方正仿宋简体" w:hAnsi="Times New Roman" w:cs="Times New Roman" w:hint="eastAsia"/>
          <w:color w:val="000000" w:themeColor="text1"/>
          <w:sz w:val="32"/>
          <w:szCs w:val="32"/>
        </w:rPr>
        <w:t>（表</w:t>
      </w: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以内的区域划为</w:t>
      </w:r>
      <w:r w:rsidRPr="005B3208">
        <w:rPr>
          <w:rFonts w:ascii="Times New Roman" w:eastAsia="方正仿宋简体" w:hAnsi="Times New Roman" w:cs="Times New Roman"/>
          <w:color w:val="000000" w:themeColor="text1"/>
          <w:sz w:val="32"/>
          <w:szCs w:val="32"/>
        </w:rPr>
        <w:t>4b</w:t>
      </w:r>
      <w:r w:rsidRPr="005B3208">
        <w:rPr>
          <w:rFonts w:ascii="Times New Roman" w:eastAsia="方正仿宋简体" w:hAnsi="Times New Roman" w:cs="Times New Roman"/>
          <w:color w:val="000000" w:themeColor="text1"/>
          <w:sz w:val="32"/>
          <w:szCs w:val="32"/>
        </w:rPr>
        <w:t>类声环境功能区域。</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(2)4b</w:t>
      </w:r>
      <w:r w:rsidRPr="005B3208">
        <w:rPr>
          <w:rFonts w:ascii="Times New Roman" w:eastAsia="方正仿宋简体" w:hAnsi="Times New Roman" w:cs="Times New Roman" w:hint="eastAsia"/>
          <w:color w:val="000000" w:themeColor="text1"/>
          <w:sz w:val="32"/>
          <w:szCs w:val="32"/>
        </w:rPr>
        <w:t>类区两侧范围内不考虑建筑物楼层隔声。</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铁路干线的站场、机务段和车辆段以其用地红线执行</w:t>
      </w:r>
      <w:r w:rsidRPr="005B3208">
        <w:rPr>
          <w:rFonts w:ascii="Times New Roman" w:eastAsia="方正仿宋简体" w:hAnsi="Times New Roman" w:cs="Times New Roman" w:hint="eastAsia"/>
          <w:color w:val="000000" w:themeColor="text1"/>
          <w:sz w:val="32"/>
          <w:szCs w:val="32"/>
        </w:rPr>
        <w:t>4b</w:t>
      </w:r>
      <w:r w:rsidRPr="005B3208">
        <w:rPr>
          <w:rFonts w:ascii="Times New Roman" w:eastAsia="方正仿宋简体" w:hAnsi="Times New Roman" w:cs="Times New Roman" w:hint="eastAsia"/>
          <w:color w:val="000000" w:themeColor="text1"/>
          <w:sz w:val="32"/>
          <w:szCs w:val="32"/>
        </w:rPr>
        <w:t>类声环境功能区标准。</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(4)4a</w:t>
      </w:r>
      <w:r w:rsidRPr="005B3208">
        <w:rPr>
          <w:rFonts w:ascii="Times New Roman" w:eastAsia="方正仿宋简体" w:hAnsi="Times New Roman" w:cs="Times New Roman" w:hint="eastAsia"/>
          <w:color w:val="000000" w:themeColor="text1"/>
          <w:sz w:val="32"/>
          <w:szCs w:val="32"/>
        </w:rPr>
        <w:t>类与</w:t>
      </w:r>
      <w:r w:rsidRPr="005B3208">
        <w:rPr>
          <w:rFonts w:ascii="Times New Roman" w:eastAsia="方正仿宋简体" w:hAnsi="Times New Roman" w:cs="Times New Roman" w:hint="eastAsia"/>
          <w:color w:val="000000" w:themeColor="text1"/>
          <w:sz w:val="32"/>
          <w:szCs w:val="32"/>
        </w:rPr>
        <w:t>4b</w:t>
      </w:r>
      <w:r w:rsidRPr="005B3208">
        <w:rPr>
          <w:rFonts w:ascii="Times New Roman" w:eastAsia="方正仿宋简体" w:hAnsi="Times New Roman" w:cs="Times New Roman" w:hint="eastAsia"/>
          <w:color w:val="000000" w:themeColor="text1"/>
          <w:sz w:val="32"/>
          <w:szCs w:val="32"/>
        </w:rPr>
        <w:t>类声环境功能区重叠部分划分为</w:t>
      </w:r>
      <w:r w:rsidRPr="005B3208">
        <w:rPr>
          <w:rFonts w:ascii="Times New Roman" w:eastAsia="方正仿宋简体" w:hAnsi="Times New Roman" w:cs="Times New Roman" w:hint="eastAsia"/>
          <w:color w:val="000000" w:themeColor="text1"/>
          <w:sz w:val="32"/>
          <w:szCs w:val="32"/>
        </w:rPr>
        <w:t>4b</w:t>
      </w:r>
      <w:r w:rsidRPr="005B3208">
        <w:rPr>
          <w:rFonts w:ascii="Times New Roman" w:eastAsia="方正仿宋简体" w:hAnsi="Times New Roman" w:cs="Times New Roman" w:hint="eastAsia"/>
          <w:color w:val="000000" w:themeColor="text1"/>
          <w:sz w:val="32"/>
          <w:szCs w:val="32"/>
        </w:rPr>
        <w:t>类声环境功能区。</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(5)</w:t>
      </w:r>
      <w:r w:rsidRPr="005B3208">
        <w:rPr>
          <w:rFonts w:ascii="Times New Roman" w:eastAsia="方正仿宋简体" w:hAnsi="Times New Roman" w:cs="Times New Roman" w:hint="eastAsia"/>
          <w:color w:val="000000" w:themeColor="text1"/>
          <w:sz w:val="32"/>
          <w:szCs w:val="32"/>
        </w:rPr>
        <w:t>本区划实施后，新建成的交通工程及附属设施按上述条款执行。</w:t>
      </w:r>
    </w:p>
    <w:p w:rsidR="005F2838" w:rsidRPr="005B3208" w:rsidRDefault="005F2838" w:rsidP="005F283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lastRenderedPageBreak/>
        <w:t>4</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4</w:t>
      </w:r>
      <w:r w:rsidRPr="005B3208">
        <w:rPr>
          <w:rFonts w:ascii="Times New Roman" w:eastAsia="方正仿宋简体" w:hAnsi="Times New Roman" w:cs="Times New Roman"/>
          <w:color w:val="000000" w:themeColor="text1"/>
          <w:sz w:val="32"/>
          <w:szCs w:val="32"/>
        </w:rPr>
        <w:t>类功能区两侧距离划定要求见表</w:t>
      </w: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color w:val="000000" w:themeColor="text1"/>
          <w:sz w:val="32"/>
          <w:szCs w:val="32"/>
        </w:rPr>
        <w:t>。</w:t>
      </w:r>
    </w:p>
    <w:p w:rsidR="00631525" w:rsidRPr="005B3208" w:rsidRDefault="00965B1B">
      <w:pPr>
        <w:widowControl/>
        <w:spacing w:line="560" w:lineRule="exact"/>
        <w:ind w:firstLineChars="200" w:firstLine="640"/>
        <w:jc w:val="center"/>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表</w:t>
      </w:r>
      <w:r w:rsidRPr="005B3208">
        <w:rPr>
          <w:rFonts w:ascii="Times New Roman" w:eastAsia="方正仿宋简体" w:hAnsi="Times New Roman" w:cs="Times New Roman" w:hint="eastAsia"/>
          <w:color w:val="000000" w:themeColor="text1"/>
          <w:sz w:val="32"/>
          <w:szCs w:val="32"/>
        </w:rPr>
        <w:t xml:space="preserve">1  </w:t>
      </w:r>
      <w:r w:rsidRPr="005B3208">
        <w:rPr>
          <w:rFonts w:ascii="Times New Roman" w:eastAsia="方正仿宋简体" w:hAnsi="Times New Roman" w:cs="Times New Roman"/>
          <w:color w:val="000000" w:themeColor="text1"/>
          <w:sz w:val="32"/>
          <w:szCs w:val="32"/>
        </w:rPr>
        <w:t xml:space="preserve"> 4</w:t>
      </w:r>
      <w:r w:rsidRPr="005B3208">
        <w:rPr>
          <w:rFonts w:ascii="Times New Roman" w:eastAsia="方正仿宋简体" w:hAnsi="Times New Roman" w:cs="Times New Roman"/>
          <w:color w:val="000000" w:themeColor="text1"/>
          <w:sz w:val="32"/>
          <w:szCs w:val="32"/>
        </w:rPr>
        <w:t>类功能区两侧距离的划定要求</w:t>
      </w:r>
    </w:p>
    <w:tbl>
      <w:tblPr>
        <w:tblW w:w="8522" w:type="dxa"/>
        <w:jc w:val="center"/>
        <w:tblLayout w:type="fixed"/>
        <w:tblLook w:val="04A0"/>
      </w:tblPr>
      <w:tblGrid>
        <w:gridCol w:w="1242"/>
        <w:gridCol w:w="2981"/>
        <w:gridCol w:w="2187"/>
        <w:gridCol w:w="2112"/>
      </w:tblGrid>
      <w:tr w:rsidR="005B3208" w:rsidRPr="005B3208">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31525" w:rsidRPr="005B3208" w:rsidRDefault="00965B1B">
            <w:pPr>
              <w:widowControl/>
              <w:spacing w:line="400" w:lineRule="exact"/>
              <w:jc w:val="center"/>
              <w:rPr>
                <w:rFonts w:ascii="Times New Roman" w:eastAsia="黑体" w:hAnsi="Times New Roman" w:cs="Times New Roman"/>
                <w:color w:val="000000" w:themeColor="text1"/>
                <w:kern w:val="0"/>
                <w:sz w:val="30"/>
                <w:szCs w:val="30"/>
              </w:rPr>
            </w:pPr>
            <w:r w:rsidRPr="005B3208">
              <w:rPr>
                <w:rFonts w:ascii="Times New Roman" w:eastAsia="黑体" w:hAnsi="Times New Roman" w:cs="Times New Roman"/>
                <w:color w:val="000000" w:themeColor="text1"/>
                <w:kern w:val="0"/>
                <w:sz w:val="30"/>
                <w:szCs w:val="30"/>
              </w:rPr>
              <w:t>类别</w:t>
            </w:r>
          </w:p>
        </w:tc>
        <w:tc>
          <w:tcPr>
            <w:tcW w:w="2981"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400" w:lineRule="exact"/>
              <w:jc w:val="center"/>
              <w:rPr>
                <w:rFonts w:ascii="Times New Roman" w:eastAsia="黑体" w:hAnsi="Times New Roman" w:cs="Times New Roman"/>
                <w:color w:val="000000" w:themeColor="text1"/>
                <w:kern w:val="0"/>
                <w:sz w:val="30"/>
                <w:szCs w:val="30"/>
              </w:rPr>
            </w:pPr>
            <w:r w:rsidRPr="005B3208">
              <w:rPr>
                <w:rFonts w:ascii="Times New Roman" w:eastAsia="黑体" w:hAnsi="Times New Roman" w:cs="Times New Roman"/>
                <w:color w:val="000000" w:themeColor="text1"/>
                <w:kern w:val="0"/>
                <w:sz w:val="30"/>
                <w:szCs w:val="30"/>
              </w:rPr>
              <w:t>源强类型</w:t>
            </w: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400" w:lineRule="exact"/>
              <w:jc w:val="center"/>
              <w:rPr>
                <w:rFonts w:ascii="Times New Roman" w:eastAsia="黑体" w:hAnsi="Times New Roman" w:cs="Times New Roman"/>
                <w:color w:val="000000" w:themeColor="text1"/>
                <w:kern w:val="0"/>
                <w:sz w:val="30"/>
                <w:szCs w:val="30"/>
              </w:rPr>
            </w:pPr>
            <w:r w:rsidRPr="005B3208">
              <w:rPr>
                <w:rFonts w:ascii="Times New Roman" w:eastAsia="黑体" w:hAnsi="Times New Roman" w:cs="Times New Roman"/>
                <w:color w:val="000000" w:themeColor="text1"/>
                <w:kern w:val="0"/>
                <w:sz w:val="30"/>
                <w:szCs w:val="30"/>
              </w:rPr>
              <w:t>划分距离（</w:t>
            </w:r>
            <w:r w:rsidRPr="005B3208">
              <w:rPr>
                <w:rFonts w:ascii="Times New Roman" w:eastAsia="黑体" w:hAnsi="Times New Roman" w:cs="Times New Roman"/>
                <w:color w:val="000000" w:themeColor="text1"/>
                <w:kern w:val="0"/>
                <w:sz w:val="30"/>
                <w:szCs w:val="30"/>
              </w:rPr>
              <w:t>m</w:t>
            </w:r>
            <w:r w:rsidRPr="005B3208">
              <w:rPr>
                <w:rFonts w:ascii="Times New Roman" w:eastAsia="黑体" w:hAnsi="Times New Roman" w:cs="Times New Roman"/>
                <w:color w:val="000000" w:themeColor="text1"/>
                <w:kern w:val="0"/>
                <w:sz w:val="30"/>
                <w:szCs w:val="30"/>
              </w:rPr>
              <w:t>）</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400" w:lineRule="exact"/>
              <w:jc w:val="center"/>
              <w:rPr>
                <w:rFonts w:ascii="Times New Roman" w:eastAsia="黑体" w:hAnsi="Times New Roman" w:cs="Times New Roman"/>
                <w:color w:val="000000" w:themeColor="text1"/>
                <w:kern w:val="0"/>
                <w:sz w:val="30"/>
                <w:szCs w:val="30"/>
              </w:rPr>
            </w:pPr>
            <w:r w:rsidRPr="005B3208">
              <w:rPr>
                <w:rFonts w:ascii="Times New Roman" w:eastAsia="黑体" w:hAnsi="Times New Roman" w:cs="Times New Roman"/>
                <w:color w:val="000000" w:themeColor="text1"/>
                <w:kern w:val="0"/>
                <w:sz w:val="30"/>
                <w:szCs w:val="30"/>
              </w:rPr>
              <w:t>相邻功能区类型</w:t>
            </w:r>
          </w:p>
        </w:tc>
      </w:tr>
      <w:tr w:rsidR="005B3208" w:rsidRPr="005B3208">
        <w:trPr>
          <w:jc w:val="center"/>
        </w:trPr>
        <w:tc>
          <w:tcPr>
            <w:tcW w:w="1242" w:type="dxa"/>
            <w:vMerge w:val="restart"/>
            <w:tcBorders>
              <w:top w:val="nil"/>
              <w:left w:val="single" w:sz="4" w:space="0" w:color="auto"/>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4a</w:t>
            </w:r>
            <w:r w:rsidRPr="005B3208">
              <w:rPr>
                <w:rFonts w:ascii="Times New Roman" w:eastAsia="仿宋" w:hAnsi="Times New Roman" w:cs="Times New Roman"/>
                <w:color w:val="000000" w:themeColor="text1"/>
                <w:kern w:val="0"/>
                <w:sz w:val="30"/>
                <w:szCs w:val="30"/>
              </w:rPr>
              <w:t>类</w:t>
            </w:r>
          </w:p>
        </w:tc>
        <w:tc>
          <w:tcPr>
            <w:tcW w:w="2981" w:type="dxa"/>
            <w:vMerge w:val="restart"/>
            <w:tcBorders>
              <w:top w:val="nil"/>
              <w:left w:val="nil"/>
              <w:bottom w:val="single" w:sz="4" w:space="0" w:color="auto"/>
              <w:right w:val="single" w:sz="4" w:space="0" w:color="auto"/>
            </w:tcBorders>
            <w:vAlign w:val="center"/>
          </w:tcPr>
          <w:p w:rsidR="00631525" w:rsidRPr="005B3208" w:rsidRDefault="00965B1B">
            <w:pPr>
              <w:widowControl/>
              <w:spacing w:line="360" w:lineRule="exact"/>
              <w:jc w:val="left"/>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高速公路、城市快速路</w:t>
            </w: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w:t>
            </w:r>
            <w:r w:rsidRPr="005B3208">
              <w:rPr>
                <w:rFonts w:ascii="Times New Roman" w:eastAsia="仿宋" w:hAnsi="Times New Roman" w:cs="Times New Roman" w:hint="eastAsia"/>
                <w:color w:val="000000" w:themeColor="text1"/>
                <w:kern w:val="0"/>
                <w:sz w:val="30"/>
                <w:szCs w:val="30"/>
              </w:rPr>
              <w:t>5</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1</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center"/>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hint="eastAsia"/>
                <w:color w:val="000000" w:themeColor="text1"/>
                <w:kern w:val="0"/>
                <w:sz w:val="30"/>
                <w:szCs w:val="30"/>
              </w:rPr>
              <w:t>40</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center"/>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hint="eastAsia"/>
                <w:color w:val="000000" w:themeColor="text1"/>
                <w:kern w:val="0"/>
                <w:sz w:val="30"/>
                <w:szCs w:val="30"/>
              </w:rPr>
              <w:t>25</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3</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center"/>
              <w:rPr>
                <w:rFonts w:ascii="Times New Roman" w:eastAsia="仿宋" w:hAnsi="Times New Roman" w:cs="Times New Roman"/>
                <w:color w:val="000000" w:themeColor="text1"/>
                <w:kern w:val="0"/>
                <w:sz w:val="30"/>
                <w:szCs w:val="30"/>
              </w:rPr>
            </w:pPr>
          </w:p>
        </w:tc>
        <w:tc>
          <w:tcPr>
            <w:tcW w:w="2981" w:type="dxa"/>
            <w:vMerge w:val="restart"/>
            <w:tcBorders>
              <w:top w:val="nil"/>
              <w:left w:val="nil"/>
              <w:bottom w:val="single" w:sz="4" w:space="0" w:color="auto"/>
              <w:right w:val="single" w:sz="4" w:space="0" w:color="auto"/>
            </w:tcBorders>
            <w:vAlign w:val="center"/>
          </w:tcPr>
          <w:p w:rsidR="00631525" w:rsidRPr="005B3208" w:rsidRDefault="00965B1B" w:rsidP="003C375E">
            <w:pPr>
              <w:widowControl/>
              <w:spacing w:line="360" w:lineRule="exact"/>
              <w:jc w:val="left"/>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一级公路、二级公路、城市主干路、城市次干路</w:t>
            </w:r>
            <w:r w:rsidR="00331392" w:rsidRPr="005B3208">
              <w:rPr>
                <w:rFonts w:ascii="Times New Roman" w:eastAsia="仿宋" w:hAnsi="Times New Roman" w:cs="Times New Roman" w:hint="eastAsia"/>
                <w:color w:val="000000" w:themeColor="text1"/>
                <w:kern w:val="0"/>
                <w:sz w:val="30"/>
                <w:szCs w:val="30"/>
              </w:rPr>
              <w:t>、</w:t>
            </w:r>
            <w:r w:rsidR="00C91096" w:rsidRPr="005B3208">
              <w:rPr>
                <w:rFonts w:ascii="Times New Roman" w:eastAsia="仿宋" w:hAnsi="Times New Roman" w:cs="Times New Roman"/>
                <w:color w:val="000000" w:themeColor="text1"/>
                <w:kern w:val="0"/>
                <w:sz w:val="30"/>
                <w:szCs w:val="30"/>
              </w:rPr>
              <w:t>场站</w:t>
            </w: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50</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1</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center"/>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35</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center"/>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20</w:t>
            </w:r>
          </w:p>
        </w:tc>
        <w:tc>
          <w:tcPr>
            <w:tcW w:w="2112" w:type="dxa"/>
            <w:tcBorders>
              <w:top w:val="single" w:sz="4" w:space="0" w:color="auto"/>
              <w:left w:val="nil"/>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3</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val="restart"/>
            <w:tcBorders>
              <w:top w:val="nil"/>
              <w:left w:val="single" w:sz="4" w:space="0" w:color="auto"/>
              <w:bottom w:val="single" w:sz="4" w:space="0" w:color="auto"/>
              <w:right w:val="single" w:sz="4" w:space="0" w:color="auto"/>
            </w:tcBorders>
            <w:vAlign w:val="center"/>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4b</w:t>
            </w:r>
            <w:r w:rsidRPr="005B3208">
              <w:rPr>
                <w:rFonts w:ascii="Times New Roman" w:eastAsia="仿宋" w:hAnsi="Times New Roman" w:cs="Times New Roman"/>
                <w:color w:val="000000" w:themeColor="text1"/>
                <w:kern w:val="0"/>
                <w:sz w:val="30"/>
                <w:szCs w:val="30"/>
              </w:rPr>
              <w:t>类</w:t>
            </w:r>
          </w:p>
        </w:tc>
        <w:tc>
          <w:tcPr>
            <w:tcW w:w="2981" w:type="dxa"/>
            <w:vMerge w:val="restart"/>
            <w:tcBorders>
              <w:top w:val="nil"/>
              <w:left w:val="nil"/>
              <w:bottom w:val="single" w:sz="4" w:space="0" w:color="auto"/>
              <w:right w:val="single" w:sz="4" w:space="0" w:color="auto"/>
            </w:tcBorders>
            <w:vAlign w:val="center"/>
          </w:tcPr>
          <w:p w:rsidR="00631525" w:rsidRPr="005B3208" w:rsidRDefault="00965B1B">
            <w:pPr>
              <w:widowControl/>
              <w:spacing w:line="360" w:lineRule="exact"/>
              <w:jc w:val="left"/>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铁路干线</w:t>
            </w:r>
          </w:p>
        </w:tc>
        <w:tc>
          <w:tcPr>
            <w:tcW w:w="2187"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55</w:t>
            </w:r>
          </w:p>
        </w:tc>
        <w:tc>
          <w:tcPr>
            <w:tcW w:w="2112"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1</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40</w:t>
            </w:r>
          </w:p>
        </w:tc>
        <w:tc>
          <w:tcPr>
            <w:tcW w:w="2112"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w:t>
            </w:r>
            <w:r w:rsidRPr="005B3208">
              <w:rPr>
                <w:rFonts w:ascii="Times New Roman" w:eastAsia="仿宋" w:hAnsi="Times New Roman" w:cs="Times New Roman"/>
                <w:color w:val="000000" w:themeColor="text1"/>
                <w:kern w:val="0"/>
                <w:sz w:val="30"/>
                <w:szCs w:val="30"/>
              </w:rPr>
              <w:t>类区</w:t>
            </w:r>
          </w:p>
        </w:tc>
      </w:tr>
      <w:tr w:rsidR="005B3208" w:rsidRPr="005B3208">
        <w:trPr>
          <w:jc w:val="center"/>
        </w:trPr>
        <w:tc>
          <w:tcPr>
            <w:tcW w:w="1242" w:type="dxa"/>
            <w:vMerge/>
            <w:tcBorders>
              <w:top w:val="nil"/>
              <w:left w:val="single" w:sz="4" w:space="0" w:color="auto"/>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981" w:type="dxa"/>
            <w:vMerge/>
            <w:tcBorders>
              <w:top w:val="nil"/>
              <w:left w:val="nil"/>
              <w:bottom w:val="single" w:sz="4" w:space="0" w:color="auto"/>
              <w:right w:val="single" w:sz="4" w:space="0" w:color="auto"/>
            </w:tcBorders>
            <w:vAlign w:val="center"/>
          </w:tcPr>
          <w:p w:rsidR="00631525" w:rsidRPr="005B3208" w:rsidRDefault="00631525">
            <w:pPr>
              <w:widowControl/>
              <w:spacing w:line="360" w:lineRule="exact"/>
              <w:jc w:val="left"/>
              <w:rPr>
                <w:rFonts w:ascii="Times New Roman" w:eastAsia="仿宋" w:hAnsi="Times New Roman" w:cs="Times New Roman"/>
                <w:color w:val="000000" w:themeColor="text1"/>
                <w:kern w:val="0"/>
                <w:sz w:val="30"/>
                <w:szCs w:val="30"/>
              </w:rPr>
            </w:pPr>
          </w:p>
        </w:tc>
        <w:tc>
          <w:tcPr>
            <w:tcW w:w="2187"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25</w:t>
            </w:r>
          </w:p>
        </w:tc>
        <w:tc>
          <w:tcPr>
            <w:tcW w:w="2112" w:type="dxa"/>
            <w:tcBorders>
              <w:top w:val="single" w:sz="4" w:space="0" w:color="auto"/>
              <w:left w:val="nil"/>
              <w:bottom w:val="single" w:sz="4" w:space="0" w:color="auto"/>
              <w:right w:val="single" w:sz="4" w:space="0" w:color="auto"/>
            </w:tcBorders>
          </w:tcPr>
          <w:p w:rsidR="00631525" w:rsidRPr="005B3208" w:rsidRDefault="00965B1B">
            <w:pPr>
              <w:widowControl/>
              <w:spacing w:line="3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3</w:t>
            </w:r>
            <w:r w:rsidRPr="005B3208">
              <w:rPr>
                <w:rFonts w:ascii="Times New Roman" w:eastAsia="仿宋" w:hAnsi="Times New Roman" w:cs="Times New Roman"/>
                <w:color w:val="000000" w:themeColor="text1"/>
                <w:kern w:val="0"/>
                <w:sz w:val="30"/>
                <w:szCs w:val="30"/>
              </w:rPr>
              <w:t>类区</w:t>
            </w:r>
          </w:p>
        </w:tc>
      </w:tr>
    </w:tbl>
    <w:p w:rsidR="005040C7" w:rsidRPr="0059369D" w:rsidRDefault="005040C7" w:rsidP="005040C7">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9369D">
        <w:rPr>
          <w:rFonts w:ascii="方正楷体简体" w:eastAsia="方正楷体简体" w:hAnsi="Times New Roman" w:cs="Times New Roman" w:hint="eastAsia"/>
          <w:color w:val="000000" w:themeColor="text1"/>
          <w:sz w:val="32"/>
          <w:szCs w:val="32"/>
        </w:rPr>
        <w:t>（三）工业区内声功能区划的规定</w:t>
      </w:r>
    </w:p>
    <w:p w:rsidR="005040C7" w:rsidRPr="0059369D" w:rsidRDefault="005040C7" w:rsidP="005040C7">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9369D">
        <w:rPr>
          <w:rFonts w:ascii="方正楷体简体" w:eastAsia="方正楷体简体" w:hAnsi="Times New Roman" w:cs="Times New Roman" w:hint="eastAsia"/>
          <w:color w:val="000000" w:themeColor="text1"/>
          <w:sz w:val="32"/>
          <w:szCs w:val="32"/>
        </w:rPr>
        <w:t>位于各类工业区规划范围，总体上划定为3类区，在下列情况下执行2类区标准：</w:t>
      </w:r>
    </w:p>
    <w:p w:rsidR="005040C7" w:rsidRPr="0059369D" w:rsidRDefault="005040C7" w:rsidP="005040C7">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9369D">
        <w:rPr>
          <w:rFonts w:ascii="方正楷体简体" w:eastAsia="方正楷体简体" w:hAnsi="Times New Roman" w:cs="Times New Roman" w:hint="eastAsia"/>
          <w:color w:val="000000" w:themeColor="text1"/>
          <w:sz w:val="32"/>
          <w:szCs w:val="32"/>
        </w:rPr>
        <w:t>1、规划为工业用地，但尚未开发建设，且仍有敏感目标的区域。</w:t>
      </w:r>
    </w:p>
    <w:p w:rsidR="005040C7" w:rsidRDefault="005040C7" w:rsidP="005040C7">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9369D">
        <w:rPr>
          <w:rFonts w:ascii="方正楷体简体" w:eastAsia="方正楷体简体" w:hAnsi="Times New Roman" w:cs="Times New Roman" w:hint="eastAsia"/>
          <w:color w:val="000000" w:themeColor="text1"/>
          <w:sz w:val="32"/>
          <w:szCs w:val="32"/>
        </w:rPr>
        <w:t>2、规划确定为非工业用地的区域。</w:t>
      </w:r>
    </w:p>
    <w:p w:rsidR="004767DA" w:rsidRPr="005B3208" w:rsidRDefault="00965B1B" w:rsidP="004767DA">
      <w:pPr>
        <w:widowControl/>
        <w:spacing w:line="560" w:lineRule="exact"/>
        <w:ind w:firstLineChars="200" w:firstLine="640"/>
        <w:rPr>
          <w:rFonts w:ascii="Times New Roman" w:eastAsia="楷体" w:hAnsi="Times New Roman" w:cs="Times New Roman"/>
          <w:color w:val="000000" w:themeColor="text1"/>
          <w:sz w:val="32"/>
          <w:szCs w:val="32"/>
        </w:rPr>
      </w:pPr>
      <w:r w:rsidRPr="005B3208">
        <w:rPr>
          <w:rFonts w:ascii="方正楷体简体" w:eastAsia="方正楷体简体" w:hAnsi="Times New Roman" w:cs="Times New Roman"/>
          <w:color w:val="000000" w:themeColor="text1"/>
          <w:sz w:val="32"/>
          <w:szCs w:val="32"/>
        </w:rPr>
        <w:t>（</w:t>
      </w:r>
      <w:r w:rsidR="005040C7">
        <w:rPr>
          <w:rFonts w:ascii="方正楷体简体" w:eastAsia="方正楷体简体" w:hAnsi="Times New Roman" w:cs="Times New Roman"/>
          <w:color w:val="000000" w:themeColor="text1"/>
          <w:sz w:val="32"/>
          <w:szCs w:val="32"/>
        </w:rPr>
        <w:t>四</w:t>
      </w:r>
      <w:r w:rsidRPr="005B3208">
        <w:rPr>
          <w:rFonts w:ascii="方正楷体简体" w:eastAsia="方正楷体简体" w:hAnsi="Times New Roman" w:cs="Times New Roman"/>
          <w:color w:val="000000" w:themeColor="text1"/>
          <w:sz w:val="32"/>
          <w:szCs w:val="32"/>
        </w:rPr>
        <w:t>）</w:t>
      </w:r>
      <w:r w:rsidR="004767DA" w:rsidRPr="005B3208">
        <w:rPr>
          <w:rFonts w:ascii="方正楷体简体" w:eastAsia="方正楷体简体" w:hAnsi="Times New Roman" w:cs="Times New Roman"/>
          <w:color w:val="000000" w:themeColor="text1"/>
          <w:sz w:val="32"/>
          <w:szCs w:val="32"/>
        </w:rPr>
        <w:t>乡村声环境功能的确定</w:t>
      </w:r>
    </w:p>
    <w:p w:rsidR="00D20E43" w:rsidRPr="00D20E43" w:rsidRDefault="00D20E43" w:rsidP="00D20E43">
      <w:pPr>
        <w:widowControl/>
        <w:spacing w:line="560" w:lineRule="exact"/>
        <w:ind w:firstLineChars="200" w:firstLine="640"/>
        <w:rPr>
          <w:rFonts w:ascii="Times New Roman" w:eastAsia="方正仿宋简体" w:hAnsi="Times New Roman" w:cs="Times New Roman"/>
          <w:color w:val="000000" w:themeColor="text1"/>
          <w:sz w:val="32"/>
          <w:szCs w:val="32"/>
        </w:rPr>
      </w:pPr>
      <w:r w:rsidRPr="00D20E43">
        <w:rPr>
          <w:rFonts w:ascii="Times New Roman" w:eastAsia="方正仿宋简体" w:hAnsi="Times New Roman" w:cs="Times New Roman" w:hint="eastAsia"/>
          <w:color w:val="000000" w:themeColor="text1"/>
          <w:sz w:val="32"/>
          <w:szCs w:val="32"/>
        </w:rPr>
        <w:t>1</w:t>
      </w:r>
      <w:r w:rsidRPr="00D20E43">
        <w:rPr>
          <w:rFonts w:ascii="Times New Roman" w:eastAsia="方正仿宋简体" w:hAnsi="Times New Roman" w:cs="Times New Roman" w:hint="eastAsia"/>
          <w:color w:val="000000" w:themeColor="text1"/>
          <w:sz w:val="32"/>
          <w:szCs w:val="32"/>
        </w:rPr>
        <w:t>、位于乡村的康复疗养区执行</w:t>
      </w:r>
      <w:r w:rsidRPr="00D20E43">
        <w:rPr>
          <w:rFonts w:ascii="Times New Roman" w:eastAsia="方正仿宋简体" w:hAnsi="Times New Roman" w:cs="Times New Roman" w:hint="eastAsia"/>
          <w:color w:val="000000" w:themeColor="text1"/>
          <w:sz w:val="32"/>
          <w:szCs w:val="32"/>
        </w:rPr>
        <w:t>0</w:t>
      </w:r>
      <w:r w:rsidRPr="00D20E43">
        <w:rPr>
          <w:rFonts w:ascii="Times New Roman" w:eastAsia="方正仿宋简体" w:hAnsi="Times New Roman" w:cs="Times New Roman" w:hint="eastAsia"/>
          <w:color w:val="000000" w:themeColor="text1"/>
          <w:sz w:val="32"/>
          <w:szCs w:val="32"/>
        </w:rPr>
        <w:t>类区标准。</w:t>
      </w:r>
    </w:p>
    <w:p w:rsidR="00D20E43" w:rsidRPr="00D20E43" w:rsidRDefault="00D20E43" w:rsidP="00D20E43">
      <w:pPr>
        <w:widowControl/>
        <w:spacing w:line="560" w:lineRule="exact"/>
        <w:ind w:firstLineChars="200" w:firstLine="640"/>
        <w:rPr>
          <w:rFonts w:ascii="Times New Roman" w:eastAsia="方正仿宋简体" w:hAnsi="Times New Roman" w:cs="Times New Roman"/>
          <w:color w:val="000000" w:themeColor="text1"/>
          <w:sz w:val="32"/>
          <w:szCs w:val="32"/>
        </w:rPr>
      </w:pPr>
      <w:r w:rsidRPr="00D20E43">
        <w:rPr>
          <w:rFonts w:ascii="Times New Roman" w:eastAsia="方正仿宋简体" w:hAnsi="Times New Roman" w:cs="Times New Roman" w:hint="eastAsia"/>
          <w:color w:val="000000" w:themeColor="text1"/>
          <w:sz w:val="32"/>
          <w:szCs w:val="32"/>
        </w:rPr>
        <w:t>2</w:t>
      </w:r>
      <w:r w:rsidRPr="00D20E43">
        <w:rPr>
          <w:rFonts w:ascii="Times New Roman" w:eastAsia="方正仿宋简体" w:hAnsi="Times New Roman" w:cs="Times New Roman" w:hint="eastAsia"/>
          <w:color w:val="000000" w:themeColor="text1"/>
          <w:sz w:val="32"/>
          <w:szCs w:val="32"/>
        </w:rPr>
        <w:t>、村庄原则上执行</w:t>
      </w:r>
      <w:r w:rsidRPr="00D20E43">
        <w:rPr>
          <w:rFonts w:ascii="Times New Roman" w:eastAsia="方正仿宋简体" w:hAnsi="Times New Roman" w:cs="Times New Roman" w:hint="eastAsia"/>
          <w:color w:val="000000" w:themeColor="text1"/>
          <w:sz w:val="32"/>
          <w:szCs w:val="32"/>
        </w:rPr>
        <w:t>1</w:t>
      </w:r>
      <w:r w:rsidRPr="00D20E43">
        <w:rPr>
          <w:rFonts w:ascii="Times New Roman" w:eastAsia="方正仿宋简体" w:hAnsi="Times New Roman" w:cs="Times New Roman" w:hint="eastAsia"/>
          <w:color w:val="000000" w:themeColor="text1"/>
          <w:sz w:val="32"/>
          <w:szCs w:val="32"/>
        </w:rPr>
        <w:t>类区标准，与工业企业相邻的村庄在企业边界外</w:t>
      </w:r>
      <w:r w:rsidRPr="00D20E43">
        <w:rPr>
          <w:rFonts w:ascii="Times New Roman" w:eastAsia="方正仿宋简体" w:hAnsi="Times New Roman" w:cs="Times New Roman" w:hint="eastAsia"/>
          <w:color w:val="000000" w:themeColor="text1"/>
          <w:sz w:val="32"/>
          <w:szCs w:val="32"/>
        </w:rPr>
        <w:t>200</w:t>
      </w:r>
      <w:r w:rsidRPr="00D20E43">
        <w:rPr>
          <w:rFonts w:ascii="Times New Roman" w:eastAsia="方正仿宋简体" w:hAnsi="Times New Roman" w:cs="Times New Roman" w:hint="eastAsia"/>
          <w:color w:val="000000" w:themeColor="text1"/>
          <w:sz w:val="32"/>
          <w:szCs w:val="32"/>
        </w:rPr>
        <w:t>米以内区域执行</w:t>
      </w:r>
      <w:r w:rsidRPr="00D20E43">
        <w:rPr>
          <w:rFonts w:ascii="Times New Roman" w:eastAsia="方正仿宋简体" w:hAnsi="Times New Roman" w:cs="Times New Roman" w:hint="eastAsia"/>
          <w:color w:val="000000" w:themeColor="text1"/>
          <w:sz w:val="32"/>
          <w:szCs w:val="32"/>
        </w:rPr>
        <w:t>2</w:t>
      </w:r>
      <w:r w:rsidRPr="00D20E43">
        <w:rPr>
          <w:rFonts w:ascii="Times New Roman" w:eastAsia="方正仿宋简体" w:hAnsi="Times New Roman" w:cs="Times New Roman" w:hint="eastAsia"/>
          <w:color w:val="000000" w:themeColor="text1"/>
          <w:sz w:val="32"/>
          <w:szCs w:val="32"/>
        </w:rPr>
        <w:t>类区标准。</w:t>
      </w:r>
    </w:p>
    <w:p w:rsidR="00D20E43" w:rsidRPr="00D20E43" w:rsidRDefault="00D20E43" w:rsidP="00D20E43">
      <w:pPr>
        <w:widowControl/>
        <w:spacing w:line="560" w:lineRule="exact"/>
        <w:ind w:firstLineChars="200" w:firstLine="640"/>
        <w:rPr>
          <w:rFonts w:ascii="Times New Roman" w:eastAsia="方正仿宋简体" w:hAnsi="Times New Roman" w:cs="Times New Roman"/>
          <w:color w:val="000000" w:themeColor="text1"/>
          <w:sz w:val="32"/>
          <w:szCs w:val="32"/>
        </w:rPr>
      </w:pPr>
      <w:r w:rsidRPr="00D20E43">
        <w:rPr>
          <w:rFonts w:ascii="Times New Roman" w:eastAsia="方正仿宋简体" w:hAnsi="Times New Roman" w:cs="Times New Roman" w:hint="eastAsia"/>
          <w:color w:val="000000" w:themeColor="text1"/>
          <w:sz w:val="32"/>
          <w:szCs w:val="32"/>
        </w:rPr>
        <w:t>3</w:t>
      </w:r>
      <w:r w:rsidRPr="00D20E43">
        <w:rPr>
          <w:rFonts w:ascii="Times New Roman" w:eastAsia="方正仿宋简体" w:hAnsi="Times New Roman" w:cs="Times New Roman" w:hint="eastAsia"/>
          <w:color w:val="000000" w:themeColor="text1"/>
          <w:sz w:val="32"/>
          <w:szCs w:val="32"/>
        </w:rPr>
        <w:t>、位于交通干线两侧一定距离（表</w:t>
      </w:r>
      <w:r w:rsidRPr="00D20E43">
        <w:rPr>
          <w:rFonts w:ascii="Times New Roman" w:eastAsia="方正仿宋简体" w:hAnsi="Times New Roman" w:cs="Times New Roman" w:hint="eastAsia"/>
          <w:color w:val="000000" w:themeColor="text1"/>
          <w:sz w:val="32"/>
          <w:szCs w:val="32"/>
        </w:rPr>
        <w:t>1</w:t>
      </w:r>
      <w:r w:rsidRPr="00D20E43">
        <w:rPr>
          <w:rFonts w:ascii="Times New Roman" w:eastAsia="方正仿宋简体" w:hAnsi="Times New Roman" w:cs="Times New Roman" w:hint="eastAsia"/>
          <w:color w:val="000000" w:themeColor="text1"/>
          <w:sz w:val="32"/>
          <w:szCs w:val="32"/>
        </w:rPr>
        <w:t>）内的噪声敏感建筑物执行</w:t>
      </w:r>
      <w:r w:rsidRPr="00D20E43">
        <w:rPr>
          <w:rFonts w:ascii="Times New Roman" w:eastAsia="方正仿宋简体" w:hAnsi="Times New Roman" w:cs="Times New Roman" w:hint="eastAsia"/>
          <w:color w:val="000000" w:themeColor="text1"/>
          <w:sz w:val="32"/>
          <w:szCs w:val="32"/>
        </w:rPr>
        <w:t>4</w:t>
      </w:r>
      <w:r w:rsidRPr="00D20E43">
        <w:rPr>
          <w:rFonts w:ascii="Times New Roman" w:eastAsia="方正仿宋简体" w:hAnsi="Times New Roman" w:cs="Times New Roman" w:hint="eastAsia"/>
          <w:color w:val="000000" w:themeColor="text1"/>
          <w:sz w:val="32"/>
          <w:szCs w:val="32"/>
        </w:rPr>
        <w:t>类区标准。</w:t>
      </w:r>
    </w:p>
    <w:p w:rsidR="00D20E43" w:rsidRPr="00D20E43" w:rsidRDefault="00D20E43" w:rsidP="00D20E43">
      <w:pPr>
        <w:widowControl/>
        <w:spacing w:line="560" w:lineRule="exact"/>
        <w:ind w:firstLineChars="200" w:firstLine="640"/>
        <w:rPr>
          <w:rFonts w:ascii="Times New Roman" w:eastAsia="方正仿宋简体" w:hAnsi="Times New Roman" w:cs="Times New Roman"/>
          <w:color w:val="000000" w:themeColor="text1"/>
          <w:sz w:val="32"/>
          <w:szCs w:val="32"/>
        </w:rPr>
      </w:pPr>
      <w:r w:rsidRPr="00D20E43">
        <w:rPr>
          <w:rFonts w:ascii="Times New Roman" w:eastAsia="方正仿宋简体" w:hAnsi="Times New Roman" w:cs="Times New Roman" w:hint="eastAsia"/>
          <w:color w:val="000000" w:themeColor="text1"/>
          <w:sz w:val="32"/>
          <w:szCs w:val="32"/>
        </w:rPr>
        <w:t>4</w:t>
      </w:r>
      <w:r w:rsidRPr="00D20E43">
        <w:rPr>
          <w:rFonts w:ascii="Times New Roman" w:eastAsia="方正仿宋简体" w:hAnsi="Times New Roman" w:cs="Times New Roman" w:hint="eastAsia"/>
          <w:color w:val="000000" w:themeColor="text1"/>
          <w:sz w:val="32"/>
          <w:szCs w:val="32"/>
        </w:rPr>
        <w:t>、集镇执行</w:t>
      </w:r>
      <w:r w:rsidRPr="00D20E43">
        <w:rPr>
          <w:rFonts w:ascii="Times New Roman" w:eastAsia="方正仿宋简体" w:hAnsi="Times New Roman" w:cs="Times New Roman" w:hint="eastAsia"/>
          <w:color w:val="000000" w:themeColor="text1"/>
          <w:sz w:val="32"/>
          <w:szCs w:val="32"/>
        </w:rPr>
        <w:t>2</w:t>
      </w:r>
      <w:r w:rsidRPr="00D20E43">
        <w:rPr>
          <w:rFonts w:ascii="Times New Roman" w:eastAsia="方正仿宋简体" w:hAnsi="Times New Roman" w:cs="Times New Roman" w:hint="eastAsia"/>
          <w:color w:val="000000" w:themeColor="text1"/>
          <w:sz w:val="32"/>
          <w:szCs w:val="32"/>
        </w:rPr>
        <w:t>类声环境功能区要求。</w:t>
      </w:r>
    </w:p>
    <w:p w:rsidR="00D20E43" w:rsidRDefault="00D20E43" w:rsidP="00D20E43">
      <w:pPr>
        <w:widowControl/>
        <w:spacing w:line="560" w:lineRule="exact"/>
        <w:ind w:firstLineChars="200" w:firstLine="640"/>
        <w:rPr>
          <w:rFonts w:ascii="Times New Roman" w:eastAsia="方正仿宋简体" w:hAnsi="Times New Roman" w:cs="Times New Roman"/>
          <w:color w:val="000000" w:themeColor="text1"/>
          <w:sz w:val="32"/>
          <w:szCs w:val="32"/>
        </w:rPr>
      </w:pPr>
      <w:r w:rsidRPr="00D20E43">
        <w:rPr>
          <w:rFonts w:ascii="Times New Roman" w:eastAsia="方正仿宋简体" w:hAnsi="Times New Roman" w:cs="Times New Roman" w:hint="eastAsia"/>
          <w:color w:val="000000" w:themeColor="text1"/>
          <w:sz w:val="32"/>
          <w:szCs w:val="32"/>
        </w:rPr>
        <w:t>5</w:t>
      </w:r>
      <w:r w:rsidRPr="00D20E43">
        <w:rPr>
          <w:rFonts w:ascii="Times New Roman" w:eastAsia="方正仿宋简体" w:hAnsi="Times New Roman" w:cs="Times New Roman" w:hint="eastAsia"/>
          <w:color w:val="000000" w:themeColor="text1"/>
          <w:sz w:val="32"/>
          <w:szCs w:val="32"/>
        </w:rPr>
        <w:t>、独立于村庄、集镇之外的工业、仓储集中区执行</w:t>
      </w:r>
      <w:r w:rsidRPr="00D20E43">
        <w:rPr>
          <w:rFonts w:ascii="Times New Roman" w:eastAsia="方正仿宋简体" w:hAnsi="Times New Roman" w:cs="Times New Roman" w:hint="eastAsia"/>
          <w:color w:val="000000" w:themeColor="text1"/>
          <w:sz w:val="32"/>
          <w:szCs w:val="32"/>
        </w:rPr>
        <w:t>3</w:t>
      </w:r>
      <w:r w:rsidRPr="00D20E43">
        <w:rPr>
          <w:rFonts w:ascii="Times New Roman" w:eastAsia="方正仿宋简体" w:hAnsi="Times New Roman" w:cs="Times New Roman" w:hint="eastAsia"/>
          <w:color w:val="000000" w:themeColor="text1"/>
          <w:sz w:val="32"/>
          <w:szCs w:val="32"/>
        </w:rPr>
        <w:t>类声环境功能区要求。</w:t>
      </w:r>
    </w:p>
    <w:p w:rsidR="00631525" w:rsidRPr="005B3208" w:rsidRDefault="004767DA" w:rsidP="00D20E43">
      <w:pPr>
        <w:widowControl/>
        <w:spacing w:line="560" w:lineRule="exact"/>
        <w:ind w:firstLineChars="200" w:firstLine="640"/>
        <w:rPr>
          <w:rFonts w:ascii="Times New Roman" w:eastAsia="仿宋" w:hAnsi="Times New Roman" w:cs="Times New Roman"/>
          <w:color w:val="000000" w:themeColor="text1"/>
          <w:kern w:val="0"/>
          <w:sz w:val="32"/>
          <w:szCs w:val="32"/>
        </w:rPr>
      </w:pPr>
      <w:r w:rsidRPr="005B3208">
        <w:rPr>
          <w:rFonts w:ascii="方正楷体简体" w:eastAsia="方正楷体简体" w:hAnsi="Times New Roman" w:cs="Times New Roman"/>
          <w:color w:val="000000" w:themeColor="text1"/>
          <w:sz w:val="32"/>
          <w:szCs w:val="32"/>
        </w:rPr>
        <w:t>（</w:t>
      </w:r>
      <w:r w:rsidR="005040C7">
        <w:rPr>
          <w:rFonts w:ascii="方正楷体简体" w:eastAsia="方正楷体简体" w:hAnsi="Times New Roman" w:cs="Times New Roman"/>
          <w:color w:val="000000" w:themeColor="text1"/>
          <w:sz w:val="32"/>
          <w:szCs w:val="32"/>
        </w:rPr>
        <w:t>五</w:t>
      </w:r>
      <w:r w:rsidRPr="005B3208">
        <w:rPr>
          <w:rFonts w:ascii="方正楷体简体" w:eastAsia="方正楷体简体" w:hAnsi="Times New Roman" w:cs="Times New Roman"/>
          <w:color w:val="000000" w:themeColor="text1"/>
          <w:sz w:val="32"/>
          <w:szCs w:val="32"/>
        </w:rPr>
        <w:t>）</w:t>
      </w:r>
      <w:r w:rsidR="00965B1B" w:rsidRPr="005B3208">
        <w:rPr>
          <w:rFonts w:ascii="方正楷体简体" w:eastAsia="方正楷体简体" w:hAnsi="Times New Roman" w:cs="Times New Roman" w:hint="eastAsia"/>
          <w:color w:val="000000" w:themeColor="text1"/>
          <w:sz w:val="32"/>
          <w:szCs w:val="32"/>
        </w:rPr>
        <w:t>其他规定</w:t>
      </w:r>
    </w:p>
    <w:p w:rsidR="004767DA" w:rsidRPr="005B3208" w:rsidRDefault="004767DA" w:rsidP="004767DA">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lastRenderedPageBreak/>
        <w:t>1</w:t>
      </w:r>
      <w:r w:rsidRPr="005B3208">
        <w:rPr>
          <w:rFonts w:ascii="Times New Roman" w:eastAsia="方正仿宋简体" w:hAnsi="Times New Roman" w:cs="Times New Roman" w:hint="eastAsia"/>
          <w:color w:val="000000" w:themeColor="text1"/>
          <w:sz w:val="32"/>
          <w:szCs w:val="32"/>
        </w:rPr>
        <w:t>、对于近期规划已经明确为工业生产、仓储物流建设用地、城市道路、综合交通枢纽用地的区域（区划方案已划定为</w:t>
      </w: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hint="eastAsia"/>
          <w:color w:val="000000" w:themeColor="text1"/>
          <w:sz w:val="32"/>
          <w:szCs w:val="32"/>
        </w:rPr>
        <w:t>4</w:t>
      </w:r>
      <w:r w:rsidRPr="005B3208">
        <w:rPr>
          <w:rFonts w:ascii="Times New Roman" w:eastAsia="方正仿宋简体" w:hAnsi="Times New Roman" w:cs="Times New Roman" w:hint="eastAsia"/>
          <w:color w:val="000000" w:themeColor="text1"/>
          <w:sz w:val="32"/>
          <w:szCs w:val="32"/>
        </w:rPr>
        <w:t>类区），但用地现状为村庄、居民住宅、医疗卫生、文化教育、科研设计、行政办公等为主的非工业用地，暂时执行</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类区标准。前述区域建设用地规划许可变更后，则执行</w:t>
      </w: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hint="eastAsia"/>
          <w:color w:val="000000" w:themeColor="text1"/>
          <w:sz w:val="32"/>
          <w:szCs w:val="32"/>
        </w:rPr>
        <w:t>4</w:t>
      </w:r>
      <w:r w:rsidRPr="005B3208">
        <w:rPr>
          <w:rFonts w:ascii="Times New Roman" w:eastAsia="方正仿宋简体" w:hAnsi="Times New Roman" w:cs="Times New Roman" w:hint="eastAsia"/>
          <w:color w:val="000000" w:themeColor="text1"/>
          <w:sz w:val="32"/>
          <w:szCs w:val="32"/>
        </w:rPr>
        <w:t>类区标准。</w:t>
      </w:r>
    </w:p>
    <w:p w:rsidR="004767DA" w:rsidRPr="005B3208" w:rsidRDefault="004767DA" w:rsidP="004767DA">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、对重大项目和重要基础设施建设导致区域用地性质和声环境质量发生重大变化的，相关区域的声环境功能区划可按程序调整，报政府批准后公布实施。</w:t>
      </w:r>
    </w:p>
    <w:p w:rsidR="00631525" w:rsidRPr="005B3208" w:rsidRDefault="00FB3D0E" w:rsidP="00FB3D0E">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机场周围区域内除飞机外的交通运输、工业生产、建筑施工和社会生活噪声源，应执行其所在本区划声环境功能区对应的噪声排放标准；飞机降落与地面滑行过程中产生的噪声按照《机场周围飞机噪声环境标准》（</w:t>
      </w:r>
      <w:r w:rsidRPr="005B3208">
        <w:rPr>
          <w:rFonts w:ascii="Times New Roman" w:eastAsia="方正仿宋简体" w:hAnsi="Times New Roman" w:cs="Times New Roman" w:hint="eastAsia"/>
          <w:color w:val="000000" w:themeColor="text1"/>
          <w:sz w:val="32"/>
          <w:szCs w:val="32"/>
        </w:rPr>
        <w:t>GB9660-88</w:t>
      </w:r>
      <w:r w:rsidRPr="005B3208">
        <w:rPr>
          <w:rFonts w:ascii="Times New Roman" w:eastAsia="方正仿宋简体" w:hAnsi="Times New Roman" w:cs="Times New Roman" w:hint="eastAsia"/>
          <w:color w:val="000000" w:themeColor="text1"/>
          <w:sz w:val="32"/>
          <w:szCs w:val="32"/>
        </w:rPr>
        <w:t>）的要求进行管理。机场周围区域指机场周围受飞机通过（起飞、降落、低空飞越）噪声影响的范围，以经批准的相关环境影响评价文件中所确定的区域为准。</w:t>
      </w:r>
    </w:p>
    <w:p w:rsidR="00631525" w:rsidRPr="005B3208" w:rsidRDefault="00965B1B">
      <w:pPr>
        <w:widowControl/>
        <w:spacing w:line="560" w:lineRule="exact"/>
        <w:ind w:firstLineChars="200" w:firstLine="640"/>
        <w:rPr>
          <w:rFonts w:ascii="Times New Roman" w:eastAsia="楷体" w:hAnsi="Times New Roman" w:cs="Times New Roman"/>
          <w:color w:val="000000" w:themeColor="text1"/>
          <w:sz w:val="32"/>
          <w:szCs w:val="32"/>
        </w:rPr>
      </w:pPr>
      <w:r w:rsidRPr="005B3208">
        <w:rPr>
          <w:rFonts w:ascii="方正楷体简体" w:eastAsia="方正楷体简体" w:hAnsi="Times New Roman" w:cs="Times New Roman"/>
          <w:color w:val="000000" w:themeColor="text1"/>
          <w:sz w:val="32"/>
          <w:szCs w:val="32"/>
        </w:rPr>
        <w:t>（</w:t>
      </w:r>
      <w:r w:rsidR="005040C7">
        <w:rPr>
          <w:rFonts w:ascii="方正楷体简体" w:eastAsia="方正楷体简体" w:hAnsi="Times New Roman" w:cs="Times New Roman" w:hint="eastAsia"/>
          <w:color w:val="000000" w:themeColor="text1"/>
          <w:sz w:val="32"/>
          <w:szCs w:val="32"/>
        </w:rPr>
        <w:t>六</w:t>
      </w:r>
      <w:r w:rsidRPr="005B3208">
        <w:rPr>
          <w:rFonts w:ascii="方正楷体简体" w:eastAsia="方正楷体简体" w:hAnsi="Times New Roman" w:cs="Times New Roman"/>
          <w:color w:val="000000" w:themeColor="text1"/>
          <w:sz w:val="32"/>
          <w:szCs w:val="32"/>
        </w:rPr>
        <w:t>）</w:t>
      </w:r>
      <w:r w:rsidR="004767DA" w:rsidRPr="005B3208">
        <w:rPr>
          <w:rFonts w:ascii="方正楷体简体" w:eastAsia="方正楷体简体" w:hAnsi="Times New Roman" w:cs="Times New Roman" w:hint="eastAsia"/>
          <w:color w:val="000000" w:themeColor="text1"/>
          <w:sz w:val="32"/>
          <w:szCs w:val="32"/>
        </w:rPr>
        <w:t>执行标准</w:t>
      </w:r>
    </w:p>
    <w:p w:rsidR="004767DA" w:rsidRPr="005B3208" w:rsidRDefault="004767DA" w:rsidP="004767DA">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根据《声环境质量标准》（</w:t>
      </w:r>
      <w:r w:rsidRPr="005B3208">
        <w:rPr>
          <w:rFonts w:ascii="Times New Roman" w:eastAsia="方正仿宋简体" w:hAnsi="Times New Roman" w:cs="Times New Roman" w:hint="eastAsia"/>
          <w:color w:val="000000" w:themeColor="text1"/>
          <w:sz w:val="32"/>
          <w:szCs w:val="32"/>
        </w:rPr>
        <w:t>GB3096-2008</w:t>
      </w:r>
      <w:r w:rsidRPr="005B3208">
        <w:rPr>
          <w:rFonts w:ascii="Times New Roman" w:eastAsia="方正仿宋简体" w:hAnsi="Times New Roman" w:cs="Times New Roman" w:hint="eastAsia"/>
          <w:color w:val="000000" w:themeColor="text1"/>
          <w:sz w:val="32"/>
          <w:szCs w:val="32"/>
        </w:rPr>
        <w:t>），各类声环境功能区执行环境噪声限值。详见表</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w:t>
      </w:r>
    </w:p>
    <w:p w:rsidR="00631525" w:rsidRPr="005B3208" w:rsidRDefault="00965B1B">
      <w:pPr>
        <w:widowControl/>
        <w:spacing w:line="420" w:lineRule="atLeast"/>
        <w:ind w:firstLineChars="200" w:firstLine="640"/>
        <w:jc w:val="center"/>
        <w:rPr>
          <w:rFonts w:ascii="Times New Roman" w:eastAsia="仿宋" w:hAnsi="Times New Roman" w:cs="Times New Roman"/>
          <w:color w:val="000000" w:themeColor="text1"/>
          <w:kern w:val="0"/>
          <w:sz w:val="32"/>
          <w:szCs w:val="32"/>
        </w:rPr>
      </w:pPr>
      <w:r w:rsidRPr="005B3208">
        <w:rPr>
          <w:rFonts w:ascii="Times New Roman" w:eastAsia="黑体" w:hAnsi="Times New Roman" w:cs="Times New Roman"/>
          <w:color w:val="000000" w:themeColor="text1"/>
          <w:kern w:val="0"/>
          <w:sz w:val="32"/>
          <w:szCs w:val="32"/>
        </w:rPr>
        <w:t>表</w:t>
      </w:r>
      <w:r w:rsidR="001B291D" w:rsidRPr="005B3208">
        <w:rPr>
          <w:rFonts w:ascii="Times New Roman" w:eastAsia="黑体" w:hAnsi="Times New Roman" w:cs="Times New Roman" w:hint="eastAsia"/>
          <w:color w:val="000000" w:themeColor="text1"/>
          <w:kern w:val="0"/>
          <w:sz w:val="32"/>
          <w:szCs w:val="32"/>
        </w:rPr>
        <w:t>2</w:t>
      </w:r>
      <w:r w:rsidR="004767DA" w:rsidRPr="005B3208">
        <w:rPr>
          <w:rFonts w:ascii="Times New Roman" w:eastAsia="黑体" w:hAnsi="Times New Roman" w:cs="Times New Roman" w:hint="eastAsia"/>
          <w:color w:val="000000" w:themeColor="text1"/>
          <w:kern w:val="0"/>
          <w:sz w:val="32"/>
          <w:szCs w:val="32"/>
        </w:rPr>
        <w:t>各类声环境功能区执行环境噪声限值</w:t>
      </w:r>
    </w:p>
    <w:p w:rsidR="00631525" w:rsidRPr="005B3208" w:rsidRDefault="00965B1B">
      <w:pPr>
        <w:widowControl/>
        <w:spacing w:line="420" w:lineRule="atLeast"/>
        <w:ind w:firstLineChars="200" w:firstLine="640"/>
        <w:jc w:val="right"/>
        <w:rPr>
          <w:rFonts w:ascii="Times New Roman" w:eastAsia="仿宋" w:hAnsi="Times New Roman" w:cs="Times New Roman"/>
          <w:color w:val="000000" w:themeColor="text1"/>
          <w:kern w:val="0"/>
          <w:sz w:val="32"/>
          <w:szCs w:val="32"/>
        </w:rPr>
      </w:pPr>
      <w:r w:rsidRPr="005B3208">
        <w:rPr>
          <w:rFonts w:ascii="Times New Roman" w:eastAsia="仿宋" w:hAnsi="Times New Roman" w:cs="Times New Roman"/>
          <w:color w:val="000000" w:themeColor="text1"/>
          <w:kern w:val="0"/>
          <w:sz w:val="32"/>
          <w:szCs w:val="32"/>
        </w:rPr>
        <w:t>单位：</w:t>
      </w:r>
      <w:r w:rsidRPr="005B3208">
        <w:rPr>
          <w:rFonts w:ascii="Times New Roman" w:eastAsia="仿宋" w:hAnsi="Times New Roman" w:cs="Times New Roman"/>
          <w:color w:val="000000" w:themeColor="text1"/>
          <w:kern w:val="0"/>
          <w:sz w:val="32"/>
          <w:szCs w:val="32"/>
        </w:rPr>
        <w:t>dB</w:t>
      </w:r>
      <w:r w:rsidRPr="005B3208">
        <w:rPr>
          <w:rFonts w:ascii="Times New Roman" w:eastAsia="仿宋" w:hAnsi="Times New Roman" w:cs="Times New Roman"/>
          <w:color w:val="000000" w:themeColor="text1"/>
          <w:kern w:val="0"/>
          <w:sz w:val="32"/>
          <w:szCs w:val="32"/>
        </w:rPr>
        <w:t>（</w:t>
      </w:r>
      <w:r w:rsidRPr="005B3208">
        <w:rPr>
          <w:rFonts w:ascii="Times New Roman" w:eastAsia="仿宋" w:hAnsi="Times New Roman" w:cs="Times New Roman"/>
          <w:color w:val="000000" w:themeColor="text1"/>
          <w:kern w:val="0"/>
          <w:sz w:val="32"/>
          <w:szCs w:val="32"/>
        </w:rPr>
        <w:t>A</w:t>
      </w:r>
      <w:r w:rsidRPr="005B3208">
        <w:rPr>
          <w:rFonts w:ascii="Times New Roman" w:eastAsia="仿宋" w:hAnsi="Times New Roman" w:cs="Times New Roman"/>
          <w:color w:val="000000" w:themeColor="text1"/>
          <w:kern w:val="0"/>
          <w:sz w:val="32"/>
          <w:szCs w:val="32"/>
        </w:rPr>
        <w:t>）</w:t>
      </w:r>
    </w:p>
    <w:tbl>
      <w:tblPr>
        <w:tblStyle w:val="a6"/>
        <w:tblW w:w="9488" w:type="dxa"/>
        <w:jc w:val="center"/>
        <w:tblLayout w:type="fixed"/>
        <w:tblLook w:val="04A0"/>
      </w:tblPr>
      <w:tblGrid>
        <w:gridCol w:w="2181"/>
        <w:gridCol w:w="2130"/>
        <w:gridCol w:w="2578"/>
        <w:gridCol w:w="2599"/>
      </w:tblGrid>
      <w:tr w:rsidR="005B3208" w:rsidRPr="005B3208" w:rsidTr="00D81F5F">
        <w:trPr>
          <w:trHeight w:val="514"/>
          <w:tblHeader/>
          <w:jc w:val="center"/>
        </w:trPr>
        <w:tc>
          <w:tcPr>
            <w:tcW w:w="4311" w:type="dxa"/>
            <w:gridSpan w:val="2"/>
            <w:vMerge w:val="restart"/>
            <w:vAlign w:val="center"/>
          </w:tcPr>
          <w:p w:rsidR="00631525" w:rsidRPr="00FA28B0" w:rsidRDefault="00965B1B"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声环境功能区类别</w:t>
            </w:r>
          </w:p>
        </w:tc>
        <w:tc>
          <w:tcPr>
            <w:tcW w:w="5177" w:type="dxa"/>
            <w:gridSpan w:val="2"/>
            <w:vAlign w:val="center"/>
          </w:tcPr>
          <w:p w:rsidR="00631525" w:rsidRPr="00FA28B0" w:rsidRDefault="00965B1B"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时段</w:t>
            </w:r>
          </w:p>
        </w:tc>
      </w:tr>
      <w:tr w:rsidR="005B3208" w:rsidRPr="005B3208" w:rsidTr="00D81F5F">
        <w:trPr>
          <w:trHeight w:val="535"/>
          <w:tblHeader/>
          <w:jc w:val="center"/>
        </w:trPr>
        <w:tc>
          <w:tcPr>
            <w:tcW w:w="4311" w:type="dxa"/>
            <w:gridSpan w:val="2"/>
            <w:vMerge/>
            <w:vAlign w:val="center"/>
          </w:tcPr>
          <w:p w:rsidR="00631525" w:rsidRPr="00FA28B0" w:rsidRDefault="00631525" w:rsidP="00FA28B0">
            <w:pPr>
              <w:widowControl/>
              <w:spacing w:line="400" w:lineRule="exact"/>
              <w:jc w:val="center"/>
              <w:rPr>
                <w:rFonts w:ascii="Times New Roman" w:eastAsia="黑体" w:hAnsi="Times New Roman" w:cs="Times New Roman"/>
                <w:color w:val="000000" w:themeColor="text1"/>
                <w:kern w:val="0"/>
                <w:sz w:val="30"/>
                <w:szCs w:val="30"/>
              </w:rPr>
            </w:pPr>
          </w:p>
        </w:tc>
        <w:tc>
          <w:tcPr>
            <w:tcW w:w="2578" w:type="dxa"/>
            <w:vAlign w:val="center"/>
          </w:tcPr>
          <w:p w:rsidR="00631525" w:rsidRPr="00FA28B0" w:rsidRDefault="00965B1B"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昼间</w:t>
            </w:r>
          </w:p>
        </w:tc>
        <w:tc>
          <w:tcPr>
            <w:tcW w:w="2599" w:type="dxa"/>
            <w:vAlign w:val="center"/>
          </w:tcPr>
          <w:p w:rsidR="00631525" w:rsidRPr="00FA28B0" w:rsidRDefault="00965B1B"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夜间</w:t>
            </w:r>
          </w:p>
        </w:tc>
      </w:tr>
      <w:tr w:rsidR="005B3208" w:rsidRPr="005B3208" w:rsidTr="00D81F5F">
        <w:trPr>
          <w:trHeight w:val="554"/>
          <w:jc w:val="center"/>
        </w:trPr>
        <w:tc>
          <w:tcPr>
            <w:tcW w:w="4311" w:type="dxa"/>
            <w:gridSpan w:val="2"/>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0</w:t>
            </w:r>
            <w:r w:rsidRPr="005B3208">
              <w:rPr>
                <w:rFonts w:ascii="Times New Roman" w:eastAsia="仿宋" w:hAnsi="Times New Roman" w:cs="Times New Roman"/>
                <w:color w:val="000000" w:themeColor="text1"/>
                <w:kern w:val="0"/>
                <w:sz w:val="30"/>
                <w:szCs w:val="30"/>
              </w:rPr>
              <w:t>类</w:t>
            </w:r>
          </w:p>
        </w:tc>
        <w:tc>
          <w:tcPr>
            <w:tcW w:w="2578"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50</w:t>
            </w:r>
          </w:p>
        </w:tc>
        <w:tc>
          <w:tcPr>
            <w:tcW w:w="2599"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40</w:t>
            </w:r>
          </w:p>
        </w:tc>
      </w:tr>
      <w:tr w:rsidR="005B3208" w:rsidRPr="005B3208" w:rsidTr="00D81F5F">
        <w:trPr>
          <w:trHeight w:val="646"/>
          <w:jc w:val="center"/>
        </w:trPr>
        <w:tc>
          <w:tcPr>
            <w:tcW w:w="4311" w:type="dxa"/>
            <w:gridSpan w:val="2"/>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1</w:t>
            </w:r>
            <w:r w:rsidRPr="005B3208">
              <w:rPr>
                <w:rFonts w:ascii="Times New Roman" w:eastAsia="仿宋" w:hAnsi="Times New Roman" w:cs="Times New Roman"/>
                <w:color w:val="000000" w:themeColor="text1"/>
                <w:kern w:val="0"/>
                <w:sz w:val="30"/>
                <w:szCs w:val="30"/>
              </w:rPr>
              <w:t>类</w:t>
            </w:r>
          </w:p>
        </w:tc>
        <w:tc>
          <w:tcPr>
            <w:tcW w:w="2578"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55</w:t>
            </w:r>
          </w:p>
        </w:tc>
        <w:tc>
          <w:tcPr>
            <w:tcW w:w="2599"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45</w:t>
            </w:r>
          </w:p>
        </w:tc>
      </w:tr>
      <w:tr w:rsidR="005B3208" w:rsidRPr="005B3208" w:rsidTr="00D81F5F">
        <w:trPr>
          <w:trHeight w:val="596"/>
          <w:jc w:val="center"/>
        </w:trPr>
        <w:tc>
          <w:tcPr>
            <w:tcW w:w="4311" w:type="dxa"/>
            <w:gridSpan w:val="2"/>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2</w:t>
            </w:r>
            <w:r w:rsidRPr="005B3208">
              <w:rPr>
                <w:rFonts w:ascii="Times New Roman" w:eastAsia="仿宋" w:hAnsi="Times New Roman" w:cs="Times New Roman"/>
                <w:color w:val="000000" w:themeColor="text1"/>
                <w:kern w:val="0"/>
                <w:sz w:val="30"/>
                <w:szCs w:val="30"/>
              </w:rPr>
              <w:t>类</w:t>
            </w:r>
          </w:p>
        </w:tc>
        <w:tc>
          <w:tcPr>
            <w:tcW w:w="2578"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60</w:t>
            </w:r>
          </w:p>
        </w:tc>
        <w:tc>
          <w:tcPr>
            <w:tcW w:w="2599"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50</w:t>
            </w:r>
          </w:p>
        </w:tc>
      </w:tr>
      <w:tr w:rsidR="005B3208" w:rsidRPr="005B3208" w:rsidTr="00D81F5F">
        <w:trPr>
          <w:trHeight w:val="574"/>
          <w:jc w:val="center"/>
        </w:trPr>
        <w:tc>
          <w:tcPr>
            <w:tcW w:w="4311" w:type="dxa"/>
            <w:gridSpan w:val="2"/>
            <w:tcBorders>
              <w:bottom w:val="single" w:sz="4" w:space="0" w:color="auto"/>
            </w:tcBorders>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lastRenderedPageBreak/>
              <w:t>3</w:t>
            </w:r>
            <w:r w:rsidRPr="005B3208">
              <w:rPr>
                <w:rFonts w:ascii="Times New Roman" w:eastAsia="仿宋" w:hAnsi="Times New Roman" w:cs="Times New Roman"/>
                <w:color w:val="000000" w:themeColor="text1"/>
                <w:kern w:val="0"/>
                <w:sz w:val="30"/>
                <w:szCs w:val="30"/>
              </w:rPr>
              <w:t>类</w:t>
            </w:r>
          </w:p>
        </w:tc>
        <w:tc>
          <w:tcPr>
            <w:tcW w:w="2578" w:type="dxa"/>
            <w:tcBorders>
              <w:bottom w:val="single" w:sz="4" w:space="0" w:color="auto"/>
            </w:tcBorders>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65</w:t>
            </w:r>
          </w:p>
        </w:tc>
        <w:tc>
          <w:tcPr>
            <w:tcW w:w="2599" w:type="dxa"/>
            <w:tcBorders>
              <w:bottom w:val="single" w:sz="4" w:space="0" w:color="auto"/>
            </w:tcBorders>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55</w:t>
            </w:r>
          </w:p>
        </w:tc>
      </w:tr>
      <w:tr w:rsidR="005B3208" w:rsidRPr="005B3208" w:rsidTr="00D81F5F">
        <w:trPr>
          <w:trHeight w:val="540"/>
          <w:jc w:val="center"/>
        </w:trPr>
        <w:tc>
          <w:tcPr>
            <w:tcW w:w="2181" w:type="dxa"/>
            <w:vMerge w:val="restart"/>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w:t>
            </w:r>
            <w:r w:rsidRPr="005B3208">
              <w:rPr>
                <w:rFonts w:ascii="Times New Roman" w:eastAsia="仿宋" w:hAnsi="Times New Roman" w:cs="Times New Roman"/>
                <w:color w:val="000000" w:themeColor="text1"/>
                <w:kern w:val="0"/>
                <w:sz w:val="30"/>
                <w:szCs w:val="30"/>
              </w:rPr>
              <w:t>类</w:t>
            </w:r>
          </w:p>
        </w:tc>
        <w:tc>
          <w:tcPr>
            <w:tcW w:w="2130"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4a</w:t>
            </w:r>
          </w:p>
        </w:tc>
        <w:tc>
          <w:tcPr>
            <w:tcW w:w="2578"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70</w:t>
            </w:r>
          </w:p>
        </w:tc>
        <w:tc>
          <w:tcPr>
            <w:tcW w:w="2599"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55</w:t>
            </w:r>
          </w:p>
        </w:tc>
      </w:tr>
      <w:tr w:rsidR="005B3208" w:rsidRPr="005B3208" w:rsidTr="00D81F5F">
        <w:trPr>
          <w:trHeight w:val="576"/>
          <w:jc w:val="center"/>
        </w:trPr>
        <w:tc>
          <w:tcPr>
            <w:tcW w:w="2181" w:type="dxa"/>
            <w:vMerge/>
            <w:vAlign w:val="center"/>
          </w:tcPr>
          <w:p w:rsidR="00631525" w:rsidRPr="005B3208" w:rsidRDefault="00631525">
            <w:pPr>
              <w:widowControl/>
              <w:spacing w:line="460" w:lineRule="exact"/>
              <w:jc w:val="center"/>
              <w:rPr>
                <w:rFonts w:ascii="Times New Roman" w:eastAsia="仿宋" w:hAnsi="Times New Roman" w:cs="Times New Roman"/>
                <w:color w:val="000000" w:themeColor="text1"/>
                <w:kern w:val="0"/>
                <w:sz w:val="30"/>
                <w:szCs w:val="30"/>
              </w:rPr>
            </w:pPr>
          </w:p>
        </w:tc>
        <w:tc>
          <w:tcPr>
            <w:tcW w:w="2130"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4b</w:t>
            </w:r>
          </w:p>
        </w:tc>
        <w:tc>
          <w:tcPr>
            <w:tcW w:w="2578"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70</w:t>
            </w:r>
          </w:p>
        </w:tc>
        <w:tc>
          <w:tcPr>
            <w:tcW w:w="2599" w:type="dxa"/>
            <w:vAlign w:val="center"/>
          </w:tcPr>
          <w:p w:rsidR="00631525" w:rsidRPr="005B3208" w:rsidRDefault="00965B1B">
            <w:pPr>
              <w:widowControl/>
              <w:spacing w:line="460" w:lineRule="exact"/>
              <w:jc w:val="center"/>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60</w:t>
            </w:r>
          </w:p>
        </w:tc>
      </w:tr>
      <w:tr w:rsidR="00C04DDA" w:rsidRPr="005B3208" w:rsidTr="00C04DDA">
        <w:trPr>
          <w:trHeight w:val="1289"/>
          <w:jc w:val="center"/>
        </w:trPr>
        <w:tc>
          <w:tcPr>
            <w:tcW w:w="9488" w:type="dxa"/>
            <w:gridSpan w:val="4"/>
            <w:vAlign w:val="center"/>
          </w:tcPr>
          <w:p w:rsidR="00C04DDA" w:rsidRPr="005B3208" w:rsidRDefault="00C04DDA" w:rsidP="00C04DDA">
            <w:pPr>
              <w:widowControl/>
              <w:spacing w:line="460" w:lineRule="exact"/>
              <w:jc w:val="left"/>
              <w:rPr>
                <w:rFonts w:ascii="Times New Roman" w:eastAsia="仿宋" w:hAnsi="Times New Roman" w:cs="Times New Roman"/>
                <w:color w:val="000000" w:themeColor="text1"/>
                <w:kern w:val="0"/>
                <w:sz w:val="30"/>
                <w:szCs w:val="30"/>
              </w:rPr>
            </w:pPr>
            <w:r w:rsidRPr="005B3208">
              <w:rPr>
                <w:rFonts w:ascii="Times New Roman" w:eastAsia="仿宋" w:hAnsi="Times New Roman" w:cs="Times New Roman"/>
                <w:color w:val="000000" w:themeColor="text1"/>
                <w:kern w:val="0"/>
                <w:sz w:val="30"/>
                <w:szCs w:val="30"/>
              </w:rPr>
              <w:t>注：</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昼间</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是指</w:t>
            </w:r>
            <w:r w:rsidRPr="005B3208">
              <w:rPr>
                <w:rFonts w:ascii="Times New Roman" w:eastAsia="仿宋" w:hAnsi="Times New Roman" w:cs="Times New Roman"/>
                <w:color w:val="000000" w:themeColor="text1"/>
                <w:kern w:val="0"/>
                <w:sz w:val="30"/>
                <w:szCs w:val="30"/>
              </w:rPr>
              <w:t>6</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00</w:t>
            </w:r>
            <w:r w:rsidRPr="005B3208">
              <w:rPr>
                <w:rFonts w:ascii="Times New Roman" w:eastAsia="仿宋" w:hAnsi="Times New Roman" w:cs="Times New Roman"/>
                <w:color w:val="000000" w:themeColor="text1"/>
                <w:kern w:val="0"/>
                <w:sz w:val="30"/>
                <w:szCs w:val="30"/>
              </w:rPr>
              <w:t>至</w:t>
            </w:r>
            <w:r w:rsidRPr="005B3208">
              <w:rPr>
                <w:rFonts w:ascii="Times New Roman" w:eastAsia="仿宋" w:hAnsi="Times New Roman" w:cs="Times New Roman"/>
                <w:color w:val="000000" w:themeColor="text1"/>
                <w:kern w:val="0"/>
                <w:sz w:val="30"/>
                <w:szCs w:val="30"/>
              </w:rPr>
              <w:t>22</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00</w:t>
            </w:r>
            <w:r w:rsidRPr="005B3208">
              <w:rPr>
                <w:rFonts w:ascii="Times New Roman" w:eastAsia="仿宋" w:hAnsi="Times New Roman" w:cs="Times New Roman"/>
                <w:color w:val="000000" w:themeColor="text1"/>
                <w:kern w:val="0"/>
                <w:sz w:val="30"/>
                <w:szCs w:val="30"/>
              </w:rPr>
              <w:t>之间的时段，该时段执行昼间标准；</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夜间</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是指</w:t>
            </w:r>
            <w:r w:rsidRPr="005B3208">
              <w:rPr>
                <w:rFonts w:ascii="Times New Roman" w:eastAsia="仿宋" w:hAnsi="Times New Roman" w:cs="Times New Roman"/>
                <w:color w:val="000000" w:themeColor="text1"/>
                <w:kern w:val="0"/>
                <w:sz w:val="30"/>
                <w:szCs w:val="30"/>
              </w:rPr>
              <w:t>22</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00</w:t>
            </w:r>
            <w:r w:rsidRPr="005B3208">
              <w:rPr>
                <w:rFonts w:ascii="Times New Roman" w:eastAsia="仿宋" w:hAnsi="Times New Roman" w:cs="Times New Roman"/>
                <w:color w:val="000000" w:themeColor="text1"/>
                <w:kern w:val="0"/>
                <w:sz w:val="30"/>
                <w:szCs w:val="30"/>
              </w:rPr>
              <w:t>至次日</w:t>
            </w:r>
            <w:r w:rsidRPr="005B3208">
              <w:rPr>
                <w:rFonts w:ascii="Times New Roman" w:eastAsia="仿宋" w:hAnsi="Times New Roman" w:cs="Times New Roman"/>
                <w:color w:val="000000" w:themeColor="text1"/>
                <w:kern w:val="0"/>
                <w:sz w:val="30"/>
                <w:szCs w:val="30"/>
              </w:rPr>
              <w:t>6</w:t>
            </w:r>
            <w:r w:rsidRPr="005B3208">
              <w:rPr>
                <w:rFonts w:ascii="Times New Roman" w:eastAsia="仿宋" w:hAnsi="Times New Roman" w:cs="Times New Roman"/>
                <w:color w:val="000000" w:themeColor="text1"/>
                <w:kern w:val="0"/>
                <w:sz w:val="30"/>
                <w:szCs w:val="30"/>
              </w:rPr>
              <w:t>：</w:t>
            </w:r>
            <w:r w:rsidRPr="005B3208">
              <w:rPr>
                <w:rFonts w:ascii="Times New Roman" w:eastAsia="仿宋" w:hAnsi="Times New Roman" w:cs="Times New Roman"/>
                <w:color w:val="000000" w:themeColor="text1"/>
                <w:kern w:val="0"/>
                <w:sz w:val="30"/>
                <w:szCs w:val="30"/>
              </w:rPr>
              <w:t>00</w:t>
            </w:r>
            <w:r w:rsidRPr="005B3208">
              <w:rPr>
                <w:rFonts w:ascii="Times New Roman" w:eastAsia="仿宋" w:hAnsi="Times New Roman" w:cs="Times New Roman"/>
                <w:color w:val="000000" w:themeColor="text1"/>
                <w:kern w:val="0"/>
                <w:sz w:val="30"/>
                <w:szCs w:val="30"/>
              </w:rPr>
              <w:t>之间的时段，该时段执行夜间标准。</w:t>
            </w:r>
          </w:p>
        </w:tc>
      </w:tr>
    </w:tbl>
    <w:p w:rsidR="00631525" w:rsidRPr="005B3208" w:rsidRDefault="00965B1B">
      <w:pPr>
        <w:spacing w:line="520" w:lineRule="exact"/>
        <w:ind w:firstLineChars="200" w:firstLine="640"/>
        <w:rPr>
          <w:rFonts w:ascii="Times New Roman" w:eastAsia="黑体" w:hAnsi="Times New Roman" w:cs="Times New Roman"/>
          <w:color w:val="000000" w:themeColor="text1"/>
          <w:sz w:val="32"/>
          <w:szCs w:val="32"/>
        </w:rPr>
      </w:pPr>
      <w:r w:rsidRPr="005B3208">
        <w:rPr>
          <w:rFonts w:ascii="Times New Roman" w:eastAsia="黑体" w:hAnsi="Times New Roman" w:cs="Times New Roman" w:hint="eastAsia"/>
          <w:color w:val="000000" w:themeColor="text1"/>
          <w:kern w:val="0"/>
          <w:sz w:val="32"/>
          <w:szCs w:val="32"/>
        </w:rPr>
        <w:t>三</w:t>
      </w:r>
      <w:r w:rsidRPr="005B3208">
        <w:rPr>
          <w:rFonts w:ascii="Times New Roman" w:eastAsia="黑体" w:hAnsi="Times New Roman" w:cs="Times New Roman"/>
          <w:color w:val="000000" w:themeColor="text1"/>
          <w:kern w:val="0"/>
          <w:sz w:val="32"/>
          <w:szCs w:val="32"/>
        </w:rPr>
        <w:t>、</w:t>
      </w:r>
      <w:r w:rsidRPr="005B3208">
        <w:rPr>
          <w:rFonts w:ascii="Times New Roman" w:eastAsia="黑体" w:hAnsi="Times New Roman" w:cs="Times New Roman"/>
          <w:color w:val="000000" w:themeColor="text1"/>
          <w:sz w:val="32"/>
          <w:szCs w:val="32"/>
        </w:rPr>
        <w:t>声环境功能区划分方案</w:t>
      </w:r>
    </w:p>
    <w:p w:rsidR="00631525" w:rsidRPr="005B3208" w:rsidRDefault="00965B1B">
      <w:pPr>
        <w:widowControl/>
        <w:spacing w:line="560" w:lineRule="exact"/>
        <w:ind w:firstLineChars="200" w:firstLine="640"/>
        <w:rPr>
          <w:rFonts w:ascii="方正楷体简体" w:eastAsia="方正楷体简体" w:hAnsi="Times New Roman" w:cs="Times New Roman"/>
          <w:color w:val="000000" w:themeColor="text1"/>
          <w:sz w:val="32"/>
          <w:szCs w:val="32"/>
        </w:rPr>
      </w:pPr>
      <w:r w:rsidRPr="005B3208">
        <w:rPr>
          <w:rFonts w:ascii="方正楷体简体" w:eastAsia="方正楷体简体" w:hAnsi="Times New Roman" w:cs="Times New Roman" w:hint="eastAsia"/>
          <w:color w:val="000000" w:themeColor="text1"/>
          <w:sz w:val="32"/>
          <w:szCs w:val="32"/>
        </w:rPr>
        <w:t>（一）声环境</w:t>
      </w:r>
      <w:r w:rsidRPr="005B3208">
        <w:rPr>
          <w:rFonts w:ascii="方正楷体简体" w:eastAsia="方正楷体简体" w:hAnsi="Times New Roman" w:cs="Times New Roman" w:hint="eastAsia"/>
          <w:color w:val="000000" w:themeColor="text1"/>
          <w:kern w:val="0"/>
          <w:sz w:val="32"/>
          <w:szCs w:val="32"/>
        </w:rPr>
        <w:t>功能</w:t>
      </w:r>
      <w:r w:rsidRPr="005B3208">
        <w:rPr>
          <w:rFonts w:ascii="方正楷体简体" w:eastAsia="方正楷体简体" w:hAnsi="Times New Roman" w:cs="Times New Roman" w:hint="eastAsia"/>
          <w:color w:val="000000" w:themeColor="text1"/>
          <w:sz w:val="32"/>
          <w:szCs w:val="32"/>
        </w:rPr>
        <w:t>区划方法</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本</w:t>
      </w:r>
      <w:r w:rsidRPr="005B3208">
        <w:rPr>
          <w:rFonts w:ascii="Times New Roman" w:eastAsia="方正仿宋简体" w:hAnsi="Times New Roman" w:cs="Times New Roman" w:hint="eastAsia"/>
          <w:color w:val="000000" w:themeColor="text1"/>
          <w:sz w:val="32"/>
          <w:szCs w:val="32"/>
        </w:rPr>
        <w:t>区划</w:t>
      </w:r>
      <w:r w:rsidRPr="005B3208">
        <w:rPr>
          <w:rFonts w:ascii="Times New Roman" w:eastAsia="方正仿宋简体" w:hAnsi="Times New Roman" w:cs="Times New Roman"/>
          <w:color w:val="000000" w:themeColor="text1"/>
          <w:sz w:val="32"/>
          <w:szCs w:val="32"/>
        </w:rPr>
        <w:t>方案</w:t>
      </w:r>
      <w:r w:rsidRPr="005B3208">
        <w:rPr>
          <w:rFonts w:ascii="Times New Roman" w:eastAsia="方正仿宋简体" w:hAnsi="Times New Roman" w:cs="Times New Roman" w:hint="eastAsia"/>
          <w:color w:val="000000" w:themeColor="text1"/>
          <w:sz w:val="32"/>
          <w:szCs w:val="32"/>
        </w:rPr>
        <w:t>依据</w:t>
      </w:r>
      <w:r w:rsidRPr="005B3208">
        <w:rPr>
          <w:rFonts w:ascii="Times New Roman" w:eastAsia="方正仿宋简体" w:hAnsi="Times New Roman" w:cs="Times New Roman"/>
          <w:color w:val="000000" w:themeColor="text1"/>
          <w:sz w:val="32"/>
          <w:szCs w:val="32"/>
        </w:rPr>
        <w:t>《声环境功能区划分技术规范》（</w:t>
      </w:r>
      <w:r w:rsidRPr="005B3208">
        <w:rPr>
          <w:rFonts w:ascii="Times New Roman" w:eastAsia="方正仿宋简体" w:hAnsi="Times New Roman" w:cs="Times New Roman"/>
          <w:color w:val="000000" w:themeColor="text1"/>
          <w:sz w:val="32"/>
          <w:szCs w:val="32"/>
        </w:rPr>
        <w:t>GB/T</w:t>
      </w:r>
      <w:r w:rsidRPr="005B3208">
        <w:rPr>
          <w:rFonts w:ascii="Times New Roman" w:eastAsia="方正仿宋简体" w:hAnsi="Times New Roman" w:cs="Times New Roman" w:hint="eastAsia"/>
          <w:color w:val="000000" w:themeColor="text1"/>
          <w:sz w:val="32"/>
          <w:szCs w:val="32"/>
        </w:rPr>
        <w:t xml:space="preserve"> </w:t>
      </w:r>
      <w:r w:rsidRPr="005B3208">
        <w:rPr>
          <w:rFonts w:ascii="Times New Roman" w:eastAsia="方正仿宋简体" w:hAnsi="Times New Roman" w:cs="Times New Roman"/>
          <w:color w:val="000000" w:themeColor="text1"/>
          <w:sz w:val="32"/>
          <w:szCs w:val="32"/>
        </w:rPr>
        <w:t>15190</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2014</w:t>
      </w:r>
      <w:r w:rsidRPr="005B3208">
        <w:rPr>
          <w:rFonts w:ascii="Times New Roman" w:eastAsia="方正仿宋简体" w:hAnsi="Times New Roman" w:cs="Times New Roman"/>
          <w:color w:val="000000" w:themeColor="text1"/>
          <w:sz w:val="32"/>
          <w:szCs w:val="32"/>
        </w:rPr>
        <w:t>）</w:t>
      </w:r>
      <w:r w:rsidRPr="005B3208">
        <w:rPr>
          <w:rFonts w:ascii="Times New Roman" w:eastAsia="方正仿宋简体" w:hAnsi="Times New Roman" w:cs="Times New Roman" w:hint="eastAsia"/>
          <w:color w:val="000000" w:themeColor="text1"/>
          <w:sz w:val="32"/>
          <w:szCs w:val="32"/>
        </w:rPr>
        <w:t>对</w:t>
      </w:r>
      <w:r w:rsidR="00381789" w:rsidRPr="005B3208">
        <w:rPr>
          <w:rFonts w:ascii="Times New Roman" w:eastAsia="方正仿宋简体" w:hAnsi="Times New Roman" w:cs="Times New Roman" w:hint="eastAsia"/>
          <w:color w:val="000000" w:themeColor="text1"/>
          <w:sz w:val="32"/>
          <w:szCs w:val="32"/>
        </w:rPr>
        <w:t>《兴宁市城市总体规划（</w:t>
      </w:r>
      <w:r w:rsidR="00381789" w:rsidRPr="005B3208">
        <w:rPr>
          <w:rFonts w:ascii="Times New Roman" w:eastAsia="方正仿宋简体" w:hAnsi="Times New Roman" w:cs="Times New Roman" w:hint="eastAsia"/>
          <w:color w:val="000000" w:themeColor="text1"/>
          <w:sz w:val="32"/>
          <w:szCs w:val="32"/>
        </w:rPr>
        <w:t>2010-2020</w:t>
      </w:r>
      <w:r w:rsidR="00381789"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确定的</w:t>
      </w:r>
      <w:r w:rsidRPr="005B3208">
        <w:rPr>
          <w:rFonts w:ascii="Times New Roman" w:eastAsia="方正仿宋简体" w:hAnsi="Times New Roman" w:cs="Times New Roman" w:hint="eastAsia"/>
          <w:color w:val="000000" w:themeColor="text1"/>
          <w:sz w:val="32"/>
          <w:szCs w:val="32"/>
        </w:rPr>
        <w:t>，并结合实际情况</w:t>
      </w:r>
      <w:r w:rsidRPr="005B3208">
        <w:rPr>
          <w:rFonts w:ascii="Times New Roman" w:eastAsia="方正仿宋简体" w:hAnsi="Times New Roman" w:cs="Times New Roman"/>
          <w:color w:val="000000" w:themeColor="text1"/>
          <w:sz w:val="32"/>
          <w:szCs w:val="32"/>
        </w:rPr>
        <w:t>进行声环境功能区划分。本</w:t>
      </w:r>
      <w:r w:rsidRPr="005B3208">
        <w:rPr>
          <w:rFonts w:ascii="Times New Roman" w:eastAsia="方正仿宋简体" w:hAnsi="Times New Roman" w:cs="Times New Roman" w:hint="eastAsia"/>
          <w:color w:val="000000" w:themeColor="text1"/>
          <w:sz w:val="32"/>
          <w:szCs w:val="32"/>
        </w:rPr>
        <w:t>区划</w:t>
      </w:r>
      <w:r w:rsidRPr="005B3208">
        <w:rPr>
          <w:rFonts w:ascii="Times New Roman" w:eastAsia="方正仿宋简体" w:hAnsi="Times New Roman" w:cs="Times New Roman"/>
          <w:color w:val="000000" w:themeColor="text1"/>
          <w:sz w:val="32"/>
          <w:szCs w:val="32"/>
        </w:rPr>
        <w:t>方案</w:t>
      </w:r>
      <w:r w:rsidRPr="005B3208">
        <w:rPr>
          <w:rFonts w:ascii="Times New Roman" w:eastAsia="方正仿宋简体" w:hAnsi="Times New Roman" w:cs="Times New Roman" w:hint="eastAsia"/>
          <w:color w:val="000000" w:themeColor="text1"/>
          <w:sz w:val="32"/>
          <w:szCs w:val="32"/>
        </w:rPr>
        <w:t>不</w:t>
      </w:r>
      <w:r w:rsidRPr="005B3208">
        <w:rPr>
          <w:rFonts w:ascii="Times New Roman" w:eastAsia="方正仿宋简体" w:hAnsi="Times New Roman" w:cs="Times New Roman"/>
          <w:color w:val="000000" w:themeColor="text1"/>
          <w:sz w:val="32"/>
          <w:szCs w:val="32"/>
        </w:rPr>
        <w:t>划定</w:t>
      </w:r>
      <w:r w:rsidRPr="005B3208">
        <w:rPr>
          <w:rFonts w:ascii="Times New Roman" w:eastAsia="方正仿宋简体" w:hAnsi="Times New Roman" w:cs="Times New Roman"/>
          <w:color w:val="000000" w:themeColor="text1"/>
          <w:sz w:val="32"/>
          <w:szCs w:val="32"/>
        </w:rPr>
        <w:t>0</w:t>
      </w:r>
      <w:r w:rsidRPr="005B3208">
        <w:rPr>
          <w:rFonts w:ascii="Times New Roman" w:eastAsia="方正仿宋简体" w:hAnsi="Times New Roman" w:cs="Times New Roman"/>
          <w:color w:val="000000" w:themeColor="text1"/>
          <w:sz w:val="32"/>
          <w:szCs w:val="32"/>
        </w:rPr>
        <w:t>类区。</w:t>
      </w:r>
    </w:p>
    <w:p w:rsidR="00631525" w:rsidRPr="005B3208" w:rsidRDefault="00965B1B">
      <w:pPr>
        <w:widowControl/>
        <w:spacing w:line="560" w:lineRule="exact"/>
        <w:ind w:firstLineChars="200" w:firstLine="640"/>
        <w:rPr>
          <w:rFonts w:ascii="Times New Roman" w:eastAsia="楷体" w:hAnsi="Times New Roman" w:cs="Times New Roman"/>
          <w:color w:val="000000" w:themeColor="text1"/>
          <w:sz w:val="32"/>
          <w:szCs w:val="32"/>
        </w:rPr>
      </w:pPr>
      <w:r w:rsidRPr="005B3208">
        <w:rPr>
          <w:rFonts w:ascii="方正楷体简体" w:eastAsia="方正楷体简体" w:hAnsi="Times New Roman" w:cs="Times New Roman"/>
          <w:color w:val="000000" w:themeColor="text1"/>
          <w:sz w:val="32"/>
          <w:szCs w:val="32"/>
        </w:rPr>
        <w:t>（</w:t>
      </w:r>
      <w:r w:rsidRPr="005B3208">
        <w:rPr>
          <w:rFonts w:ascii="方正楷体简体" w:eastAsia="方正楷体简体" w:hAnsi="Times New Roman" w:cs="Times New Roman" w:hint="eastAsia"/>
          <w:color w:val="000000" w:themeColor="text1"/>
          <w:sz w:val="32"/>
          <w:szCs w:val="32"/>
        </w:rPr>
        <w:t>二</w:t>
      </w:r>
      <w:r w:rsidRPr="005B3208">
        <w:rPr>
          <w:rFonts w:ascii="方正楷体简体" w:eastAsia="方正楷体简体" w:hAnsi="Times New Roman" w:cs="Times New Roman"/>
          <w:color w:val="000000" w:themeColor="text1"/>
          <w:sz w:val="32"/>
          <w:szCs w:val="32"/>
        </w:rPr>
        <w:t>）声环境功能区划结果</w:t>
      </w:r>
    </w:p>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1</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1</w:t>
      </w:r>
      <w:r w:rsidRPr="005B3208">
        <w:rPr>
          <w:rFonts w:ascii="Times New Roman" w:eastAsia="方正仿宋简体" w:hAnsi="Times New Roman" w:cs="Times New Roman"/>
          <w:color w:val="000000" w:themeColor="text1"/>
          <w:sz w:val="32"/>
          <w:szCs w:val="32"/>
        </w:rPr>
        <w:t>类标准适用区</w:t>
      </w:r>
    </w:p>
    <w:p w:rsidR="00631525" w:rsidRPr="005B3208" w:rsidRDefault="00182CB1" w:rsidP="00182CB1">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hint="eastAsia"/>
          <w:color w:val="000000" w:themeColor="text1"/>
          <w:sz w:val="32"/>
          <w:szCs w:val="32"/>
        </w:rPr>
        <w:t>类声环境功能区以居民住宅、医疗卫生、文化、教育、科研设计、行政办公为主要功能，需要保持安静的区域；乡村区域中无交通干线经过的远郊村。全县规划区内划分</w:t>
      </w:r>
      <w:r w:rsidRPr="005B3208">
        <w:rPr>
          <w:rFonts w:ascii="Times New Roman" w:eastAsia="方正仿宋简体" w:hAnsi="Times New Roman" w:cs="Times New Roman" w:hint="eastAsia"/>
          <w:color w:val="000000" w:themeColor="text1"/>
          <w:sz w:val="32"/>
          <w:szCs w:val="32"/>
        </w:rPr>
        <w:t>1</w:t>
      </w:r>
      <w:r w:rsidRPr="005B3208">
        <w:rPr>
          <w:rFonts w:ascii="Times New Roman" w:eastAsia="方正仿宋简体" w:hAnsi="Times New Roman" w:cs="Times New Roman" w:hint="eastAsia"/>
          <w:color w:val="000000" w:themeColor="text1"/>
          <w:sz w:val="32"/>
          <w:szCs w:val="32"/>
        </w:rPr>
        <w:t>类声环境功能区</w:t>
      </w:r>
      <w:r w:rsidR="00965B1B" w:rsidRPr="005B3208">
        <w:rPr>
          <w:rFonts w:ascii="Times New Roman" w:eastAsia="方正仿宋简体" w:hAnsi="Times New Roman" w:cs="Times New Roman" w:hint="eastAsia"/>
          <w:color w:val="000000" w:themeColor="text1"/>
          <w:sz w:val="32"/>
          <w:szCs w:val="32"/>
        </w:rPr>
        <w:t>名称及范围</w:t>
      </w:r>
      <w:r w:rsidR="00965B1B" w:rsidRPr="005B3208">
        <w:rPr>
          <w:rFonts w:ascii="Times New Roman" w:eastAsia="方正仿宋简体" w:hAnsi="Times New Roman" w:cs="Times New Roman"/>
          <w:color w:val="000000" w:themeColor="text1"/>
          <w:sz w:val="32"/>
          <w:szCs w:val="32"/>
        </w:rPr>
        <w:t>见表</w:t>
      </w:r>
      <w:r w:rsidR="001B291D" w:rsidRPr="005B3208">
        <w:rPr>
          <w:rFonts w:ascii="Times New Roman" w:eastAsia="方正仿宋简体" w:hAnsi="Times New Roman" w:cs="Times New Roman" w:hint="eastAsia"/>
          <w:color w:val="000000" w:themeColor="text1"/>
          <w:sz w:val="32"/>
          <w:szCs w:val="32"/>
        </w:rPr>
        <w:t>3</w:t>
      </w:r>
      <w:r w:rsidR="00965B1B" w:rsidRPr="005B3208">
        <w:rPr>
          <w:rFonts w:ascii="Times New Roman" w:eastAsia="方正仿宋简体" w:hAnsi="Times New Roman" w:cs="Times New Roman"/>
          <w:color w:val="000000" w:themeColor="text1"/>
          <w:sz w:val="32"/>
          <w:szCs w:val="32"/>
        </w:rPr>
        <w:t>。</w:t>
      </w:r>
    </w:p>
    <w:p w:rsidR="00413B98" w:rsidRPr="005B3208" w:rsidRDefault="00965B1B" w:rsidP="00922DCC">
      <w:pPr>
        <w:widowControl/>
        <w:spacing w:line="420" w:lineRule="atLeast"/>
        <w:ind w:firstLineChars="200" w:firstLine="640"/>
        <w:jc w:val="center"/>
        <w:rPr>
          <w:rFonts w:ascii="Times New Roman" w:eastAsia="黑体" w:hAnsi="Times New Roman" w:cs="Times New Roman"/>
          <w:color w:val="000000" w:themeColor="text1"/>
          <w:kern w:val="0"/>
          <w:sz w:val="32"/>
          <w:szCs w:val="32"/>
        </w:rPr>
      </w:pPr>
      <w:r w:rsidRPr="005B3208">
        <w:rPr>
          <w:rFonts w:ascii="Times New Roman" w:eastAsia="黑体" w:hAnsi="Times New Roman" w:cs="Times New Roman"/>
          <w:color w:val="000000" w:themeColor="text1"/>
          <w:kern w:val="0"/>
          <w:sz w:val="32"/>
          <w:szCs w:val="32"/>
        </w:rPr>
        <w:t>表</w:t>
      </w:r>
      <w:r w:rsidR="001B291D" w:rsidRPr="005B3208">
        <w:rPr>
          <w:rFonts w:ascii="Times New Roman" w:eastAsia="黑体" w:hAnsi="Times New Roman" w:cs="Times New Roman" w:hint="eastAsia"/>
          <w:color w:val="000000" w:themeColor="text1"/>
          <w:kern w:val="0"/>
          <w:sz w:val="32"/>
          <w:szCs w:val="32"/>
        </w:rPr>
        <w:t>3</w:t>
      </w:r>
      <w:r w:rsidRPr="005B3208">
        <w:rPr>
          <w:rFonts w:ascii="Times New Roman" w:eastAsia="黑体" w:hAnsi="Times New Roman" w:cs="Times New Roman"/>
          <w:color w:val="000000" w:themeColor="text1"/>
          <w:kern w:val="0"/>
          <w:sz w:val="32"/>
          <w:szCs w:val="32"/>
        </w:rPr>
        <w:t xml:space="preserve">  1</w:t>
      </w:r>
      <w:r w:rsidRPr="005B3208">
        <w:rPr>
          <w:rFonts w:ascii="Times New Roman" w:eastAsia="黑体" w:hAnsi="Times New Roman" w:cs="Times New Roman"/>
          <w:color w:val="000000" w:themeColor="text1"/>
          <w:kern w:val="0"/>
          <w:sz w:val="32"/>
          <w:szCs w:val="32"/>
        </w:rPr>
        <w:t>类声环境功能区划方案</w:t>
      </w:r>
    </w:p>
    <w:tbl>
      <w:tblPr>
        <w:tblW w:w="500" w:type="pct"/>
        <w:tblLook w:val="04A0"/>
      </w:tblPr>
      <w:tblGrid>
        <w:gridCol w:w="1080"/>
        <w:gridCol w:w="1080"/>
        <w:gridCol w:w="1660"/>
        <w:gridCol w:w="5840"/>
      </w:tblGrid>
      <w:tr w:rsidR="005B3208" w:rsidRPr="005B3208" w:rsidTr="00D81F5F">
        <w:trPr>
          <w:trHeight w:val="77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CB1" w:rsidRPr="00FA28B0" w:rsidRDefault="00182CB1"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编号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2CB1" w:rsidRPr="00FA28B0" w:rsidRDefault="00182CB1"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镇街</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82CB1" w:rsidRPr="00FA28B0" w:rsidRDefault="00182CB1"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名称</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182CB1" w:rsidRPr="00FA28B0" w:rsidRDefault="00182CB1"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区域范围</w:t>
            </w:r>
          </w:p>
        </w:tc>
      </w:tr>
      <w:tr w:rsidR="005B3208" w:rsidRPr="005B3208" w:rsidTr="00C7168C">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82CB1" w:rsidRPr="005B3208" w:rsidRDefault="00182CB1" w:rsidP="00182CB1">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Ⅰ-1</w:t>
            </w:r>
          </w:p>
        </w:tc>
        <w:tc>
          <w:tcPr>
            <w:tcW w:w="1080" w:type="dxa"/>
            <w:tcBorders>
              <w:top w:val="nil"/>
              <w:left w:val="nil"/>
              <w:bottom w:val="single" w:sz="4" w:space="0" w:color="auto"/>
              <w:right w:val="single" w:sz="4" w:space="0" w:color="auto"/>
            </w:tcBorders>
            <w:shd w:val="clear" w:color="auto" w:fill="auto"/>
            <w:vAlign w:val="center"/>
          </w:tcPr>
          <w:p w:rsidR="00182CB1" w:rsidRPr="005B3208" w:rsidRDefault="00182CB1" w:rsidP="00182CB1">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福兴街道</w:t>
            </w:r>
          </w:p>
        </w:tc>
        <w:tc>
          <w:tcPr>
            <w:tcW w:w="1660" w:type="dxa"/>
            <w:tcBorders>
              <w:top w:val="nil"/>
              <w:left w:val="nil"/>
              <w:bottom w:val="single" w:sz="4" w:space="0" w:color="auto"/>
              <w:right w:val="single" w:sz="4" w:space="0" w:color="auto"/>
            </w:tcBorders>
            <w:shd w:val="clear" w:color="auto" w:fill="auto"/>
            <w:vAlign w:val="center"/>
          </w:tcPr>
          <w:p w:rsidR="00182CB1" w:rsidRPr="005B3208" w:rsidRDefault="00182CB1" w:rsidP="00182CB1">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神光山国家森林公园</w:t>
            </w:r>
            <w:r w:rsidR="00925F7E">
              <w:rPr>
                <w:rFonts w:ascii="Times New Roman" w:eastAsia="仿宋" w:hAnsi="Times New Roman" w:cs="Times New Roman"/>
                <w:color w:val="000000" w:themeColor="text1"/>
                <w:sz w:val="30"/>
                <w:szCs w:val="30"/>
              </w:rPr>
              <w:t>片区</w:t>
            </w:r>
          </w:p>
        </w:tc>
        <w:tc>
          <w:tcPr>
            <w:tcW w:w="5840" w:type="dxa"/>
            <w:tcBorders>
              <w:top w:val="nil"/>
              <w:left w:val="nil"/>
              <w:bottom w:val="single" w:sz="4" w:space="0" w:color="auto"/>
              <w:right w:val="single" w:sz="4" w:space="0" w:color="auto"/>
            </w:tcBorders>
            <w:shd w:val="clear" w:color="auto" w:fill="auto"/>
            <w:vAlign w:val="center"/>
          </w:tcPr>
          <w:p w:rsidR="00182CB1" w:rsidRPr="005B3208" w:rsidRDefault="00182CB1" w:rsidP="00A409F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广梅汕铁路南侧住宅用地、农林用地</w:t>
            </w:r>
            <w:r w:rsidR="00A409FD" w:rsidRPr="005B3208">
              <w:rPr>
                <w:rFonts w:ascii="Times New Roman" w:eastAsia="仿宋" w:hAnsi="Times New Roman" w:cs="Times New Roman"/>
                <w:color w:val="000000" w:themeColor="text1"/>
                <w:sz w:val="30"/>
                <w:szCs w:val="30"/>
              </w:rPr>
              <w:t>及神光山国家森林公园</w:t>
            </w:r>
            <w:r w:rsidR="00A409FD">
              <w:rPr>
                <w:rFonts w:ascii="Times New Roman" w:eastAsia="仿宋" w:hAnsi="Times New Roman" w:cs="Times New Roman"/>
                <w:color w:val="000000" w:themeColor="text1"/>
                <w:sz w:val="30"/>
                <w:szCs w:val="30"/>
              </w:rPr>
              <w:t>边界</w:t>
            </w:r>
          </w:p>
        </w:tc>
      </w:tr>
    </w:tbl>
    <w:p w:rsidR="00631525" w:rsidRPr="005B3208" w:rsidRDefault="00965B1B">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2</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2</w:t>
      </w:r>
      <w:r w:rsidRPr="005B3208">
        <w:rPr>
          <w:rFonts w:ascii="Times New Roman" w:eastAsia="方正仿宋简体" w:hAnsi="Times New Roman" w:cs="Times New Roman"/>
          <w:color w:val="000000" w:themeColor="text1"/>
          <w:sz w:val="32"/>
          <w:szCs w:val="32"/>
        </w:rPr>
        <w:t>类标准适用区</w:t>
      </w:r>
    </w:p>
    <w:p w:rsidR="00631525" w:rsidRPr="005B3208" w:rsidRDefault="00B72225" w:rsidP="00B72225">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lastRenderedPageBreak/>
        <w:t>除</w:t>
      </w:r>
      <w:r w:rsidRPr="005B3208">
        <w:rPr>
          <w:rFonts w:ascii="Times New Roman" w:eastAsia="方正仿宋简体" w:hAnsi="Times New Roman" w:cs="Times New Roman" w:hint="eastAsia"/>
          <w:color w:val="000000" w:themeColor="text1"/>
          <w:sz w:val="32"/>
          <w:szCs w:val="32"/>
        </w:rPr>
        <w:t xml:space="preserve"> 1</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hint="eastAsia"/>
          <w:color w:val="000000" w:themeColor="text1"/>
          <w:sz w:val="32"/>
          <w:szCs w:val="32"/>
        </w:rPr>
        <w:t xml:space="preserve">4 </w:t>
      </w:r>
      <w:r w:rsidRPr="005B3208">
        <w:rPr>
          <w:rFonts w:ascii="Times New Roman" w:eastAsia="方正仿宋简体" w:hAnsi="Times New Roman" w:cs="Times New Roman" w:hint="eastAsia"/>
          <w:color w:val="000000" w:themeColor="text1"/>
          <w:sz w:val="32"/>
          <w:szCs w:val="32"/>
        </w:rPr>
        <w:t>类声环境功能区外的其他区域，均划分为</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类声环境功能区。</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类区名称及范围见</w:t>
      </w:r>
      <w:r w:rsidR="00965B1B" w:rsidRPr="005B3208">
        <w:rPr>
          <w:rFonts w:ascii="Times New Roman" w:eastAsia="方正仿宋简体" w:hAnsi="Times New Roman" w:cs="Times New Roman"/>
          <w:color w:val="000000" w:themeColor="text1"/>
          <w:sz w:val="32"/>
          <w:szCs w:val="32"/>
        </w:rPr>
        <w:t>表</w:t>
      </w:r>
      <w:r w:rsidR="001B291D" w:rsidRPr="005B3208">
        <w:rPr>
          <w:rFonts w:ascii="Times New Roman" w:eastAsia="方正仿宋简体" w:hAnsi="Times New Roman" w:cs="Times New Roman" w:hint="eastAsia"/>
          <w:color w:val="000000" w:themeColor="text1"/>
          <w:sz w:val="32"/>
          <w:szCs w:val="32"/>
        </w:rPr>
        <w:t>4</w:t>
      </w:r>
      <w:r w:rsidR="00965B1B" w:rsidRPr="005B3208">
        <w:rPr>
          <w:rFonts w:ascii="Times New Roman" w:eastAsia="方正仿宋简体" w:hAnsi="Times New Roman" w:cs="Times New Roman"/>
          <w:color w:val="000000" w:themeColor="text1"/>
          <w:sz w:val="32"/>
          <w:szCs w:val="32"/>
        </w:rPr>
        <w:t>。</w:t>
      </w:r>
    </w:p>
    <w:p w:rsidR="00CA4EC4" w:rsidRPr="005B3208" w:rsidRDefault="00965B1B" w:rsidP="00922DCC">
      <w:pPr>
        <w:widowControl/>
        <w:spacing w:line="420" w:lineRule="atLeast"/>
        <w:ind w:firstLineChars="200" w:firstLine="640"/>
        <w:jc w:val="center"/>
        <w:rPr>
          <w:rFonts w:ascii="Times New Roman" w:eastAsia="黑体" w:hAnsi="Times New Roman" w:cs="Times New Roman"/>
          <w:color w:val="000000" w:themeColor="text1"/>
          <w:kern w:val="0"/>
          <w:sz w:val="32"/>
          <w:szCs w:val="32"/>
        </w:rPr>
      </w:pPr>
      <w:r w:rsidRPr="005B3208">
        <w:rPr>
          <w:rFonts w:ascii="Times New Roman" w:eastAsia="黑体" w:hAnsi="Times New Roman" w:cs="Times New Roman"/>
          <w:color w:val="000000" w:themeColor="text1"/>
          <w:kern w:val="0"/>
          <w:sz w:val="32"/>
          <w:szCs w:val="32"/>
        </w:rPr>
        <w:t>表</w:t>
      </w:r>
      <w:r w:rsidR="001B291D" w:rsidRPr="005B3208">
        <w:rPr>
          <w:rFonts w:ascii="Times New Roman" w:eastAsia="黑体" w:hAnsi="Times New Roman" w:cs="Times New Roman" w:hint="eastAsia"/>
          <w:color w:val="000000" w:themeColor="text1"/>
          <w:kern w:val="0"/>
          <w:sz w:val="32"/>
          <w:szCs w:val="32"/>
        </w:rPr>
        <w:t>4</w:t>
      </w:r>
      <w:r w:rsidRPr="005B3208">
        <w:rPr>
          <w:rFonts w:ascii="Times New Roman" w:eastAsia="黑体" w:hAnsi="Times New Roman" w:cs="Times New Roman"/>
          <w:color w:val="000000" w:themeColor="text1"/>
          <w:kern w:val="0"/>
          <w:sz w:val="32"/>
          <w:szCs w:val="32"/>
        </w:rPr>
        <w:t xml:space="preserve">  2</w:t>
      </w:r>
      <w:r w:rsidRPr="005B3208">
        <w:rPr>
          <w:rFonts w:ascii="Times New Roman" w:eastAsia="黑体" w:hAnsi="Times New Roman" w:cs="Times New Roman"/>
          <w:color w:val="000000" w:themeColor="text1"/>
          <w:kern w:val="0"/>
          <w:sz w:val="32"/>
          <w:szCs w:val="32"/>
        </w:rPr>
        <w:t>类声环境功能区划方案</w:t>
      </w:r>
    </w:p>
    <w:tbl>
      <w:tblPr>
        <w:tblW w:w="5000" w:type="pct"/>
        <w:jc w:val="center"/>
        <w:tblLook w:val="04A0"/>
      </w:tblPr>
      <w:tblGrid>
        <w:gridCol w:w="1156"/>
        <w:gridCol w:w="1157"/>
        <w:gridCol w:w="1393"/>
        <w:gridCol w:w="6256"/>
      </w:tblGrid>
      <w:tr w:rsidR="005B3208" w:rsidRPr="005B3208" w:rsidTr="00D81F5F">
        <w:trPr>
          <w:trHeight w:val="648"/>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编号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镇街</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名称</w:t>
            </w:r>
          </w:p>
        </w:tc>
        <w:tc>
          <w:tcPr>
            <w:tcW w:w="5840"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区域范围</w:t>
            </w:r>
          </w:p>
        </w:tc>
      </w:tr>
      <w:tr w:rsidR="005B3208" w:rsidRPr="005B3208" w:rsidTr="00C7168C">
        <w:trPr>
          <w:trHeight w:val="9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EC4" w:rsidRPr="005B3208" w:rsidRDefault="00CA4EC4"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Ⅱ-1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A4EC4" w:rsidRPr="005B3208" w:rsidRDefault="00CA4EC4"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中心城区</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A4EC4" w:rsidRPr="005B3208" w:rsidRDefault="00CA4EC4" w:rsidP="008A3347">
            <w:pPr>
              <w:snapToGrid w:val="0"/>
              <w:spacing w:line="276" w:lineRule="auto"/>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中心城区</w:t>
            </w:r>
            <w:r w:rsidRPr="005B3208">
              <w:rPr>
                <w:rFonts w:ascii="Times New Roman" w:eastAsia="仿宋" w:hAnsi="Times New Roman" w:cs="Times New Roman"/>
                <w:color w:val="000000" w:themeColor="text1"/>
                <w:sz w:val="30"/>
                <w:szCs w:val="30"/>
              </w:rPr>
              <w:t>2</w:t>
            </w:r>
            <w:r w:rsidRPr="005B3208">
              <w:rPr>
                <w:rFonts w:ascii="Times New Roman" w:eastAsia="仿宋" w:hAnsi="Times New Roman" w:cs="Times New Roman"/>
                <w:color w:val="000000" w:themeColor="text1"/>
                <w:sz w:val="30"/>
                <w:szCs w:val="30"/>
              </w:rPr>
              <w:t>类声环境功能区</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CA4EC4" w:rsidRPr="005B3208" w:rsidRDefault="00CA4EC4"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兴宁市</w:t>
            </w:r>
            <w:r w:rsidR="000550B8">
              <w:rPr>
                <w:rFonts w:ascii="Times New Roman" w:eastAsia="仿宋" w:hAnsi="Times New Roman" w:cs="Times New Roman"/>
                <w:color w:val="000000" w:themeColor="text1"/>
                <w:sz w:val="30"/>
                <w:szCs w:val="30"/>
              </w:rPr>
              <w:t>城市总体规划区域内</w:t>
            </w:r>
            <w:r w:rsidRPr="005B3208">
              <w:rPr>
                <w:rFonts w:ascii="Times New Roman" w:eastAsia="仿宋" w:hAnsi="Times New Roman" w:cs="Times New Roman"/>
                <w:color w:val="000000" w:themeColor="text1"/>
                <w:sz w:val="30"/>
                <w:szCs w:val="30"/>
              </w:rPr>
              <w:t>除</w:t>
            </w:r>
            <w:r w:rsidRPr="005B3208">
              <w:rPr>
                <w:rFonts w:ascii="Times New Roman" w:eastAsia="仿宋" w:hAnsi="Times New Roman" w:cs="Times New Roman"/>
                <w:color w:val="000000" w:themeColor="text1"/>
                <w:sz w:val="30"/>
                <w:szCs w:val="30"/>
              </w:rPr>
              <w:t>1</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3</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4</w:t>
            </w:r>
            <w:r w:rsidRPr="005B3208">
              <w:rPr>
                <w:rFonts w:ascii="Times New Roman" w:eastAsia="仿宋" w:hAnsi="Times New Roman" w:cs="Times New Roman"/>
                <w:color w:val="000000" w:themeColor="text1"/>
                <w:sz w:val="30"/>
                <w:szCs w:val="30"/>
              </w:rPr>
              <w:t>类声环境功能区以外的范围</w:t>
            </w:r>
          </w:p>
        </w:tc>
      </w:tr>
    </w:tbl>
    <w:p w:rsidR="00631525" w:rsidRPr="005B3208" w:rsidRDefault="00965B1B" w:rsidP="001056F0">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color w:val="000000" w:themeColor="text1"/>
          <w:sz w:val="32"/>
          <w:szCs w:val="32"/>
        </w:rPr>
        <w:t>3</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color w:val="000000" w:themeColor="text1"/>
          <w:sz w:val="32"/>
          <w:szCs w:val="32"/>
        </w:rPr>
        <w:t>3</w:t>
      </w:r>
      <w:r w:rsidRPr="005B3208">
        <w:rPr>
          <w:rFonts w:ascii="Times New Roman" w:eastAsia="方正仿宋简体" w:hAnsi="Times New Roman" w:cs="Times New Roman"/>
          <w:color w:val="000000" w:themeColor="text1"/>
          <w:sz w:val="32"/>
          <w:szCs w:val="32"/>
        </w:rPr>
        <w:t>类标准适用区</w:t>
      </w:r>
    </w:p>
    <w:p w:rsidR="00413B98" w:rsidRPr="005B3208" w:rsidRDefault="00413B98" w:rsidP="00413B98">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以工业生产、仓储物流为主要功能，需要防止工业噪声对周围环境产生严重影响的区域。</w:t>
      </w:r>
    </w:p>
    <w:p w:rsidR="00CA4EC4" w:rsidRPr="005B3208" w:rsidRDefault="00CA4EC4" w:rsidP="00CA4EC4">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各类工业区规划范围总体上划定为</w:t>
      </w:r>
      <w:r w:rsidRPr="005B3208">
        <w:rPr>
          <w:rFonts w:ascii="Times New Roman" w:eastAsia="方正仿宋简体" w:hAnsi="Times New Roman" w:cs="Times New Roman" w:hint="eastAsia"/>
          <w:color w:val="000000" w:themeColor="text1"/>
          <w:sz w:val="32"/>
          <w:szCs w:val="32"/>
        </w:rPr>
        <w:t>3</w:t>
      </w:r>
      <w:r w:rsidRPr="005B3208">
        <w:rPr>
          <w:rFonts w:ascii="Times New Roman" w:eastAsia="方正仿宋简体" w:hAnsi="Times New Roman" w:cs="Times New Roman" w:hint="eastAsia"/>
          <w:color w:val="000000" w:themeColor="text1"/>
          <w:sz w:val="32"/>
          <w:szCs w:val="32"/>
        </w:rPr>
        <w:t>类区，范围内的尚未开发建设的工业用地和以村庄、居民住宅、医疗卫生、文化教育、科研设计、行政办公等为主的非工业用地，执行</w:t>
      </w:r>
      <w:r w:rsidRPr="005B3208">
        <w:rPr>
          <w:rFonts w:ascii="Times New Roman" w:eastAsia="方正仿宋简体" w:hAnsi="Times New Roman" w:cs="Times New Roman" w:hint="eastAsia"/>
          <w:color w:val="000000" w:themeColor="text1"/>
          <w:sz w:val="32"/>
          <w:szCs w:val="32"/>
        </w:rPr>
        <w:t>2</w:t>
      </w:r>
      <w:r w:rsidRPr="005B3208">
        <w:rPr>
          <w:rFonts w:ascii="Times New Roman" w:eastAsia="方正仿宋简体" w:hAnsi="Times New Roman" w:cs="Times New Roman" w:hint="eastAsia"/>
          <w:color w:val="000000" w:themeColor="text1"/>
          <w:sz w:val="32"/>
          <w:szCs w:val="32"/>
        </w:rPr>
        <w:t>类区标准。</w:t>
      </w:r>
    </w:p>
    <w:p w:rsidR="00631525" w:rsidRPr="005B3208" w:rsidRDefault="00CA4EC4" w:rsidP="00CA4EC4">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规划区内划分为</w:t>
      </w:r>
      <w:r w:rsidRPr="005B3208">
        <w:rPr>
          <w:rFonts w:ascii="Times New Roman" w:eastAsia="方正仿宋简体" w:hAnsi="Times New Roman" w:cs="Times New Roman" w:hint="eastAsia"/>
          <w:color w:val="000000" w:themeColor="text1"/>
          <w:sz w:val="32"/>
          <w:szCs w:val="32"/>
        </w:rPr>
        <w:t xml:space="preserve">3 </w:t>
      </w:r>
      <w:r w:rsidRPr="005B3208">
        <w:rPr>
          <w:rFonts w:ascii="Times New Roman" w:eastAsia="方正仿宋简体" w:hAnsi="Times New Roman" w:cs="Times New Roman" w:hint="eastAsia"/>
          <w:color w:val="000000" w:themeColor="text1"/>
          <w:sz w:val="32"/>
          <w:szCs w:val="32"/>
        </w:rPr>
        <w:t>类声功能区的共有</w:t>
      </w:r>
      <w:r w:rsidR="00E62A88">
        <w:rPr>
          <w:rFonts w:ascii="Times New Roman" w:eastAsia="方正仿宋简体" w:hAnsi="Times New Roman" w:cs="Times New Roman" w:hint="eastAsia"/>
          <w:color w:val="000000" w:themeColor="text1"/>
          <w:sz w:val="32"/>
          <w:szCs w:val="32"/>
        </w:rPr>
        <w:t>5</w:t>
      </w:r>
      <w:r w:rsidRPr="005B3208">
        <w:rPr>
          <w:rFonts w:ascii="Times New Roman" w:eastAsia="方正仿宋简体" w:hAnsi="Times New Roman" w:cs="Times New Roman" w:hint="eastAsia"/>
          <w:color w:val="000000" w:themeColor="text1"/>
          <w:sz w:val="32"/>
          <w:szCs w:val="32"/>
        </w:rPr>
        <w:t>个片区，</w:t>
      </w:r>
      <w:r w:rsidR="00413B98" w:rsidRPr="005B3208">
        <w:rPr>
          <w:rFonts w:ascii="Times New Roman" w:eastAsia="方正仿宋简体" w:hAnsi="Times New Roman" w:cs="Times New Roman" w:hint="eastAsia"/>
          <w:color w:val="000000" w:themeColor="text1"/>
          <w:sz w:val="32"/>
          <w:szCs w:val="32"/>
        </w:rPr>
        <w:t>各区名称及范围见表</w:t>
      </w:r>
      <w:r w:rsidR="001B291D" w:rsidRPr="005B3208">
        <w:rPr>
          <w:rFonts w:ascii="Times New Roman" w:eastAsia="方正仿宋简体" w:hAnsi="Times New Roman" w:cs="Times New Roman" w:hint="eastAsia"/>
          <w:color w:val="000000" w:themeColor="text1"/>
          <w:sz w:val="32"/>
          <w:szCs w:val="32"/>
        </w:rPr>
        <w:t>5</w:t>
      </w:r>
      <w:r w:rsidR="00413B98" w:rsidRPr="005B3208">
        <w:rPr>
          <w:rFonts w:ascii="Times New Roman" w:eastAsia="方正仿宋简体" w:hAnsi="Times New Roman" w:cs="Times New Roman" w:hint="eastAsia"/>
          <w:color w:val="000000" w:themeColor="text1"/>
          <w:sz w:val="32"/>
          <w:szCs w:val="32"/>
        </w:rPr>
        <w:t>。</w:t>
      </w:r>
    </w:p>
    <w:p w:rsidR="00B72225" w:rsidRPr="005B3208" w:rsidRDefault="00965B1B" w:rsidP="00922DCC">
      <w:pPr>
        <w:widowControl/>
        <w:spacing w:line="420" w:lineRule="atLeast"/>
        <w:ind w:firstLineChars="200" w:firstLine="640"/>
        <w:jc w:val="center"/>
        <w:rPr>
          <w:rFonts w:ascii="Times New Roman" w:eastAsia="黑体" w:hAnsi="Times New Roman" w:cs="Times New Roman"/>
          <w:color w:val="000000" w:themeColor="text1"/>
          <w:kern w:val="0"/>
          <w:sz w:val="32"/>
          <w:szCs w:val="32"/>
        </w:rPr>
      </w:pPr>
      <w:r w:rsidRPr="005B3208">
        <w:rPr>
          <w:rFonts w:ascii="Times New Roman" w:eastAsia="黑体" w:hAnsi="Times New Roman" w:cs="Times New Roman"/>
          <w:color w:val="000000" w:themeColor="text1"/>
          <w:kern w:val="0"/>
          <w:sz w:val="32"/>
          <w:szCs w:val="32"/>
        </w:rPr>
        <w:t>表</w:t>
      </w:r>
      <w:r w:rsidR="001B291D" w:rsidRPr="005B3208">
        <w:rPr>
          <w:rFonts w:ascii="Times New Roman" w:eastAsia="黑体" w:hAnsi="Times New Roman" w:cs="Times New Roman" w:hint="eastAsia"/>
          <w:color w:val="000000" w:themeColor="text1"/>
          <w:kern w:val="0"/>
          <w:sz w:val="32"/>
          <w:szCs w:val="32"/>
        </w:rPr>
        <w:t>5</w:t>
      </w:r>
      <w:r w:rsidRPr="005B3208">
        <w:rPr>
          <w:rFonts w:ascii="Times New Roman" w:eastAsia="黑体" w:hAnsi="Times New Roman" w:cs="Times New Roman" w:hint="eastAsia"/>
          <w:color w:val="000000" w:themeColor="text1"/>
          <w:kern w:val="0"/>
          <w:sz w:val="32"/>
          <w:szCs w:val="32"/>
        </w:rPr>
        <w:t xml:space="preserve">  </w:t>
      </w:r>
      <w:r w:rsidRPr="005B3208">
        <w:rPr>
          <w:rFonts w:ascii="Times New Roman" w:eastAsia="黑体" w:hAnsi="Times New Roman" w:cs="Times New Roman"/>
          <w:color w:val="000000" w:themeColor="text1"/>
          <w:kern w:val="0"/>
          <w:sz w:val="32"/>
          <w:szCs w:val="32"/>
        </w:rPr>
        <w:t>3</w:t>
      </w:r>
      <w:r w:rsidRPr="005B3208">
        <w:rPr>
          <w:rFonts w:ascii="Times New Roman" w:eastAsia="黑体" w:hAnsi="Times New Roman" w:cs="Times New Roman"/>
          <w:color w:val="000000" w:themeColor="text1"/>
          <w:kern w:val="0"/>
          <w:sz w:val="32"/>
          <w:szCs w:val="32"/>
        </w:rPr>
        <w:t>类声环境功能区划方案</w:t>
      </w:r>
    </w:p>
    <w:tbl>
      <w:tblPr>
        <w:tblW w:w="5000" w:type="pct"/>
        <w:jc w:val="center"/>
        <w:tblLook w:val="04A0"/>
      </w:tblPr>
      <w:tblGrid>
        <w:gridCol w:w="1121"/>
        <w:gridCol w:w="1121"/>
        <w:gridCol w:w="1660"/>
        <w:gridCol w:w="6060"/>
      </w:tblGrid>
      <w:tr w:rsidR="005B3208" w:rsidRPr="005B3208" w:rsidTr="00D81F5F">
        <w:trPr>
          <w:trHeight w:val="714"/>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编号</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镇街</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名称</w:t>
            </w:r>
          </w:p>
        </w:tc>
        <w:tc>
          <w:tcPr>
            <w:tcW w:w="6060" w:type="dxa"/>
            <w:tcBorders>
              <w:top w:val="single" w:sz="4" w:space="0" w:color="auto"/>
              <w:left w:val="nil"/>
              <w:bottom w:val="single" w:sz="4" w:space="0" w:color="auto"/>
              <w:right w:val="single" w:sz="4" w:space="0" w:color="auto"/>
            </w:tcBorders>
            <w:shd w:val="clear" w:color="auto" w:fill="auto"/>
            <w:noWrap/>
            <w:vAlign w:val="center"/>
            <w:hideMark/>
          </w:tcPr>
          <w:p w:rsidR="00CA4EC4" w:rsidRPr="00FA28B0" w:rsidRDefault="00CA4EC4"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区域范围</w:t>
            </w:r>
          </w:p>
        </w:tc>
      </w:tr>
      <w:tr w:rsidR="00E62A88" w:rsidRPr="005B3208" w:rsidTr="00E62A88">
        <w:trPr>
          <w:trHeight w:val="270"/>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2A88" w:rsidRPr="005B3208" w:rsidRDefault="00E62A88" w:rsidP="00C47E8B">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Ⅲ-1</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62A88" w:rsidRPr="00E62A88" w:rsidRDefault="00E62A88" w:rsidP="00E62A88">
            <w:pPr>
              <w:snapToGrid w:val="0"/>
              <w:spacing w:line="460" w:lineRule="exact"/>
              <w:jc w:val="center"/>
              <w:rPr>
                <w:rFonts w:ascii="Times New Roman" w:eastAsia="仿宋" w:hAnsi="Times New Roman" w:cs="Times New Roman"/>
                <w:color w:val="000000" w:themeColor="text1"/>
                <w:sz w:val="30"/>
                <w:szCs w:val="30"/>
              </w:rPr>
            </w:pPr>
            <w:r w:rsidRPr="00E62A88">
              <w:rPr>
                <w:rFonts w:ascii="Times New Roman" w:eastAsia="仿宋" w:hAnsi="Times New Roman" w:cs="Times New Roman"/>
                <w:color w:val="000000" w:themeColor="text1"/>
                <w:sz w:val="30"/>
                <w:szCs w:val="30"/>
              </w:rPr>
              <w:t>合水镇</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E62A88" w:rsidRPr="00E62A88" w:rsidRDefault="00E62A88" w:rsidP="008A3347">
            <w:pPr>
              <w:snapToGrid w:val="0"/>
              <w:spacing w:line="276" w:lineRule="auto"/>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东莞石碣（兴宁）产业转移工业园</w:t>
            </w:r>
            <w:r>
              <w:rPr>
                <w:rFonts w:ascii="Times New Roman" w:eastAsia="仿宋" w:hAnsi="Times New Roman" w:cs="Times New Roman" w:hint="eastAsia"/>
                <w:color w:val="000000" w:themeColor="text1"/>
                <w:sz w:val="30"/>
                <w:szCs w:val="30"/>
              </w:rPr>
              <w:t>（北区）</w:t>
            </w:r>
            <w:r w:rsidRPr="005B3208">
              <w:rPr>
                <w:rFonts w:ascii="Times New Roman" w:eastAsia="仿宋" w:hAnsi="Times New Roman" w:cs="Times New Roman"/>
                <w:color w:val="000000" w:themeColor="text1"/>
                <w:sz w:val="30"/>
                <w:szCs w:val="30"/>
              </w:rPr>
              <w:t>片区</w:t>
            </w:r>
          </w:p>
        </w:tc>
        <w:tc>
          <w:tcPr>
            <w:tcW w:w="6060" w:type="dxa"/>
            <w:tcBorders>
              <w:top w:val="single" w:sz="4" w:space="0" w:color="auto"/>
              <w:left w:val="nil"/>
              <w:bottom w:val="single" w:sz="4" w:space="0" w:color="auto"/>
              <w:right w:val="single" w:sz="4" w:space="0" w:color="auto"/>
            </w:tcBorders>
            <w:shd w:val="clear" w:color="auto" w:fill="auto"/>
            <w:noWrap/>
            <w:vAlign w:val="center"/>
          </w:tcPr>
          <w:p w:rsidR="00E62A88" w:rsidRPr="00E62A88" w:rsidRDefault="00E62A88" w:rsidP="00E62A88">
            <w:pPr>
              <w:snapToGrid w:val="0"/>
              <w:spacing w:line="460" w:lineRule="exact"/>
              <w:jc w:val="center"/>
              <w:rPr>
                <w:rFonts w:ascii="Times New Roman" w:eastAsia="仿宋" w:hAnsi="Times New Roman" w:cs="Times New Roman"/>
                <w:color w:val="000000" w:themeColor="text1"/>
                <w:sz w:val="30"/>
                <w:szCs w:val="30"/>
              </w:rPr>
            </w:pPr>
            <w:r w:rsidRPr="00E62A88">
              <w:rPr>
                <w:rFonts w:ascii="Times New Roman" w:eastAsia="仿宋" w:hAnsi="Times New Roman" w:cs="Times New Roman"/>
                <w:color w:val="000000" w:themeColor="text1"/>
                <w:sz w:val="30"/>
                <w:szCs w:val="30"/>
              </w:rPr>
              <w:t>广东云山汽车工业用地区域</w:t>
            </w:r>
          </w:p>
        </w:tc>
      </w:tr>
      <w:tr w:rsidR="00E62A88" w:rsidRPr="005B3208" w:rsidTr="00E62A88">
        <w:trPr>
          <w:trHeight w:val="810"/>
          <w:jc w:val="center"/>
        </w:trPr>
        <w:tc>
          <w:tcPr>
            <w:tcW w:w="1121" w:type="dxa"/>
            <w:tcBorders>
              <w:top w:val="nil"/>
              <w:left w:val="single" w:sz="4" w:space="0" w:color="auto"/>
              <w:bottom w:val="single" w:sz="4" w:space="0" w:color="auto"/>
              <w:right w:val="single" w:sz="4" w:space="0" w:color="auto"/>
            </w:tcBorders>
            <w:shd w:val="clear" w:color="auto" w:fill="auto"/>
            <w:vAlign w:val="center"/>
          </w:tcPr>
          <w:p w:rsidR="00E62A88" w:rsidRPr="005B3208" w:rsidRDefault="00E62A88" w:rsidP="00C47E8B">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Ⅲ-2</w:t>
            </w:r>
          </w:p>
        </w:tc>
        <w:tc>
          <w:tcPr>
            <w:tcW w:w="1121" w:type="dxa"/>
            <w:tcBorders>
              <w:top w:val="nil"/>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叶塘镇</w:t>
            </w:r>
          </w:p>
        </w:tc>
        <w:tc>
          <w:tcPr>
            <w:tcW w:w="1660" w:type="dxa"/>
            <w:tcBorders>
              <w:top w:val="nil"/>
              <w:left w:val="nil"/>
              <w:bottom w:val="single" w:sz="4" w:space="0" w:color="auto"/>
              <w:right w:val="single" w:sz="4" w:space="0" w:color="auto"/>
            </w:tcBorders>
            <w:shd w:val="clear" w:color="auto" w:fill="auto"/>
            <w:vAlign w:val="center"/>
          </w:tcPr>
          <w:p w:rsidR="00E62A88" w:rsidRPr="005B3208" w:rsidRDefault="00E62A88" w:rsidP="008A3347">
            <w:pPr>
              <w:snapToGrid w:val="0"/>
              <w:spacing w:line="276" w:lineRule="auto"/>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东莞石碣（兴宁）产业转移工</w:t>
            </w:r>
            <w:r w:rsidRPr="005B3208">
              <w:rPr>
                <w:rFonts w:ascii="Times New Roman" w:eastAsia="仿宋" w:hAnsi="Times New Roman" w:cs="Times New Roman" w:hint="eastAsia"/>
                <w:color w:val="000000" w:themeColor="text1"/>
                <w:sz w:val="30"/>
                <w:szCs w:val="30"/>
              </w:rPr>
              <w:lastRenderedPageBreak/>
              <w:t>业园</w:t>
            </w:r>
            <w:r>
              <w:rPr>
                <w:rFonts w:ascii="Times New Roman" w:eastAsia="仿宋" w:hAnsi="Times New Roman" w:cs="Times New Roman" w:hint="eastAsia"/>
                <w:color w:val="000000" w:themeColor="text1"/>
                <w:sz w:val="30"/>
                <w:szCs w:val="30"/>
              </w:rPr>
              <w:t>（南区）</w:t>
            </w:r>
            <w:r w:rsidRPr="005B3208">
              <w:rPr>
                <w:rFonts w:ascii="Times New Roman" w:eastAsia="仿宋" w:hAnsi="Times New Roman" w:cs="Times New Roman"/>
                <w:color w:val="000000" w:themeColor="text1"/>
                <w:sz w:val="30"/>
                <w:szCs w:val="30"/>
              </w:rPr>
              <w:t>片区</w:t>
            </w:r>
          </w:p>
        </w:tc>
        <w:tc>
          <w:tcPr>
            <w:tcW w:w="6060" w:type="dxa"/>
            <w:tcBorders>
              <w:top w:val="nil"/>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lastRenderedPageBreak/>
              <w:t>新兴大道北</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天河大道两侧</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新兴大道南</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新兴大道西</w:t>
            </w:r>
            <w:r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color w:val="000000" w:themeColor="text1"/>
                <w:sz w:val="30"/>
                <w:szCs w:val="30"/>
              </w:rPr>
              <w:t>新兴大道北（不包括区域内的村庄用地、住宅居住用地和商业用地等）</w:t>
            </w:r>
          </w:p>
        </w:tc>
      </w:tr>
      <w:tr w:rsidR="00E62A88" w:rsidRPr="005B3208" w:rsidTr="00E62A88">
        <w:trPr>
          <w:trHeight w:val="855"/>
          <w:jc w:val="center"/>
        </w:trPr>
        <w:tc>
          <w:tcPr>
            <w:tcW w:w="1121" w:type="dxa"/>
            <w:tcBorders>
              <w:top w:val="nil"/>
              <w:left w:val="single" w:sz="4" w:space="0" w:color="auto"/>
              <w:bottom w:val="single" w:sz="4" w:space="0" w:color="auto"/>
              <w:right w:val="single" w:sz="4" w:space="0" w:color="auto"/>
            </w:tcBorders>
            <w:shd w:val="clear" w:color="auto" w:fill="auto"/>
            <w:vAlign w:val="center"/>
          </w:tcPr>
          <w:p w:rsidR="00E62A88" w:rsidRPr="005B3208" w:rsidRDefault="00E62A88" w:rsidP="00C47E8B">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lastRenderedPageBreak/>
              <w:t>Ⅲ-</w:t>
            </w:r>
            <w:r w:rsidRPr="005B3208">
              <w:rPr>
                <w:rFonts w:ascii="Times New Roman" w:eastAsia="仿宋" w:hAnsi="Times New Roman" w:cs="Times New Roman" w:hint="eastAsia"/>
                <w:color w:val="000000" w:themeColor="text1"/>
                <w:sz w:val="30"/>
                <w:szCs w:val="30"/>
              </w:rPr>
              <w:t>3</w:t>
            </w:r>
          </w:p>
        </w:tc>
        <w:tc>
          <w:tcPr>
            <w:tcW w:w="1121" w:type="dxa"/>
            <w:tcBorders>
              <w:top w:val="nil"/>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中心城区</w:t>
            </w:r>
          </w:p>
        </w:tc>
        <w:tc>
          <w:tcPr>
            <w:tcW w:w="1660" w:type="dxa"/>
            <w:tcBorders>
              <w:top w:val="nil"/>
              <w:left w:val="nil"/>
              <w:bottom w:val="single" w:sz="4" w:space="0" w:color="auto"/>
              <w:right w:val="single" w:sz="4" w:space="0" w:color="auto"/>
            </w:tcBorders>
            <w:shd w:val="clear" w:color="auto" w:fill="auto"/>
            <w:vAlign w:val="center"/>
          </w:tcPr>
          <w:p w:rsidR="00E62A88" w:rsidRPr="005B3208" w:rsidRDefault="00916104" w:rsidP="008A3347">
            <w:pPr>
              <w:snapToGrid w:val="0"/>
              <w:spacing w:line="276" w:lineRule="auto"/>
              <w:jc w:val="center"/>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广东明珠集团片区</w:t>
            </w:r>
          </w:p>
        </w:tc>
        <w:tc>
          <w:tcPr>
            <w:tcW w:w="6060" w:type="dxa"/>
            <w:tcBorders>
              <w:top w:val="nil"/>
              <w:left w:val="nil"/>
              <w:bottom w:val="single" w:sz="4" w:space="0" w:color="auto"/>
              <w:right w:val="single" w:sz="4" w:space="0" w:color="auto"/>
            </w:tcBorders>
            <w:shd w:val="clear" w:color="auto" w:fill="auto"/>
            <w:vAlign w:val="center"/>
          </w:tcPr>
          <w:p w:rsidR="00E62A88" w:rsidRPr="005B3208" w:rsidRDefault="00916104" w:rsidP="0091610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官汕路</w:t>
            </w:r>
            <w:r w:rsidR="00E62A88" w:rsidRPr="005B3208">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兴将路</w:t>
            </w:r>
            <w:r w:rsidR="00E62A88" w:rsidRPr="005B3208">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广东明珠集团厂区边界</w:t>
            </w:r>
            <w:r w:rsidR="00E62A88" w:rsidRPr="005B3208">
              <w:rPr>
                <w:rFonts w:ascii="Times New Roman" w:eastAsia="仿宋" w:hAnsi="Times New Roman" w:cs="Times New Roman"/>
                <w:color w:val="000000" w:themeColor="text1"/>
                <w:sz w:val="30"/>
                <w:szCs w:val="30"/>
              </w:rPr>
              <w:t>—</w:t>
            </w:r>
            <w:r w:rsidRPr="005B3208">
              <w:rPr>
                <w:rFonts w:ascii="Times New Roman" w:eastAsia="仿宋" w:hAnsi="Times New Roman" w:cs="Times New Roman" w:hint="eastAsia"/>
                <w:color w:val="000000" w:themeColor="text1"/>
                <w:sz w:val="30"/>
                <w:szCs w:val="30"/>
              </w:rPr>
              <w:t>官汕路</w:t>
            </w:r>
          </w:p>
        </w:tc>
      </w:tr>
      <w:tr w:rsidR="00E62A88" w:rsidRPr="005B3208" w:rsidTr="008A737C">
        <w:trPr>
          <w:trHeight w:val="885"/>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E62A88" w:rsidRPr="005B3208" w:rsidRDefault="00E62A88" w:rsidP="00C47E8B">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Ⅲ-</w:t>
            </w:r>
            <w:r w:rsidRPr="005B3208">
              <w:rPr>
                <w:rFonts w:ascii="Times New Roman" w:eastAsia="仿宋" w:hAnsi="Times New Roman" w:cs="Times New Roman" w:hint="eastAsia"/>
                <w:color w:val="000000" w:themeColor="text1"/>
                <w:sz w:val="30"/>
                <w:szCs w:val="30"/>
              </w:rPr>
              <w:t>4</w:t>
            </w:r>
          </w:p>
        </w:tc>
        <w:tc>
          <w:tcPr>
            <w:tcW w:w="1121"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中心城区</w:t>
            </w:r>
          </w:p>
        </w:tc>
        <w:tc>
          <w:tcPr>
            <w:tcW w:w="1660"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8A3347">
            <w:pPr>
              <w:snapToGrid w:val="0"/>
              <w:spacing w:line="276" w:lineRule="auto"/>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华兴工业园片区</w:t>
            </w:r>
          </w:p>
        </w:tc>
        <w:tc>
          <w:tcPr>
            <w:tcW w:w="6060"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兴将一路两侧工业用地区域</w:t>
            </w:r>
          </w:p>
        </w:tc>
      </w:tr>
      <w:tr w:rsidR="00E62A88" w:rsidRPr="005B3208" w:rsidTr="008A737C">
        <w:trPr>
          <w:trHeight w:val="885"/>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E62A88" w:rsidRPr="005B3208" w:rsidRDefault="00E62A88" w:rsidP="008A737C">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Ⅲ-</w:t>
            </w:r>
            <w:r>
              <w:rPr>
                <w:rFonts w:ascii="Times New Roman" w:eastAsia="仿宋" w:hAnsi="Times New Roman" w:cs="Times New Roman" w:hint="eastAsia"/>
                <w:color w:val="000000" w:themeColor="text1"/>
                <w:sz w:val="30"/>
                <w:szCs w:val="30"/>
              </w:rPr>
              <w:t>5</w:t>
            </w:r>
          </w:p>
        </w:tc>
        <w:tc>
          <w:tcPr>
            <w:tcW w:w="1121"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永和镇</w:t>
            </w:r>
          </w:p>
        </w:tc>
        <w:tc>
          <w:tcPr>
            <w:tcW w:w="1660"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8A3347">
            <w:pPr>
              <w:snapToGrid w:val="0"/>
              <w:spacing w:line="276" w:lineRule="auto"/>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永和工业园</w:t>
            </w:r>
            <w:r>
              <w:rPr>
                <w:rFonts w:ascii="Times New Roman" w:eastAsia="仿宋" w:hAnsi="Times New Roman" w:cs="Times New Roman"/>
                <w:color w:val="000000" w:themeColor="text1"/>
                <w:sz w:val="30"/>
                <w:szCs w:val="30"/>
              </w:rPr>
              <w:t>片区</w:t>
            </w:r>
          </w:p>
        </w:tc>
        <w:tc>
          <w:tcPr>
            <w:tcW w:w="6060" w:type="dxa"/>
            <w:tcBorders>
              <w:top w:val="single" w:sz="4" w:space="0" w:color="auto"/>
              <w:left w:val="nil"/>
              <w:bottom w:val="single" w:sz="4" w:space="0" w:color="auto"/>
              <w:right w:val="single" w:sz="4" w:space="0" w:color="auto"/>
            </w:tcBorders>
            <w:shd w:val="clear" w:color="auto" w:fill="auto"/>
            <w:vAlign w:val="center"/>
          </w:tcPr>
          <w:p w:rsidR="00E62A88" w:rsidRPr="005B3208" w:rsidRDefault="00E62A88" w:rsidP="00CA4EC4">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工业园路两侧工业用地区域</w:t>
            </w:r>
          </w:p>
        </w:tc>
      </w:tr>
    </w:tbl>
    <w:p w:rsidR="003A6392" w:rsidRDefault="003A6392" w:rsidP="00F03868">
      <w:pPr>
        <w:widowControl/>
        <w:spacing w:line="560" w:lineRule="exact"/>
        <w:ind w:firstLineChars="200" w:firstLine="640"/>
        <w:rPr>
          <w:rFonts w:ascii="Times New Roman" w:eastAsia="方正仿宋简体" w:hAnsi="Times New Roman" w:cs="Times New Roman"/>
          <w:color w:val="000000" w:themeColor="text1"/>
          <w:sz w:val="32"/>
          <w:szCs w:val="32"/>
        </w:rPr>
      </w:pPr>
    </w:p>
    <w:p w:rsidR="00631525" w:rsidRPr="00F03868" w:rsidRDefault="00965B1B" w:rsidP="00F03868">
      <w:pPr>
        <w:widowControl/>
        <w:spacing w:line="560" w:lineRule="exact"/>
        <w:ind w:firstLineChars="200" w:firstLine="640"/>
        <w:rPr>
          <w:rFonts w:ascii="Times New Roman" w:eastAsia="方正仿宋简体" w:hAnsi="Times New Roman" w:cs="Times New Roman"/>
          <w:color w:val="000000" w:themeColor="text1"/>
          <w:sz w:val="32"/>
          <w:szCs w:val="32"/>
        </w:rPr>
      </w:pPr>
      <w:r w:rsidRPr="00F03868">
        <w:rPr>
          <w:rFonts w:ascii="Times New Roman" w:eastAsia="方正仿宋简体" w:hAnsi="Times New Roman" w:cs="Times New Roman"/>
          <w:color w:val="000000" w:themeColor="text1"/>
          <w:sz w:val="32"/>
          <w:szCs w:val="32"/>
        </w:rPr>
        <w:t>4</w:t>
      </w:r>
      <w:r w:rsidRPr="00F03868">
        <w:rPr>
          <w:rFonts w:ascii="Times New Roman" w:eastAsia="方正仿宋简体" w:hAnsi="Times New Roman" w:cs="Times New Roman" w:hint="eastAsia"/>
          <w:color w:val="000000" w:themeColor="text1"/>
          <w:sz w:val="32"/>
          <w:szCs w:val="32"/>
        </w:rPr>
        <w:t>、</w:t>
      </w:r>
      <w:r w:rsidRPr="00F03868">
        <w:rPr>
          <w:rFonts w:ascii="Times New Roman" w:eastAsia="方正仿宋简体" w:hAnsi="Times New Roman" w:cs="Times New Roman"/>
          <w:color w:val="000000" w:themeColor="text1"/>
          <w:sz w:val="32"/>
          <w:szCs w:val="32"/>
        </w:rPr>
        <w:t>4</w:t>
      </w:r>
      <w:r w:rsidRPr="00F03868">
        <w:rPr>
          <w:rFonts w:ascii="Times New Roman" w:eastAsia="方正仿宋简体" w:hAnsi="Times New Roman" w:cs="Times New Roman"/>
          <w:color w:val="000000" w:themeColor="text1"/>
          <w:sz w:val="32"/>
          <w:szCs w:val="32"/>
        </w:rPr>
        <w:t>类标准适用区</w:t>
      </w:r>
    </w:p>
    <w:p w:rsidR="00631525" w:rsidRPr="005B3208" w:rsidRDefault="006B34AD" w:rsidP="006B34AD">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4a</w:t>
      </w:r>
      <w:r w:rsidRPr="005B3208">
        <w:rPr>
          <w:rFonts w:ascii="Times New Roman" w:eastAsia="方正仿宋简体" w:hAnsi="Times New Roman" w:cs="Times New Roman" w:hint="eastAsia"/>
          <w:color w:val="000000" w:themeColor="text1"/>
          <w:sz w:val="32"/>
          <w:szCs w:val="32"/>
        </w:rPr>
        <w:t>类为兴宁市中</w:t>
      </w:r>
      <w:r w:rsidR="005E3A68" w:rsidRPr="005B3208">
        <w:rPr>
          <w:rFonts w:ascii="Times New Roman" w:eastAsia="方正仿宋简体" w:hAnsi="Times New Roman" w:cs="Times New Roman" w:hint="eastAsia"/>
          <w:color w:val="000000" w:themeColor="text1"/>
          <w:sz w:val="32"/>
          <w:szCs w:val="32"/>
        </w:rPr>
        <w:t>心城区城市主干道、城市次干道、一级公路、二级公路、高速公路以及兴宁市粤运汽车站</w:t>
      </w:r>
      <w:r w:rsidRPr="005B3208">
        <w:rPr>
          <w:rFonts w:ascii="Times New Roman" w:eastAsia="方正仿宋简体" w:hAnsi="Times New Roman" w:cs="Times New Roman" w:hint="eastAsia"/>
          <w:color w:val="000000" w:themeColor="text1"/>
          <w:sz w:val="32"/>
          <w:szCs w:val="32"/>
        </w:rPr>
        <w:t>，</w:t>
      </w:r>
      <w:r w:rsidRPr="005B3208">
        <w:rPr>
          <w:rFonts w:ascii="Times New Roman" w:eastAsia="方正仿宋简体" w:hAnsi="Times New Roman" w:cs="Times New Roman" w:hint="eastAsia"/>
          <w:color w:val="000000" w:themeColor="text1"/>
          <w:sz w:val="32"/>
          <w:szCs w:val="32"/>
        </w:rPr>
        <w:t>4b</w:t>
      </w:r>
      <w:r w:rsidRPr="005B3208">
        <w:rPr>
          <w:rFonts w:ascii="Times New Roman" w:eastAsia="方正仿宋简体" w:hAnsi="Times New Roman" w:cs="Times New Roman" w:hint="eastAsia"/>
          <w:color w:val="000000" w:themeColor="text1"/>
          <w:sz w:val="32"/>
          <w:szCs w:val="32"/>
        </w:rPr>
        <w:t>类为铁路干线两侧区域、兴宁火车站、</w:t>
      </w:r>
      <w:r w:rsidR="00F34D11">
        <w:rPr>
          <w:rFonts w:ascii="Times New Roman" w:eastAsia="方正仿宋简体" w:hAnsi="Times New Roman" w:cs="Times New Roman" w:hint="eastAsia"/>
          <w:color w:val="000000" w:themeColor="text1"/>
          <w:sz w:val="32"/>
          <w:szCs w:val="32"/>
        </w:rPr>
        <w:t>梅</w:t>
      </w:r>
      <w:r w:rsidRPr="005B3208">
        <w:rPr>
          <w:rFonts w:ascii="Times New Roman" w:eastAsia="方正仿宋简体" w:hAnsi="Times New Roman" w:cs="Times New Roman" w:hint="eastAsia"/>
          <w:color w:val="000000" w:themeColor="text1"/>
          <w:sz w:val="32"/>
          <w:szCs w:val="32"/>
        </w:rPr>
        <w:t>龙高铁兴宁南站等铁路综合交通枢纽、铁路场站或配套设施。</w:t>
      </w:r>
      <w:r w:rsidR="00E842AC" w:rsidRPr="005B3208">
        <w:rPr>
          <w:rFonts w:ascii="Times New Roman" w:eastAsia="方正仿宋简体" w:hAnsi="Times New Roman" w:cs="Times New Roman" w:hint="eastAsia"/>
          <w:color w:val="000000" w:themeColor="text1"/>
          <w:sz w:val="32"/>
          <w:szCs w:val="32"/>
        </w:rPr>
        <w:t>具体名称见</w:t>
      </w:r>
      <w:r w:rsidR="00965B1B" w:rsidRPr="005B3208">
        <w:rPr>
          <w:rFonts w:ascii="Times New Roman" w:eastAsia="方正仿宋简体" w:hAnsi="Times New Roman" w:cs="Times New Roman" w:hint="eastAsia"/>
          <w:color w:val="000000" w:themeColor="text1"/>
          <w:sz w:val="32"/>
          <w:szCs w:val="32"/>
        </w:rPr>
        <w:t>表</w:t>
      </w:r>
      <w:r w:rsidR="001B291D" w:rsidRPr="005B3208">
        <w:rPr>
          <w:rFonts w:ascii="Times New Roman" w:eastAsia="方正仿宋简体" w:hAnsi="Times New Roman" w:cs="Times New Roman" w:hint="eastAsia"/>
          <w:color w:val="000000" w:themeColor="text1"/>
          <w:sz w:val="32"/>
          <w:szCs w:val="32"/>
        </w:rPr>
        <w:t>6</w:t>
      </w:r>
      <w:r w:rsidR="00965B1B" w:rsidRPr="005B3208">
        <w:rPr>
          <w:rFonts w:ascii="Times New Roman" w:eastAsia="方正仿宋简体" w:hAnsi="Times New Roman" w:cs="Times New Roman" w:hint="eastAsia"/>
          <w:color w:val="000000" w:themeColor="text1"/>
          <w:sz w:val="32"/>
          <w:szCs w:val="32"/>
        </w:rPr>
        <w:t>。</w:t>
      </w:r>
    </w:p>
    <w:p w:rsidR="00631525" w:rsidRPr="005B3208" w:rsidRDefault="00965B1B" w:rsidP="00922DCC">
      <w:pPr>
        <w:widowControl/>
        <w:spacing w:line="420" w:lineRule="atLeast"/>
        <w:ind w:firstLineChars="200" w:firstLine="640"/>
        <w:jc w:val="center"/>
        <w:rPr>
          <w:rFonts w:ascii="Times New Roman" w:eastAsia="黑体" w:hAnsi="Times New Roman" w:cs="Times New Roman"/>
          <w:color w:val="000000" w:themeColor="text1"/>
          <w:kern w:val="0"/>
          <w:sz w:val="32"/>
          <w:szCs w:val="32"/>
        </w:rPr>
      </w:pPr>
      <w:r w:rsidRPr="005B3208">
        <w:rPr>
          <w:rFonts w:ascii="Times New Roman" w:eastAsia="黑体" w:hAnsi="Times New Roman" w:cs="Times New Roman"/>
          <w:color w:val="000000" w:themeColor="text1"/>
          <w:kern w:val="0"/>
          <w:sz w:val="32"/>
          <w:szCs w:val="32"/>
        </w:rPr>
        <w:t>表</w:t>
      </w:r>
      <w:r w:rsidR="001B291D" w:rsidRPr="005B3208">
        <w:rPr>
          <w:rFonts w:ascii="Times New Roman" w:eastAsia="黑体" w:hAnsi="Times New Roman" w:cs="Times New Roman" w:hint="eastAsia"/>
          <w:color w:val="000000" w:themeColor="text1"/>
          <w:kern w:val="0"/>
          <w:sz w:val="32"/>
          <w:szCs w:val="32"/>
        </w:rPr>
        <w:t>6</w:t>
      </w:r>
      <w:r w:rsidRPr="005B3208">
        <w:rPr>
          <w:rFonts w:ascii="Times New Roman" w:eastAsia="黑体" w:hAnsi="Times New Roman" w:cs="Times New Roman" w:hint="eastAsia"/>
          <w:color w:val="000000" w:themeColor="text1"/>
          <w:kern w:val="0"/>
          <w:sz w:val="32"/>
          <w:szCs w:val="32"/>
        </w:rPr>
        <w:t xml:space="preserve"> </w:t>
      </w:r>
      <w:r w:rsidRPr="005B3208">
        <w:rPr>
          <w:rFonts w:ascii="Times New Roman" w:eastAsia="黑体" w:hAnsi="Times New Roman" w:cs="Times New Roman"/>
          <w:color w:val="000000" w:themeColor="text1"/>
          <w:kern w:val="0"/>
          <w:sz w:val="32"/>
          <w:szCs w:val="32"/>
        </w:rPr>
        <w:t xml:space="preserve"> 4</w:t>
      </w:r>
      <w:r w:rsidRPr="005B3208">
        <w:rPr>
          <w:rFonts w:ascii="Times New Roman" w:eastAsia="黑体" w:hAnsi="Times New Roman" w:cs="Times New Roman"/>
          <w:color w:val="000000" w:themeColor="text1"/>
          <w:kern w:val="0"/>
          <w:sz w:val="32"/>
          <w:szCs w:val="32"/>
        </w:rPr>
        <w:t>类声环境功能区划方案</w:t>
      </w:r>
    </w:p>
    <w:tbl>
      <w:tblPr>
        <w:tblW w:w="5000" w:type="pct"/>
        <w:jc w:val="center"/>
        <w:tblLook w:val="04A0"/>
      </w:tblPr>
      <w:tblGrid>
        <w:gridCol w:w="1625"/>
        <w:gridCol w:w="1645"/>
        <w:gridCol w:w="6692"/>
      </w:tblGrid>
      <w:tr w:rsidR="005B3208" w:rsidRPr="005B3208" w:rsidTr="00FA28B0">
        <w:trPr>
          <w:trHeight w:val="855"/>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4AD" w:rsidRPr="00FA28B0" w:rsidRDefault="006B34AD"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声环境功能区类别</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4AD" w:rsidRPr="00FA28B0" w:rsidRDefault="006B34AD"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交通干线类别</w:t>
            </w:r>
          </w:p>
        </w:tc>
        <w:tc>
          <w:tcPr>
            <w:tcW w:w="5533" w:type="dxa"/>
            <w:tcBorders>
              <w:top w:val="single" w:sz="4" w:space="0" w:color="auto"/>
              <w:left w:val="nil"/>
              <w:bottom w:val="single" w:sz="4" w:space="0" w:color="auto"/>
              <w:right w:val="single" w:sz="4" w:space="0" w:color="auto"/>
            </w:tcBorders>
            <w:shd w:val="clear" w:color="auto" w:fill="auto"/>
            <w:vAlign w:val="center"/>
            <w:hideMark/>
          </w:tcPr>
          <w:p w:rsidR="006B34AD" w:rsidRPr="00FA28B0" w:rsidRDefault="006B34AD" w:rsidP="00FA28B0">
            <w:pPr>
              <w:widowControl/>
              <w:spacing w:line="400" w:lineRule="exact"/>
              <w:jc w:val="center"/>
              <w:rPr>
                <w:rFonts w:ascii="Times New Roman" w:eastAsia="黑体" w:hAnsi="Times New Roman" w:cs="Times New Roman"/>
                <w:color w:val="000000" w:themeColor="text1"/>
                <w:kern w:val="0"/>
                <w:sz w:val="30"/>
                <w:szCs w:val="30"/>
              </w:rPr>
            </w:pPr>
            <w:r w:rsidRPr="00FA28B0">
              <w:rPr>
                <w:rFonts w:ascii="Times New Roman" w:eastAsia="黑体" w:hAnsi="Times New Roman" w:cs="Times New Roman"/>
                <w:color w:val="000000" w:themeColor="text1"/>
                <w:kern w:val="0"/>
                <w:sz w:val="30"/>
                <w:szCs w:val="30"/>
              </w:rPr>
              <w:t>交通干线名称</w:t>
            </w:r>
          </w:p>
        </w:tc>
      </w:tr>
      <w:tr w:rsidR="005B3208" w:rsidRPr="005B3208" w:rsidTr="00D81F5F">
        <w:trPr>
          <w:trHeight w:val="789"/>
          <w:jc w:val="center"/>
        </w:trPr>
        <w:tc>
          <w:tcPr>
            <w:tcW w:w="1344" w:type="dxa"/>
            <w:vMerge w:val="restart"/>
            <w:tcBorders>
              <w:top w:val="nil"/>
              <w:left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4a</w:t>
            </w:r>
            <w:r w:rsidRPr="005B3208">
              <w:rPr>
                <w:rFonts w:ascii="Times New Roman" w:eastAsia="仿宋" w:hAnsi="Times New Roman" w:cs="Times New Roman"/>
                <w:color w:val="000000" w:themeColor="text1"/>
                <w:sz w:val="30"/>
                <w:szCs w:val="30"/>
              </w:rPr>
              <w:t>类</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高速公路</w:t>
            </w:r>
          </w:p>
        </w:tc>
        <w:tc>
          <w:tcPr>
            <w:tcW w:w="5533" w:type="dxa"/>
            <w:tcBorders>
              <w:top w:val="nil"/>
              <w:left w:val="nil"/>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济广高速、长深高速</w:t>
            </w:r>
          </w:p>
        </w:tc>
      </w:tr>
      <w:tr w:rsidR="005B3208" w:rsidRPr="005B3208" w:rsidTr="00D81F5F">
        <w:trPr>
          <w:trHeight w:val="786"/>
          <w:jc w:val="center"/>
        </w:trPr>
        <w:tc>
          <w:tcPr>
            <w:tcW w:w="1344" w:type="dxa"/>
            <w:vMerge/>
            <w:tcBorders>
              <w:left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场站</w:t>
            </w:r>
          </w:p>
        </w:tc>
        <w:tc>
          <w:tcPr>
            <w:tcW w:w="5533" w:type="dxa"/>
            <w:tcBorders>
              <w:top w:val="nil"/>
              <w:left w:val="nil"/>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兴宁市粤运汽车站</w:t>
            </w:r>
          </w:p>
        </w:tc>
      </w:tr>
      <w:tr w:rsidR="005B3208" w:rsidRPr="005B3208" w:rsidTr="006B34AD">
        <w:trPr>
          <w:trHeight w:val="2027"/>
          <w:jc w:val="center"/>
        </w:trPr>
        <w:tc>
          <w:tcPr>
            <w:tcW w:w="1344" w:type="dxa"/>
            <w:vMerge/>
            <w:tcBorders>
              <w:left w:val="single" w:sz="4" w:space="0" w:color="auto"/>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color w:val="000000" w:themeColor="text1"/>
                <w:sz w:val="30"/>
                <w:szCs w:val="30"/>
              </w:rPr>
              <w:t>城市主次干道</w:t>
            </w:r>
          </w:p>
        </w:tc>
        <w:tc>
          <w:tcPr>
            <w:tcW w:w="5533" w:type="dxa"/>
            <w:tcBorders>
              <w:top w:val="nil"/>
              <w:left w:val="nil"/>
              <w:bottom w:val="single" w:sz="4" w:space="0" w:color="auto"/>
              <w:right w:val="single" w:sz="4" w:space="0" w:color="auto"/>
            </w:tcBorders>
            <w:shd w:val="clear" w:color="auto" w:fill="auto"/>
            <w:vAlign w:val="center"/>
            <w:hideMark/>
          </w:tcPr>
          <w:p w:rsidR="006B34AD" w:rsidRPr="005B3208" w:rsidRDefault="006B34AD" w:rsidP="00D81F5F">
            <w:pPr>
              <w:snapToGrid w:val="0"/>
              <w:spacing w:line="276" w:lineRule="auto"/>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中心城区：北环大道、</w:t>
            </w:r>
            <w:r w:rsidR="00423810">
              <w:rPr>
                <w:rFonts w:ascii="Times New Roman" w:eastAsia="仿宋" w:hAnsi="Times New Roman" w:cs="Times New Roman" w:hint="eastAsia"/>
                <w:color w:val="000000" w:themeColor="text1"/>
                <w:sz w:val="30"/>
                <w:szCs w:val="30"/>
              </w:rPr>
              <w:t>东环大道、</w:t>
            </w:r>
            <w:r w:rsidR="001A58A1">
              <w:rPr>
                <w:rFonts w:ascii="Times New Roman" w:eastAsia="仿宋" w:hAnsi="Times New Roman" w:cs="Times New Roman" w:hint="eastAsia"/>
                <w:color w:val="000000" w:themeColor="text1"/>
                <w:sz w:val="30"/>
                <w:szCs w:val="30"/>
              </w:rPr>
              <w:t>南环大道、</w:t>
            </w:r>
            <w:r w:rsidR="001A58A1" w:rsidRPr="005B3208">
              <w:rPr>
                <w:rFonts w:ascii="Times New Roman" w:eastAsia="仿宋" w:hAnsi="Times New Roman" w:cs="Times New Roman" w:hint="eastAsia"/>
                <w:color w:val="000000" w:themeColor="text1"/>
                <w:sz w:val="30"/>
                <w:szCs w:val="30"/>
              </w:rPr>
              <w:t>西环大道、</w:t>
            </w:r>
            <w:r w:rsidRPr="005B3208">
              <w:rPr>
                <w:rFonts w:ascii="Times New Roman" w:eastAsia="仿宋" w:hAnsi="Times New Roman" w:cs="Times New Roman" w:hint="eastAsia"/>
                <w:color w:val="000000" w:themeColor="text1"/>
                <w:sz w:val="30"/>
                <w:szCs w:val="30"/>
              </w:rPr>
              <w:t>官汕路、团结路、永泰路、中山路</w:t>
            </w:r>
            <w:r w:rsidR="00423810">
              <w:rPr>
                <w:rFonts w:ascii="Times New Roman" w:eastAsia="仿宋" w:hAnsi="Times New Roman" w:cs="Times New Roman" w:hint="eastAsia"/>
                <w:color w:val="000000" w:themeColor="text1"/>
                <w:sz w:val="30"/>
                <w:szCs w:val="30"/>
              </w:rPr>
              <w:t>（东、西）</w:t>
            </w:r>
            <w:r w:rsidRPr="005B3208">
              <w:rPr>
                <w:rFonts w:ascii="Times New Roman" w:eastAsia="仿宋" w:hAnsi="Times New Roman" w:cs="Times New Roman" w:hint="eastAsia"/>
                <w:color w:val="000000" w:themeColor="text1"/>
                <w:sz w:val="30"/>
                <w:szCs w:val="30"/>
              </w:rPr>
              <w:t>、东风路、人民大道</w:t>
            </w:r>
            <w:r w:rsidR="00377CBC">
              <w:rPr>
                <w:rFonts w:ascii="Times New Roman" w:eastAsia="仿宋" w:hAnsi="Times New Roman" w:cs="Times New Roman" w:hint="eastAsia"/>
                <w:color w:val="000000" w:themeColor="text1"/>
                <w:sz w:val="30"/>
                <w:szCs w:val="30"/>
              </w:rPr>
              <w:t>（东、中、西）</w:t>
            </w:r>
            <w:r w:rsidRPr="005B3208">
              <w:rPr>
                <w:rFonts w:ascii="Times New Roman" w:eastAsia="仿宋" w:hAnsi="Times New Roman" w:cs="Times New Roman" w:hint="eastAsia"/>
                <w:color w:val="000000" w:themeColor="text1"/>
                <w:sz w:val="30"/>
                <w:szCs w:val="30"/>
              </w:rPr>
              <w:t>、新城大道、锦绣大道、</w:t>
            </w:r>
            <w:r w:rsidR="00423810">
              <w:rPr>
                <w:rFonts w:ascii="Times New Roman" w:eastAsia="仿宋" w:hAnsi="Times New Roman" w:cs="Times New Roman" w:hint="eastAsia"/>
                <w:color w:val="000000" w:themeColor="text1"/>
                <w:sz w:val="30"/>
                <w:szCs w:val="30"/>
              </w:rPr>
              <w:t>科教路</w:t>
            </w:r>
            <w:r w:rsidR="000570F5">
              <w:rPr>
                <w:rFonts w:ascii="Times New Roman" w:eastAsia="仿宋" w:hAnsi="Times New Roman" w:cs="Times New Roman" w:hint="eastAsia"/>
                <w:color w:val="000000" w:themeColor="text1"/>
                <w:sz w:val="30"/>
                <w:szCs w:val="30"/>
              </w:rPr>
              <w:t>（一</w:t>
            </w:r>
            <w:r w:rsidR="000570F5">
              <w:rPr>
                <w:rFonts w:ascii="Times New Roman" w:eastAsia="仿宋" w:hAnsi="Times New Roman" w:cs="Times New Roman" w:hint="eastAsia"/>
                <w:color w:val="000000" w:themeColor="text1"/>
                <w:sz w:val="30"/>
                <w:szCs w:val="30"/>
              </w:rPr>
              <w:t>~</w:t>
            </w:r>
            <w:r w:rsidR="000570F5">
              <w:rPr>
                <w:rFonts w:ascii="Times New Roman" w:eastAsia="仿宋" w:hAnsi="Times New Roman" w:cs="Times New Roman" w:hint="eastAsia"/>
                <w:color w:val="000000" w:themeColor="text1"/>
                <w:sz w:val="30"/>
                <w:szCs w:val="30"/>
              </w:rPr>
              <w:t>四）</w:t>
            </w:r>
            <w:r w:rsidR="00423810">
              <w:rPr>
                <w:rFonts w:ascii="Times New Roman" w:eastAsia="仿宋" w:hAnsi="Times New Roman" w:cs="Times New Roman" w:hint="eastAsia"/>
                <w:color w:val="000000" w:themeColor="text1"/>
                <w:sz w:val="30"/>
                <w:szCs w:val="30"/>
              </w:rPr>
              <w:t>、锦绣大道、五里路、爱民路、</w:t>
            </w:r>
            <w:r w:rsidRPr="005B3208">
              <w:rPr>
                <w:rFonts w:ascii="Times New Roman" w:eastAsia="仿宋" w:hAnsi="Times New Roman" w:cs="Times New Roman" w:hint="eastAsia"/>
                <w:color w:val="000000" w:themeColor="text1"/>
                <w:sz w:val="30"/>
                <w:szCs w:val="30"/>
              </w:rPr>
              <w:t>福兴大道、</w:t>
            </w:r>
            <w:r w:rsidR="00423810">
              <w:rPr>
                <w:rFonts w:ascii="Times New Roman" w:eastAsia="仿宋" w:hAnsi="Times New Roman" w:cs="Times New Roman" w:hint="eastAsia"/>
                <w:color w:val="000000" w:themeColor="text1"/>
                <w:sz w:val="30"/>
                <w:szCs w:val="30"/>
              </w:rPr>
              <w:t>兴将路</w:t>
            </w:r>
            <w:r w:rsidR="003973A1">
              <w:rPr>
                <w:rFonts w:ascii="Times New Roman" w:eastAsia="仿宋" w:hAnsi="Times New Roman" w:cs="Times New Roman" w:hint="eastAsia"/>
                <w:color w:val="000000" w:themeColor="text1"/>
                <w:sz w:val="30"/>
                <w:szCs w:val="30"/>
              </w:rPr>
              <w:t>（一、二）</w:t>
            </w:r>
            <w:r w:rsidR="00423810">
              <w:rPr>
                <w:rFonts w:ascii="Times New Roman" w:eastAsia="仿宋" w:hAnsi="Times New Roman" w:cs="Times New Roman" w:hint="eastAsia"/>
                <w:color w:val="000000" w:themeColor="text1"/>
                <w:sz w:val="30"/>
                <w:szCs w:val="30"/>
              </w:rPr>
              <w:t>、</w:t>
            </w:r>
            <w:r w:rsidRPr="005B3208">
              <w:rPr>
                <w:rFonts w:ascii="Times New Roman" w:eastAsia="仿宋" w:hAnsi="Times New Roman" w:cs="Times New Roman" w:hint="eastAsia"/>
                <w:color w:val="000000" w:themeColor="text1"/>
                <w:sz w:val="30"/>
                <w:szCs w:val="30"/>
              </w:rPr>
              <w:t>兴福路、</w:t>
            </w:r>
            <w:r w:rsidR="001A58A1">
              <w:rPr>
                <w:rFonts w:ascii="Times New Roman" w:eastAsia="仿宋" w:hAnsi="Times New Roman" w:cs="Times New Roman" w:hint="eastAsia"/>
                <w:color w:val="000000" w:themeColor="text1"/>
                <w:sz w:val="30"/>
                <w:szCs w:val="30"/>
              </w:rPr>
              <w:t>滨江路（东、西）、</w:t>
            </w:r>
            <w:r w:rsidR="00423810" w:rsidRPr="005B3208">
              <w:rPr>
                <w:rFonts w:ascii="Times New Roman" w:eastAsia="仿宋" w:hAnsi="Times New Roman" w:cs="Times New Roman" w:hint="eastAsia"/>
                <w:color w:val="000000" w:themeColor="text1"/>
                <w:sz w:val="30"/>
                <w:szCs w:val="30"/>
              </w:rPr>
              <w:t>兴南大道</w:t>
            </w:r>
            <w:r w:rsidR="0088602F">
              <w:rPr>
                <w:rFonts w:ascii="Times New Roman" w:eastAsia="仿宋" w:hAnsi="Times New Roman" w:cs="Times New Roman" w:hint="eastAsia"/>
                <w:color w:val="000000" w:themeColor="text1"/>
                <w:sz w:val="30"/>
                <w:szCs w:val="30"/>
              </w:rPr>
              <w:t>（北、中、南）</w:t>
            </w:r>
            <w:r w:rsidR="00423810" w:rsidRPr="005B3208">
              <w:rPr>
                <w:rFonts w:ascii="Times New Roman" w:eastAsia="仿宋" w:hAnsi="Times New Roman" w:cs="Times New Roman" w:hint="eastAsia"/>
                <w:color w:val="000000" w:themeColor="text1"/>
                <w:sz w:val="30"/>
                <w:szCs w:val="30"/>
              </w:rPr>
              <w:t>、</w:t>
            </w:r>
            <w:r w:rsidR="00423810">
              <w:rPr>
                <w:rFonts w:ascii="Times New Roman" w:eastAsia="仿宋" w:hAnsi="Times New Roman" w:cs="Times New Roman" w:hint="eastAsia"/>
                <w:color w:val="000000" w:themeColor="text1"/>
                <w:sz w:val="30"/>
                <w:szCs w:val="30"/>
              </w:rPr>
              <w:t>兴宁大道、文峰路（一</w:t>
            </w:r>
            <w:r w:rsidR="00423810">
              <w:rPr>
                <w:rFonts w:ascii="Times New Roman" w:eastAsia="仿宋" w:hAnsi="Times New Roman" w:cs="Times New Roman" w:hint="eastAsia"/>
                <w:color w:val="000000" w:themeColor="text1"/>
                <w:sz w:val="30"/>
                <w:szCs w:val="30"/>
              </w:rPr>
              <w:t>~</w:t>
            </w:r>
            <w:r w:rsidR="00423810">
              <w:rPr>
                <w:rFonts w:ascii="Times New Roman" w:eastAsia="仿宋" w:hAnsi="Times New Roman" w:cs="Times New Roman" w:hint="eastAsia"/>
                <w:color w:val="000000" w:themeColor="text1"/>
                <w:sz w:val="30"/>
                <w:szCs w:val="30"/>
              </w:rPr>
              <w:t>七）、</w:t>
            </w:r>
            <w:r w:rsidRPr="005B3208">
              <w:rPr>
                <w:rFonts w:ascii="Times New Roman" w:eastAsia="仿宋" w:hAnsi="Times New Roman" w:cs="Times New Roman" w:hint="eastAsia"/>
                <w:color w:val="000000" w:themeColor="text1"/>
                <w:sz w:val="30"/>
                <w:szCs w:val="30"/>
              </w:rPr>
              <w:t>兴华路、兴田路、</w:t>
            </w:r>
            <w:r w:rsidR="001A58A1">
              <w:rPr>
                <w:rFonts w:ascii="Times New Roman" w:eastAsia="仿宋" w:hAnsi="Times New Roman" w:cs="Times New Roman" w:hint="eastAsia"/>
                <w:color w:val="000000" w:themeColor="text1"/>
                <w:sz w:val="30"/>
                <w:szCs w:val="30"/>
              </w:rPr>
              <w:t>城南大道、</w:t>
            </w:r>
            <w:r w:rsidRPr="005B3208">
              <w:rPr>
                <w:rFonts w:ascii="Times New Roman" w:eastAsia="仿宋" w:hAnsi="Times New Roman" w:cs="Times New Roman" w:hint="eastAsia"/>
                <w:color w:val="000000" w:themeColor="text1"/>
                <w:sz w:val="30"/>
                <w:szCs w:val="30"/>
              </w:rPr>
              <w:t>曾学路、金带街、司前街、兴东路、迎宾</w:t>
            </w:r>
            <w:r w:rsidRPr="005B3208">
              <w:rPr>
                <w:rFonts w:ascii="Times New Roman" w:eastAsia="仿宋" w:hAnsi="Times New Roman" w:cs="Times New Roman" w:hint="eastAsia"/>
                <w:color w:val="000000" w:themeColor="text1"/>
                <w:sz w:val="30"/>
                <w:szCs w:val="30"/>
              </w:rPr>
              <w:lastRenderedPageBreak/>
              <w:t>大道</w:t>
            </w:r>
            <w:r w:rsidR="00423810">
              <w:rPr>
                <w:rFonts w:ascii="Times New Roman" w:eastAsia="仿宋" w:hAnsi="Times New Roman" w:cs="Times New Roman" w:hint="eastAsia"/>
                <w:color w:val="000000" w:themeColor="text1"/>
                <w:sz w:val="30"/>
                <w:szCs w:val="30"/>
              </w:rPr>
              <w:t>（</w:t>
            </w:r>
            <w:r w:rsidR="00423810" w:rsidRPr="005B3208">
              <w:rPr>
                <w:rFonts w:ascii="Times New Roman" w:eastAsia="仿宋" w:hAnsi="Times New Roman" w:cs="Times New Roman" w:hint="eastAsia"/>
                <w:color w:val="000000" w:themeColor="text1"/>
                <w:sz w:val="30"/>
                <w:szCs w:val="30"/>
              </w:rPr>
              <w:t>北</w:t>
            </w:r>
            <w:r w:rsidR="00423810">
              <w:rPr>
                <w:rFonts w:ascii="Times New Roman" w:eastAsia="仿宋" w:hAnsi="Times New Roman" w:cs="Times New Roman" w:hint="eastAsia"/>
                <w:color w:val="000000" w:themeColor="text1"/>
                <w:sz w:val="30"/>
                <w:szCs w:val="30"/>
              </w:rPr>
              <w:t>、中、南</w:t>
            </w:r>
            <w:r w:rsidR="00423810" w:rsidRPr="005B3208">
              <w:rPr>
                <w:rFonts w:ascii="Times New Roman" w:eastAsia="仿宋" w:hAnsi="Times New Roman" w:cs="Times New Roman" w:hint="eastAsia"/>
                <w:color w:val="000000" w:themeColor="text1"/>
                <w:sz w:val="30"/>
                <w:szCs w:val="30"/>
              </w:rPr>
              <w:t>段</w:t>
            </w:r>
            <w:r w:rsidR="00423810">
              <w:rPr>
                <w:rFonts w:ascii="Times New Roman" w:eastAsia="仿宋" w:hAnsi="Times New Roman" w:cs="Times New Roman" w:hint="eastAsia"/>
                <w:color w:val="000000" w:themeColor="text1"/>
                <w:sz w:val="30"/>
                <w:szCs w:val="30"/>
              </w:rPr>
              <w:t>）</w:t>
            </w:r>
            <w:r w:rsidRPr="005B3208">
              <w:rPr>
                <w:rFonts w:ascii="Times New Roman" w:eastAsia="仿宋" w:hAnsi="Times New Roman" w:cs="Times New Roman" w:hint="eastAsia"/>
                <w:color w:val="000000" w:themeColor="text1"/>
                <w:sz w:val="30"/>
                <w:szCs w:val="30"/>
              </w:rPr>
              <w:t>、</w:t>
            </w:r>
            <w:r w:rsidRPr="005B3208">
              <w:rPr>
                <w:rFonts w:ascii="Times New Roman" w:eastAsia="仿宋" w:hAnsi="Times New Roman" w:cs="Times New Roman" w:hint="eastAsia"/>
                <w:color w:val="000000" w:themeColor="text1"/>
                <w:sz w:val="30"/>
                <w:szCs w:val="30"/>
              </w:rPr>
              <w:t>G205</w:t>
            </w:r>
            <w:r w:rsidRPr="005B3208">
              <w:rPr>
                <w:rFonts w:ascii="Times New Roman" w:eastAsia="仿宋" w:hAnsi="Times New Roman" w:cs="Times New Roman" w:hint="eastAsia"/>
                <w:color w:val="000000" w:themeColor="text1"/>
                <w:sz w:val="30"/>
                <w:szCs w:val="30"/>
              </w:rPr>
              <w:t>国道、</w:t>
            </w:r>
            <w:r w:rsidRPr="005B3208">
              <w:rPr>
                <w:rFonts w:ascii="Times New Roman" w:eastAsia="仿宋" w:hAnsi="Times New Roman" w:cs="Times New Roman" w:hint="eastAsia"/>
                <w:color w:val="000000" w:themeColor="text1"/>
                <w:sz w:val="30"/>
                <w:szCs w:val="30"/>
              </w:rPr>
              <w:t>S225</w:t>
            </w:r>
            <w:r w:rsidRPr="005B3208">
              <w:rPr>
                <w:rFonts w:ascii="Times New Roman" w:eastAsia="仿宋" w:hAnsi="Times New Roman" w:cs="Times New Roman" w:hint="eastAsia"/>
                <w:color w:val="000000" w:themeColor="text1"/>
                <w:sz w:val="30"/>
                <w:szCs w:val="30"/>
              </w:rPr>
              <w:t>省道、</w:t>
            </w:r>
            <w:r w:rsidRPr="005B3208">
              <w:rPr>
                <w:rFonts w:ascii="Times New Roman" w:eastAsia="仿宋" w:hAnsi="Times New Roman" w:cs="Times New Roman" w:hint="eastAsia"/>
                <w:color w:val="000000" w:themeColor="text1"/>
                <w:sz w:val="30"/>
                <w:szCs w:val="30"/>
              </w:rPr>
              <w:t>S226</w:t>
            </w:r>
            <w:r w:rsidRPr="005B3208">
              <w:rPr>
                <w:rFonts w:ascii="Times New Roman" w:eastAsia="仿宋" w:hAnsi="Times New Roman" w:cs="Times New Roman" w:hint="eastAsia"/>
                <w:color w:val="000000" w:themeColor="text1"/>
                <w:sz w:val="30"/>
                <w:szCs w:val="30"/>
              </w:rPr>
              <w:t>省道</w:t>
            </w:r>
          </w:p>
          <w:p w:rsidR="006B34AD" w:rsidRPr="005B3208" w:rsidRDefault="006B34AD" w:rsidP="00D81F5F">
            <w:pPr>
              <w:snapToGrid w:val="0"/>
              <w:spacing w:line="276" w:lineRule="auto"/>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东莞石碣（兴宁）产业转移工业园：新兴大道（北、西、南）、工业大道、天河大道、发展大道、兴业大道、富业大道</w:t>
            </w:r>
          </w:p>
          <w:p w:rsidR="006B34AD" w:rsidRPr="005B3208" w:rsidRDefault="006B34AD" w:rsidP="00D81F5F">
            <w:pPr>
              <w:snapToGrid w:val="0"/>
              <w:spacing w:line="276" w:lineRule="auto"/>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永和工业园：工业大道</w:t>
            </w:r>
          </w:p>
        </w:tc>
      </w:tr>
      <w:tr w:rsidR="005B3208" w:rsidRPr="005B3208" w:rsidTr="006B34AD">
        <w:trPr>
          <w:trHeight w:val="893"/>
          <w:jc w:val="center"/>
        </w:trPr>
        <w:tc>
          <w:tcPr>
            <w:tcW w:w="1344" w:type="dxa"/>
            <w:tcBorders>
              <w:left w:val="single" w:sz="4" w:space="0" w:color="auto"/>
              <w:bottom w:val="single" w:sz="4" w:space="0" w:color="auto"/>
              <w:right w:val="single" w:sz="4" w:space="0" w:color="auto"/>
            </w:tcBorders>
            <w:shd w:val="clear" w:color="auto" w:fill="auto"/>
            <w:vAlign w:val="center"/>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lastRenderedPageBreak/>
              <w:t>4b</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铁路干线</w:t>
            </w:r>
          </w:p>
        </w:tc>
        <w:tc>
          <w:tcPr>
            <w:tcW w:w="5533" w:type="dxa"/>
            <w:tcBorders>
              <w:top w:val="nil"/>
              <w:left w:val="nil"/>
              <w:bottom w:val="single" w:sz="4" w:space="0" w:color="auto"/>
              <w:right w:val="single" w:sz="4" w:space="0" w:color="auto"/>
            </w:tcBorders>
            <w:shd w:val="clear" w:color="auto" w:fill="auto"/>
            <w:vAlign w:val="center"/>
          </w:tcPr>
          <w:p w:rsidR="006B34AD" w:rsidRPr="005B3208" w:rsidRDefault="007643E3" w:rsidP="00D81F5F">
            <w:pPr>
              <w:snapToGrid w:val="0"/>
              <w:spacing w:line="276" w:lineRule="auto"/>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梅</w:t>
            </w:r>
            <w:r w:rsidR="006B34AD" w:rsidRPr="005B3208">
              <w:rPr>
                <w:rFonts w:ascii="Times New Roman" w:eastAsia="仿宋" w:hAnsi="Times New Roman" w:cs="Times New Roman" w:hint="eastAsia"/>
                <w:color w:val="000000" w:themeColor="text1"/>
                <w:sz w:val="30"/>
                <w:szCs w:val="30"/>
              </w:rPr>
              <w:t>龙高铁、广梅汕铁路、</w:t>
            </w:r>
            <w:r>
              <w:rPr>
                <w:rFonts w:ascii="Times New Roman" w:eastAsia="仿宋" w:hAnsi="Times New Roman" w:cs="Times New Roman" w:hint="eastAsia"/>
                <w:color w:val="000000" w:themeColor="text1"/>
                <w:sz w:val="30"/>
                <w:szCs w:val="30"/>
              </w:rPr>
              <w:t>梅</w:t>
            </w:r>
            <w:r w:rsidRPr="005B3208">
              <w:rPr>
                <w:rFonts w:ascii="Times New Roman" w:eastAsia="仿宋" w:hAnsi="Times New Roman" w:cs="Times New Roman" w:hint="eastAsia"/>
                <w:color w:val="000000" w:themeColor="text1"/>
                <w:sz w:val="30"/>
                <w:szCs w:val="30"/>
              </w:rPr>
              <w:t>龙高铁</w:t>
            </w:r>
            <w:r w:rsidR="006B34AD" w:rsidRPr="005B3208">
              <w:rPr>
                <w:rFonts w:ascii="Times New Roman" w:eastAsia="仿宋" w:hAnsi="Times New Roman" w:cs="Times New Roman" w:hint="eastAsia"/>
                <w:color w:val="000000" w:themeColor="text1"/>
                <w:sz w:val="30"/>
                <w:szCs w:val="30"/>
              </w:rPr>
              <w:t>兴宁南站、兴宁火车站</w:t>
            </w:r>
          </w:p>
        </w:tc>
      </w:tr>
      <w:tr w:rsidR="006B34AD" w:rsidRPr="005B3208" w:rsidTr="006B34AD">
        <w:trPr>
          <w:trHeight w:val="753"/>
          <w:jc w:val="center"/>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4AD" w:rsidRPr="005B3208" w:rsidRDefault="006B34AD" w:rsidP="006B34AD">
            <w:pPr>
              <w:snapToGrid w:val="0"/>
              <w:spacing w:line="460" w:lineRule="exact"/>
              <w:jc w:val="center"/>
              <w:rPr>
                <w:rFonts w:ascii="Times New Roman" w:eastAsia="仿宋" w:hAnsi="Times New Roman" w:cs="Times New Roman"/>
                <w:color w:val="000000" w:themeColor="text1"/>
                <w:sz w:val="30"/>
                <w:szCs w:val="30"/>
              </w:rPr>
            </w:pPr>
            <w:r w:rsidRPr="005B3208">
              <w:rPr>
                <w:rFonts w:ascii="Times New Roman" w:eastAsia="仿宋" w:hAnsi="Times New Roman" w:cs="Times New Roman" w:hint="eastAsia"/>
                <w:color w:val="000000" w:themeColor="text1"/>
                <w:sz w:val="30"/>
                <w:szCs w:val="30"/>
              </w:rPr>
              <w:t>备注：处于规划设计阶段路段以实际确定的路线为准。</w:t>
            </w:r>
          </w:p>
        </w:tc>
      </w:tr>
    </w:tbl>
    <w:p w:rsidR="00631525" w:rsidRPr="005B3208" w:rsidRDefault="00965B1B">
      <w:pPr>
        <w:widowControl/>
        <w:tabs>
          <w:tab w:val="center" w:pos="4153"/>
        </w:tabs>
        <w:spacing w:line="420" w:lineRule="atLeast"/>
        <w:ind w:firstLineChars="200" w:firstLine="640"/>
        <w:jc w:val="left"/>
        <w:rPr>
          <w:rFonts w:ascii="黑体" w:eastAsia="黑体" w:hAnsi="黑体" w:cs="黑体"/>
          <w:color w:val="000000" w:themeColor="text1"/>
          <w:kern w:val="0"/>
          <w:sz w:val="32"/>
          <w:szCs w:val="32"/>
        </w:rPr>
      </w:pPr>
      <w:r w:rsidRPr="005B3208">
        <w:rPr>
          <w:rFonts w:ascii="黑体" w:eastAsia="黑体" w:hAnsi="黑体" w:cs="黑体" w:hint="eastAsia"/>
          <w:color w:val="000000" w:themeColor="text1"/>
          <w:sz w:val="32"/>
          <w:szCs w:val="32"/>
        </w:rPr>
        <w:t>四、</w:t>
      </w:r>
      <w:r w:rsidRPr="005B3208">
        <w:rPr>
          <w:rFonts w:ascii="黑体" w:eastAsia="黑体" w:hAnsi="黑体" w:cs="黑体" w:hint="eastAsia"/>
          <w:color w:val="000000" w:themeColor="text1"/>
          <w:kern w:val="0"/>
          <w:sz w:val="32"/>
          <w:szCs w:val="32"/>
        </w:rPr>
        <w:t>其它</w:t>
      </w:r>
      <w:r w:rsidRPr="005B3208">
        <w:rPr>
          <w:rFonts w:ascii="黑体" w:eastAsia="黑体" w:hAnsi="黑体" w:cs="黑体" w:hint="eastAsia"/>
          <w:color w:val="000000" w:themeColor="text1"/>
          <w:sz w:val="32"/>
          <w:szCs w:val="32"/>
        </w:rPr>
        <w:t>规定</w:t>
      </w:r>
    </w:p>
    <w:p w:rsidR="00FD02D9" w:rsidRPr="005B3208" w:rsidRDefault="00FD02D9">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（一）本方案自公布之日起实施，有效期为五年。</w:t>
      </w:r>
    </w:p>
    <w:p w:rsidR="00FD02D9" w:rsidRPr="005B3208" w:rsidRDefault="00FD02D9">
      <w:pPr>
        <w:widowControl/>
        <w:spacing w:line="560" w:lineRule="exact"/>
        <w:ind w:firstLineChars="200" w:firstLine="640"/>
        <w:rPr>
          <w:rFonts w:ascii="Times New Roman" w:eastAsia="方正仿宋简体" w:hAnsi="Times New Roman" w:cs="Times New Roman"/>
          <w:color w:val="000000" w:themeColor="text1"/>
          <w:sz w:val="32"/>
          <w:szCs w:val="32"/>
        </w:rPr>
      </w:pPr>
      <w:r w:rsidRPr="005B3208">
        <w:rPr>
          <w:rFonts w:ascii="Times New Roman" w:eastAsia="方正仿宋简体" w:hAnsi="Times New Roman" w:cs="Times New Roman" w:hint="eastAsia"/>
          <w:color w:val="000000" w:themeColor="text1"/>
          <w:sz w:val="32"/>
          <w:szCs w:val="32"/>
        </w:rPr>
        <w:t>（二）</w:t>
      </w:r>
      <w:r w:rsidRPr="005B3208">
        <w:rPr>
          <w:rFonts w:ascii="Times New Roman" w:eastAsia="方正仿宋简体" w:hAnsi="Times New Roman" w:cs="Times New Roman"/>
          <w:color w:val="000000" w:themeColor="text1"/>
          <w:sz w:val="32"/>
          <w:szCs w:val="32"/>
        </w:rPr>
        <w:t>本</w:t>
      </w:r>
      <w:r w:rsidRPr="005B3208">
        <w:rPr>
          <w:rFonts w:ascii="Times New Roman" w:eastAsia="方正仿宋简体" w:hAnsi="Times New Roman" w:cs="Times New Roman" w:hint="eastAsia"/>
          <w:color w:val="000000" w:themeColor="text1"/>
          <w:sz w:val="32"/>
          <w:szCs w:val="32"/>
        </w:rPr>
        <w:t>区划</w:t>
      </w:r>
      <w:r w:rsidRPr="005B3208">
        <w:rPr>
          <w:rFonts w:ascii="Times New Roman" w:eastAsia="方正仿宋简体" w:hAnsi="Times New Roman" w:cs="Times New Roman"/>
          <w:color w:val="000000" w:themeColor="text1"/>
          <w:sz w:val="32"/>
          <w:szCs w:val="32"/>
        </w:rPr>
        <w:t>方案由梅州市</w:t>
      </w:r>
      <w:r w:rsidRPr="005B3208">
        <w:rPr>
          <w:rFonts w:ascii="Times New Roman" w:eastAsia="方正仿宋简体" w:hAnsi="Times New Roman" w:cs="Times New Roman" w:hint="eastAsia"/>
          <w:color w:val="000000" w:themeColor="text1"/>
          <w:sz w:val="32"/>
          <w:szCs w:val="32"/>
        </w:rPr>
        <w:t>生态</w:t>
      </w:r>
      <w:r w:rsidRPr="005B3208">
        <w:rPr>
          <w:rFonts w:ascii="Times New Roman" w:eastAsia="方正仿宋简体" w:hAnsi="Times New Roman" w:cs="Times New Roman"/>
          <w:color w:val="000000" w:themeColor="text1"/>
          <w:sz w:val="32"/>
          <w:szCs w:val="32"/>
        </w:rPr>
        <w:t>环境局</w:t>
      </w:r>
      <w:r w:rsidR="007E1479" w:rsidRPr="005B3208">
        <w:rPr>
          <w:rFonts w:ascii="Times New Roman" w:eastAsia="方正仿宋简体" w:hAnsi="Times New Roman" w:cs="Times New Roman" w:hint="eastAsia"/>
          <w:color w:val="000000" w:themeColor="text1"/>
          <w:sz w:val="32"/>
          <w:szCs w:val="32"/>
        </w:rPr>
        <w:t>兴宁</w:t>
      </w:r>
      <w:r w:rsidRPr="005B3208">
        <w:rPr>
          <w:rFonts w:ascii="Times New Roman" w:eastAsia="方正仿宋简体" w:hAnsi="Times New Roman" w:cs="Times New Roman" w:hint="eastAsia"/>
          <w:color w:val="000000" w:themeColor="text1"/>
          <w:sz w:val="32"/>
          <w:szCs w:val="32"/>
        </w:rPr>
        <w:t>分局</w:t>
      </w:r>
      <w:r w:rsidRPr="005B3208">
        <w:rPr>
          <w:rFonts w:ascii="Times New Roman" w:eastAsia="方正仿宋简体" w:hAnsi="Times New Roman" w:cs="Times New Roman"/>
          <w:color w:val="000000" w:themeColor="text1"/>
          <w:sz w:val="32"/>
          <w:szCs w:val="32"/>
        </w:rPr>
        <w:t>负责解释。</w:t>
      </w:r>
    </w:p>
    <w:p w:rsidR="009604AE" w:rsidRDefault="009604AE" w:rsidP="00FD02D9">
      <w:pPr>
        <w:widowControl/>
        <w:spacing w:line="560" w:lineRule="exact"/>
        <w:ind w:firstLineChars="200" w:firstLine="640"/>
        <w:rPr>
          <w:rFonts w:ascii="Times New Roman" w:eastAsia="方正仿宋简体" w:hAnsi="Times New Roman" w:cs="Times New Roman" w:hint="eastAsia"/>
          <w:color w:val="000000" w:themeColor="text1"/>
          <w:sz w:val="32"/>
          <w:szCs w:val="32"/>
        </w:rPr>
      </w:pPr>
    </w:p>
    <w:p w:rsidR="000A506E" w:rsidRPr="005B3208" w:rsidRDefault="000A506E" w:rsidP="00FD02D9">
      <w:pPr>
        <w:widowControl/>
        <w:spacing w:line="560" w:lineRule="exact"/>
        <w:ind w:firstLineChars="200" w:firstLine="640"/>
        <w:rPr>
          <w:rFonts w:ascii="Times New Roman" w:eastAsia="方正仿宋简体" w:hAnsi="Times New Roman" w:cs="Times New Roman"/>
          <w:color w:val="000000" w:themeColor="text1"/>
          <w:sz w:val="32"/>
          <w:szCs w:val="32"/>
        </w:rPr>
        <w:sectPr w:rsidR="000A506E" w:rsidRPr="005B3208" w:rsidSect="000D6523">
          <w:footerReference w:type="default" r:id="rId9"/>
          <w:pgSz w:w="11906" w:h="16838"/>
          <w:pgMar w:top="1440" w:right="1080" w:bottom="1440" w:left="1080" w:header="851" w:footer="850" w:gutter="0"/>
          <w:cols w:space="425"/>
          <w:docGrid w:type="lines" w:linePitch="312"/>
        </w:sectPr>
      </w:pPr>
    </w:p>
    <w:p w:rsidR="00631525" w:rsidRPr="005B3208" w:rsidRDefault="00631525" w:rsidP="000A506E">
      <w:pPr>
        <w:widowControl/>
        <w:rPr>
          <w:rFonts w:ascii="Times New Roman" w:eastAsia="宋体" w:hAnsi="Times New Roman" w:cs="Times New Roman"/>
          <w:bCs/>
          <w:color w:val="000000" w:themeColor="text1"/>
          <w:kern w:val="0"/>
          <w:sz w:val="36"/>
          <w:szCs w:val="36"/>
        </w:rPr>
      </w:pPr>
    </w:p>
    <w:sectPr w:rsidR="00631525" w:rsidRPr="005B3208" w:rsidSect="009604AE">
      <w:pgSz w:w="16838" w:h="23811" w:code="8"/>
      <w:pgMar w:top="1440" w:right="1080" w:bottom="1440" w:left="108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A4" w:rsidRDefault="004504A4">
      <w:r>
        <w:separator/>
      </w:r>
    </w:p>
  </w:endnote>
  <w:endnote w:type="continuationSeparator" w:id="0">
    <w:p w:rsidR="004504A4" w:rsidRDefault="0045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简体">
    <w:altName w:val="hakuyoxingshu7000"/>
    <w:charset w:val="86"/>
    <w:family w:val="auto"/>
    <w:pitch w:val="variable"/>
    <w:sig w:usb0="00000000" w:usb1="080E0000" w:usb2="00000010" w:usb3="00000000" w:csb0="00040000" w:csb1="00000000"/>
  </w:font>
  <w:font w:name="方正小标宋简体">
    <w:altName w:val="hakuyoxingshu7000"/>
    <w:charset w:val="86"/>
    <w:family w:val="auto"/>
    <w:pitch w:val="default"/>
    <w:sig w:usb0="00000000" w:usb1="080E0000" w:usb2="00000000" w:usb3="00000000" w:csb0="00040000" w:csb1="00000000"/>
  </w:font>
  <w:font w:name="方正黑体简体">
    <w:altName w:val="hakuyoxingshu7000"/>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hakuyoxingshu7000"/>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23926"/>
    </w:sdtPr>
    <w:sdtContent>
      <w:p w:rsidR="00454ABC" w:rsidRDefault="00F760C1">
        <w:pPr>
          <w:pStyle w:val="a4"/>
          <w:jc w:val="center"/>
        </w:pPr>
        <w:r>
          <w:rPr>
            <w:sz w:val="21"/>
            <w:szCs w:val="21"/>
          </w:rPr>
          <w:fldChar w:fldCharType="begin"/>
        </w:r>
        <w:r w:rsidR="00454ABC">
          <w:rPr>
            <w:sz w:val="21"/>
            <w:szCs w:val="21"/>
          </w:rPr>
          <w:instrText>PAGE   \* MERGEFORMAT</w:instrText>
        </w:r>
        <w:r>
          <w:rPr>
            <w:sz w:val="21"/>
            <w:szCs w:val="21"/>
          </w:rPr>
          <w:fldChar w:fldCharType="separate"/>
        </w:r>
        <w:r w:rsidR="000A506E" w:rsidRPr="000A506E">
          <w:rPr>
            <w:noProof/>
            <w:sz w:val="21"/>
            <w:szCs w:val="21"/>
            <w:lang w:val="zh-CN"/>
          </w:rPr>
          <w:t>8</w:t>
        </w:r>
        <w:r>
          <w:rPr>
            <w:sz w:val="21"/>
            <w:szCs w:val="21"/>
          </w:rPr>
          <w:fldChar w:fldCharType="end"/>
        </w:r>
      </w:p>
    </w:sdtContent>
  </w:sdt>
  <w:p w:rsidR="00454ABC" w:rsidRDefault="00454A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A4" w:rsidRDefault="004504A4">
      <w:r>
        <w:separator/>
      </w:r>
    </w:p>
  </w:footnote>
  <w:footnote w:type="continuationSeparator" w:id="0">
    <w:p w:rsidR="004504A4" w:rsidRDefault="00450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2CB4C"/>
    <w:multiLevelType w:val="singleLevel"/>
    <w:tmpl w:val="E822CB4C"/>
    <w:lvl w:ilvl="0">
      <w:start w:val="1"/>
      <w:numFmt w:val="chineseCounting"/>
      <w:suff w:val="nothing"/>
      <w:lvlText w:val="（%1）"/>
      <w:lvlJc w:val="left"/>
      <w:rPr>
        <w:rFonts w:hint="eastAsia"/>
      </w:rPr>
    </w:lvl>
  </w:abstractNum>
  <w:abstractNum w:abstractNumId="1">
    <w:nsid w:val="2441087D"/>
    <w:multiLevelType w:val="hybridMultilevel"/>
    <w:tmpl w:val="DAF6C280"/>
    <w:lvl w:ilvl="0" w:tplc="0EDC7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964DD6"/>
    <w:multiLevelType w:val="hybridMultilevel"/>
    <w:tmpl w:val="24BA6848"/>
    <w:lvl w:ilvl="0" w:tplc="F05ED900">
      <w:start w:val="1"/>
      <w:numFmt w:val="decimal"/>
      <w:lvlText w:val="%1、"/>
      <w:lvlJc w:val="left"/>
      <w:pPr>
        <w:ind w:left="360" w:hanging="36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126285"/>
    <w:multiLevelType w:val="hybridMultilevel"/>
    <w:tmpl w:val="140A1672"/>
    <w:lvl w:ilvl="0" w:tplc="7C02F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700496"/>
    <w:multiLevelType w:val="hybridMultilevel"/>
    <w:tmpl w:val="0E2E4B0A"/>
    <w:lvl w:ilvl="0" w:tplc="ADD08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F11"/>
    <w:rsid w:val="0001237F"/>
    <w:rsid w:val="0002236B"/>
    <w:rsid w:val="0002490B"/>
    <w:rsid w:val="00040F8E"/>
    <w:rsid w:val="000550B8"/>
    <w:rsid w:val="000570F5"/>
    <w:rsid w:val="0006285B"/>
    <w:rsid w:val="00067413"/>
    <w:rsid w:val="0007498A"/>
    <w:rsid w:val="000775A2"/>
    <w:rsid w:val="000800BA"/>
    <w:rsid w:val="000810B5"/>
    <w:rsid w:val="000863D2"/>
    <w:rsid w:val="000A0CB2"/>
    <w:rsid w:val="000A327F"/>
    <w:rsid w:val="000A506E"/>
    <w:rsid w:val="000B034C"/>
    <w:rsid w:val="000B73BC"/>
    <w:rsid w:val="000D2359"/>
    <w:rsid w:val="000D24DC"/>
    <w:rsid w:val="000D2C16"/>
    <w:rsid w:val="000D301D"/>
    <w:rsid w:val="000D63B5"/>
    <w:rsid w:val="000D6523"/>
    <w:rsid w:val="000F0D54"/>
    <w:rsid w:val="000F71B3"/>
    <w:rsid w:val="00100443"/>
    <w:rsid w:val="001056F0"/>
    <w:rsid w:val="00136116"/>
    <w:rsid w:val="001572B1"/>
    <w:rsid w:val="00160C02"/>
    <w:rsid w:val="00161156"/>
    <w:rsid w:val="00161DCB"/>
    <w:rsid w:val="0016465E"/>
    <w:rsid w:val="001822D6"/>
    <w:rsid w:val="00182A8C"/>
    <w:rsid w:val="00182CB1"/>
    <w:rsid w:val="00184DD8"/>
    <w:rsid w:val="00193133"/>
    <w:rsid w:val="001A0246"/>
    <w:rsid w:val="001A53EE"/>
    <w:rsid w:val="001A58A1"/>
    <w:rsid w:val="001B15FE"/>
    <w:rsid w:val="001B291D"/>
    <w:rsid w:val="001B6F4E"/>
    <w:rsid w:val="001C41C0"/>
    <w:rsid w:val="001C51C6"/>
    <w:rsid w:val="001D5F64"/>
    <w:rsid w:val="001E20BA"/>
    <w:rsid w:val="001E2AC9"/>
    <w:rsid w:val="001F5E35"/>
    <w:rsid w:val="0020329C"/>
    <w:rsid w:val="00204664"/>
    <w:rsid w:val="00205021"/>
    <w:rsid w:val="002175D5"/>
    <w:rsid w:val="00220070"/>
    <w:rsid w:val="002223E3"/>
    <w:rsid w:val="002226E5"/>
    <w:rsid w:val="00240ACA"/>
    <w:rsid w:val="00243624"/>
    <w:rsid w:val="00243E8A"/>
    <w:rsid w:val="00254BF3"/>
    <w:rsid w:val="002603CA"/>
    <w:rsid w:val="00261EA2"/>
    <w:rsid w:val="002623EC"/>
    <w:rsid w:val="00262E30"/>
    <w:rsid w:val="00280115"/>
    <w:rsid w:val="0029469F"/>
    <w:rsid w:val="002A2A86"/>
    <w:rsid w:val="002B6BE1"/>
    <w:rsid w:val="002C0D96"/>
    <w:rsid w:val="002C1479"/>
    <w:rsid w:val="002C232C"/>
    <w:rsid w:val="002C72F7"/>
    <w:rsid w:val="002E0F06"/>
    <w:rsid w:val="002F6168"/>
    <w:rsid w:val="00300A94"/>
    <w:rsid w:val="00307D00"/>
    <w:rsid w:val="0031094D"/>
    <w:rsid w:val="003146BD"/>
    <w:rsid w:val="003149E7"/>
    <w:rsid w:val="00320C5C"/>
    <w:rsid w:val="00326605"/>
    <w:rsid w:val="00327E3A"/>
    <w:rsid w:val="0033118B"/>
    <w:rsid w:val="00331392"/>
    <w:rsid w:val="003366DE"/>
    <w:rsid w:val="00343BE3"/>
    <w:rsid w:val="00343C0E"/>
    <w:rsid w:val="003449C4"/>
    <w:rsid w:val="00345A8B"/>
    <w:rsid w:val="003557BE"/>
    <w:rsid w:val="00361DF0"/>
    <w:rsid w:val="003674CE"/>
    <w:rsid w:val="00367A53"/>
    <w:rsid w:val="00377CBC"/>
    <w:rsid w:val="00381789"/>
    <w:rsid w:val="00382073"/>
    <w:rsid w:val="00382F9B"/>
    <w:rsid w:val="003973A1"/>
    <w:rsid w:val="003A5561"/>
    <w:rsid w:val="003A6392"/>
    <w:rsid w:val="003A7326"/>
    <w:rsid w:val="003C375E"/>
    <w:rsid w:val="003D4429"/>
    <w:rsid w:val="003D6C24"/>
    <w:rsid w:val="003E369A"/>
    <w:rsid w:val="003E401D"/>
    <w:rsid w:val="003F0DD5"/>
    <w:rsid w:val="00401EE0"/>
    <w:rsid w:val="004037BA"/>
    <w:rsid w:val="0040497C"/>
    <w:rsid w:val="004071F5"/>
    <w:rsid w:val="0041034D"/>
    <w:rsid w:val="00413B98"/>
    <w:rsid w:val="00423810"/>
    <w:rsid w:val="00434287"/>
    <w:rsid w:val="00443056"/>
    <w:rsid w:val="004504A4"/>
    <w:rsid w:val="004540FE"/>
    <w:rsid w:val="00454ABC"/>
    <w:rsid w:val="00457A8B"/>
    <w:rsid w:val="00462612"/>
    <w:rsid w:val="00466006"/>
    <w:rsid w:val="00466B78"/>
    <w:rsid w:val="00466D37"/>
    <w:rsid w:val="004672E8"/>
    <w:rsid w:val="00475797"/>
    <w:rsid w:val="004767DA"/>
    <w:rsid w:val="004911C1"/>
    <w:rsid w:val="00491745"/>
    <w:rsid w:val="004946E2"/>
    <w:rsid w:val="00497451"/>
    <w:rsid w:val="00497E6D"/>
    <w:rsid w:val="004A0582"/>
    <w:rsid w:val="004A429E"/>
    <w:rsid w:val="004C420F"/>
    <w:rsid w:val="004C6DFD"/>
    <w:rsid w:val="004D55AD"/>
    <w:rsid w:val="004E5643"/>
    <w:rsid w:val="004F52FD"/>
    <w:rsid w:val="005040C7"/>
    <w:rsid w:val="0052016E"/>
    <w:rsid w:val="00533A89"/>
    <w:rsid w:val="00543516"/>
    <w:rsid w:val="0054780E"/>
    <w:rsid w:val="00551FFA"/>
    <w:rsid w:val="00560DA3"/>
    <w:rsid w:val="0057411A"/>
    <w:rsid w:val="00576614"/>
    <w:rsid w:val="00577FC2"/>
    <w:rsid w:val="00584F0F"/>
    <w:rsid w:val="00592DDD"/>
    <w:rsid w:val="005B3208"/>
    <w:rsid w:val="005B3C29"/>
    <w:rsid w:val="005B4329"/>
    <w:rsid w:val="005B50AF"/>
    <w:rsid w:val="005C254A"/>
    <w:rsid w:val="005C302E"/>
    <w:rsid w:val="005D5DBA"/>
    <w:rsid w:val="005E1C39"/>
    <w:rsid w:val="005E1FAE"/>
    <w:rsid w:val="005E364F"/>
    <w:rsid w:val="005E3A68"/>
    <w:rsid w:val="005E5431"/>
    <w:rsid w:val="005F2838"/>
    <w:rsid w:val="005F6061"/>
    <w:rsid w:val="005F6234"/>
    <w:rsid w:val="00600235"/>
    <w:rsid w:val="0060162C"/>
    <w:rsid w:val="00603374"/>
    <w:rsid w:val="006117F4"/>
    <w:rsid w:val="00616275"/>
    <w:rsid w:val="00631525"/>
    <w:rsid w:val="0064118E"/>
    <w:rsid w:val="00647D7F"/>
    <w:rsid w:val="00654591"/>
    <w:rsid w:val="0065469C"/>
    <w:rsid w:val="006562DF"/>
    <w:rsid w:val="00657567"/>
    <w:rsid w:val="006717B1"/>
    <w:rsid w:val="0068570F"/>
    <w:rsid w:val="00685B11"/>
    <w:rsid w:val="00685FD5"/>
    <w:rsid w:val="0068756B"/>
    <w:rsid w:val="006A7F41"/>
    <w:rsid w:val="006B34AD"/>
    <w:rsid w:val="006D4385"/>
    <w:rsid w:val="006E2059"/>
    <w:rsid w:val="006E5E0A"/>
    <w:rsid w:val="006F3616"/>
    <w:rsid w:val="006F493F"/>
    <w:rsid w:val="007000FE"/>
    <w:rsid w:val="00706231"/>
    <w:rsid w:val="0070747D"/>
    <w:rsid w:val="00744F46"/>
    <w:rsid w:val="00747456"/>
    <w:rsid w:val="0075056C"/>
    <w:rsid w:val="00750F15"/>
    <w:rsid w:val="007537A5"/>
    <w:rsid w:val="00760F33"/>
    <w:rsid w:val="00764321"/>
    <w:rsid w:val="007643E3"/>
    <w:rsid w:val="00772072"/>
    <w:rsid w:val="00773E50"/>
    <w:rsid w:val="007911CB"/>
    <w:rsid w:val="00796619"/>
    <w:rsid w:val="007D7132"/>
    <w:rsid w:val="007E0B2F"/>
    <w:rsid w:val="007E0E2B"/>
    <w:rsid w:val="007E1479"/>
    <w:rsid w:val="007E25CC"/>
    <w:rsid w:val="007F3272"/>
    <w:rsid w:val="007F78C1"/>
    <w:rsid w:val="008204E9"/>
    <w:rsid w:val="00824C78"/>
    <w:rsid w:val="0083205C"/>
    <w:rsid w:val="00854BE1"/>
    <w:rsid w:val="00857A1C"/>
    <w:rsid w:val="008607CD"/>
    <w:rsid w:val="008626AF"/>
    <w:rsid w:val="008635E1"/>
    <w:rsid w:val="00867257"/>
    <w:rsid w:val="00876349"/>
    <w:rsid w:val="00877E72"/>
    <w:rsid w:val="0088602F"/>
    <w:rsid w:val="0089141F"/>
    <w:rsid w:val="00895DF3"/>
    <w:rsid w:val="008A3347"/>
    <w:rsid w:val="008A416F"/>
    <w:rsid w:val="008A49CC"/>
    <w:rsid w:val="008A737C"/>
    <w:rsid w:val="008E120F"/>
    <w:rsid w:val="008E7714"/>
    <w:rsid w:val="008F7734"/>
    <w:rsid w:val="009026B2"/>
    <w:rsid w:val="009049A5"/>
    <w:rsid w:val="00906F11"/>
    <w:rsid w:val="00910824"/>
    <w:rsid w:val="009127BC"/>
    <w:rsid w:val="00916104"/>
    <w:rsid w:val="00922DCC"/>
    <w:rsid w:val="00925F7E"/>
    <w:rsid w:val="0093057A"/>
    <w:rsid w:val="00937BE5"/>
    <w:rsid w:val="009413D1"/>
    <w:rsid w:val="009421BB"/>
    <w:rsid w:val="009572EF"/>
    <w:rsid w:val="009578CC"/>
    <w:rsid w:val="009604AE"/>
    <w:rsid w:val="00962C06"/>
    <w:rsid w:val="00963518"/>
    <w:rsid w:val="00965B1B"/>
    <w:rsid w:val="009711B5"/>
    <w:rsid w:val="00971546"/>
    <w:rsid w:val="00985FAE"/>
    <w:rsid w:val="00996687"/>
    <w:rsid w:val="00997653"/>
    <w:rsid w:val="009A3284"/>
    <w:rsid w:val="009B2A44"/>
    <w:rsid w:val="009B581F"/>
    <w:rsid w:val="009B78D3"/>
    <w:rsid w:val="009C0EAD"/>
    <w:rsid w:val="009C0FB9"/>
    <w:rsid w:val="009C1E52"/>
    <w:rsid w:val="009C1F2E"/>
    <w:rsid w:val="009C6EF4"/>
    <w:rsid w:val="009D0471"/>
    <w:rsid w:val="009D343B"/>
    <w:rsid w:val="009D5DF7"/>
    <w:rsid w:val="009D755C"/>
    <w:rsid w:val="009D7934"/>
    <w:rsid w:val="009E3367"/>
    <w:rsid w:val="009F64F9"/>
    <w:rsid w:val="00A043AA"/>
    <w:rsid w:val="00A223B3"/>
    <w:rsid w:val="00A31B5E"/>
    <w:rsid w:val="00A31D86"/>
    <w:rsid w:val="00A33965"/>
    <w:rsid w:val="00A35C52"/>
    <w:rsid w:val="00A409FD"/>
    <w:rsid w:val="00A40C7A"/>
    <w:rsid w:val="00A453E3"/>
    <w:rsid w:val="00A45E71"/>
    <w:rsid w:val="00A50F6F"/>
    <w:rsid w:val="00A6008C"/>
    <w:rsid w:val="00A64CA3"/>
    <w:rsid w:val="00A71384"/>
    <w:rsid w:val="00A73953"/>
    <w:rsid w:val="00A73D3B"/>
    <w:rsid w:val="00A80065"/>
    <w:rsid w:val="00A91311"/>
    <w:rsid w:val="00A915C0"/>
    <w:rsid w:val="00A924CB"/>
    <w:rsid w:val="00A9373D"/>
    <w:rsid w:val="00A94B28"/>
    <w:rsid w:val="00AA050B"/>
    <w:rsid w:val="00AA0C3A"/>
    <w:rsid w:val="00AA395C"/>
    <w:rsid w:val="00AB3A33"/>
    <w:rsid w:val="00AC3E77"/>
    <w:rsid w:val="00AC604D"/>
    <w:rsid w:val="00AD0B1F"/>
    <w:rsid w:val="00AD123C"/>
    <w:rsid w:val="00AD4363"/>
    <w:rsid w:val="00AE155E"/>
    <w:rsid w:val="00AE5DB1"/>
    <w:rsid w:val="00AE5FCA"/>
    <w:rsid w:val="00AE7444"/>
    <w:rsid w:val="00B0273A"/>
    <w:rsid w:val="00B035CA"/>
    <w:rsid w:val="00B077E5"/>
    <w:rsid w:val="00B146A6"/>
    <w:rsid w:val="00B244E1"/>
    <w:rsid w:val="00B33E7F"/>
    <w:rsid w:val="00B42430"/>
    <w:rsid w:val="00B4296E"/>
    <w:rsid w:val="00B46503"/>
    <w:rsid w:val="00B46E7B"/>
    <w:rsid w:val="00B5654E"/>
    <w:rsid w:val="00B622A1"/>
    <w:rsid w:val="00B72225"/>
    <w:rsid w:val="00B822D2"/>
    <w:rsid w:val="00B93412"/>
    <w:rsid w:val="00B93F39"/>
    <w:rsid w:val="00B949F8"/>
    <w:rsid w:val="00BA235A"/>
    <w:rsid w:val="00BA75DC"/>
    <w:rsid w:val="00BC09B6"/>
    <w:rsid w:val="00BC1949"/>
    <w:rsid w:val="00BC19F0"/>
    <w:rsid w:val="00BC3582"/>
    <w:rsid w:val="00BC6C35"/>
    <w:rsid w:val="00BC7945"/>
    <w:rsid w:val="00BD0551"/>
    <w:rsid w:val="00BD533E"/>
    <w:rsid w:val="00BF3D62"/>
    <w:rsid w:val="00C021FE"/>
    <w:rsid w:val="00C03FA5"/>
    <w:rsid w:val="00C04DDA"/>
    <w:rsid w:val="00C17D5E"/>
    <w:rsid w:val="00C24EBD"/>
    <w:rsid w:val="00C27ED9"/>
    <w:rsid w:val="00C3068B"/>
    <w:rsid w:val="00C3361D"/>
    <w:rsid w:val="00C357E4"/>
    <w:rsid w:val="00C4276F"/>
    <w:rsid w:val="00C47250"/>
    <w:rsid w:val="00C47E8B"/>
    <w:rsid w:val="00C52012"/>
    <w:rsid w:val="00C54A8D"/>
    <w:rsid w:val="00C56C61"/>
    <w:rsid w:val="00C57671"/>
    <w:rsid w:val="00C67DCA"/>
    <w:rsid w:val="00C7168C"/>
    <w:rsid w:val="00C72E2B"/>
    <w:rsid w:val="00C73F6C"/>
    <w:rsid w:val="00C80F14"/>
    <w:rsid w:val="00C81EDA"/>
    <w:rsid w:val="00C8437E"/>
    <w:rsid w:val="00C87055"/>
    <w:rsid w:val="00C91096"/>
    <w:rsid w:val="00C96BDD"/>
    <w:rsid w:val="00C97757"/>
    <w:rsid w:val="00CA0816"/>
    <w:rsid w:val="00CA4EC4"/>
    <w:rsid w:val="00CB0361"/>
    <w:rsid w:val="00CB09B7"/>
    <w:rsid w:val="00CB507A"/>
    <w:rsid w:val="00CC31A1"/>
    <w:rsid w:val="00CC33FA"/>
    <w:rsid w:val="00CC5555"/>
    <w:rsid w:val="00CD6436"/>
    <w:rsid w:val="00CE2320"/>
    <w:rsid w:val="00CE3434"/>
    <w:rsid w:val="00CE4FEA"/>
    <w:rsid w:val="00CF1F1A"/>
    <w:rsid w:val="00CF2AC2"/>
    <w:rsid w:val="00CF45D6"/>
    <w:rsid w:val="00D05B17"/>
    <w:rsid w:val="00D112B2"/>
    <w:rsid w:val="00D14697"/>
    <w:rsid w:val="00D20E43"/>
    <w:rsid w:val="00D27665"/>
    <w:rsid w:val="00D319FC"/>
    <w:rsid w:val="00D3322D"/>
    <w:rsid w:val="00D35EAD"/>
    <w:rsid w:val="00D363C7"/>
    <w:rsid w:val="00D74361"/>
    <w:rsid w:val="00D75589"/>
    <w:rsid w:val="00D81F5F"/>
    <w:rsid w:val="00D868DF"/>
    <w:rsid w:val="00D86BDB"/>
    <w:rsid w:val="00DA6616"/>
    <w:rsid w:val="00DD5EC0"/>
    <w:rsid w:val="00DE28DF"/>
    <w:rsid w:val="00DE48B2"/>
    <w:rsid w:val="00DE5607"/>
    <w:rsid w:val="00E17448"/>
    <w:rsid w:val="00E229CB"/>
    <w:rsid w:val="00E30759"/>
    <w:rsid w:val="00E43A29"/>
    <w:rsid w:val="00E44820"/>
    <w:rsid w:val="00E55589"/>
    <w:rsid w:val="00E62A88"/>
    <w:rsid w:val="00E73C00"/>
    <w:rsid w:val="00E80312"/>
    <w:rsid w:val="00E842AC"/>
    <w:rsid w:val="00E8588B"/>
    <w:rsid w:val="00E920DC"/>
    <w:rsid w:val="00E96F67"/>
    <w:rsid w:val="00EA6D03"/>
    <w:rsid w:val="00EB1507"/>
    <w:rsid w:val="00EB1B60"/>
    <w:rsid w:val="00EB7527"/>
    <w:rsid w:val="00EC4AA2"/>
    <w:rsid w:val="00EC549E"/>
    <w:rsid w:val="00EC558F"/>
    <w:rsid w:val="00EF3DB3"/>
    <w:rsid w:val="00F03868"/>
    <w:rsid w:val="00F045DE"/>
    <w:rsid w:val="00F07446"/>
    <w:rsid w:val="00F20C76"/>
    <w:rsid w:val="00F2676E"/>
    <w:rsid w:val="00F3322F"/>
    <w:rsid w:val="00F34108"/>
    <w:rsid w:val="00F34D11"/>
    <w:rsid w:val="00F51595"/>
    <w:rsid w:val="00F56103"/>
    <w:rsid w:val="00F567E3"/>
    <w:rsid w:val="00F6064D"/>
    <w:rsid w:val="00F63530"/>
    <w:rsid w:val="00F665AD"/>
    <w:rsid w:val="00F73735"/>
    <w:rsid w:val="00F74645"/>
    <w:rsid w:val="00F755FA"/>
    <w:rsid w:val="00F760C1"/>
    <w:rsid w:val="00F766DD"/>
    <w:rsid w:val="00F870EA"/>
    <w:rsid w:val="00FA28B0"/>
    <w:rsid w:val="00FA421D"/>
    <w:rsid w:val="00FB3D0E"/>
    <w:rsid w:val="00FB4A46"/>
    <w:rsid w:val="00FB644A"/>
    <w:rsid w:val="00FC625C"/>
    <w:rsid w:val="00FD02D9"/>
    <w:rsid w:val="00FD1603"/>
    <w:rsid w:val="00FD3591"/>
    <w:rsid w:val="00FE2286"/>
    <w:rsid w:val="00FE674C"/>
    <w:rsid w:val="00FE7F83"/>
    <w:rsid w:val="00FF44EF"/>
    <w:rsid w:val="014D3946"/>
    <w:rsid w:val="01627B42"/>
    <w:rsid w:val="01AA4897"/>
    <w:rsid w:val="01BA26B2"/>
    <w:rsid w:val="02DB741B"/>
    <w:rsid w:val="02E74F6A"/>
    <w:rsid w:val="03CB28A7"/>
    <w:rsid w:val="03D3210C"/>
    <w:rsid w:val="06863A03"/>
    <w:rsid w:val="070906A5"/>
    <w:rsid w:val="073C44DA"/>
    <w:rsid w:val="081A0397"/>
    <w:rsid w:val="09FF0C42"/>
    <w:rsid w:val="0A031C2C"/>
    <w:rsid w:val="0A1B6D34"/>
    <w:rsid w:val="0A1B7FB5"/>
    <w:rsid w:val="0AC153E5"/>
    <w:rsid w:val="0AE27273"/>
    <w:rsid w:val="0B876C5E"/>
    <w:rsid w:val="0B9D50BB"/>
    <w:rsid w:val="0BD30F62"/>
    <w:rsid w:val="0DB91753"/>
    <w:rsid w:val="0DE5688B"/>
    <w:rsid w:val="0DE84D8E"/>
    <w:rsid w:val="0E325D7D"/>
    <w:rsid w:val="1012403D"/>
    <w:rsid w:val="106150E9"/>
    <w:rsid w:val="11425A4C"/>
    <w:rsid w:val="11C642CE"/>
    <w:rsid w:val="12491C07"/>
    <w:rsid w:val="127F56FB"/>
    <w:rsid w:val="12C025EF"/>
    <w:rsid w:val="12C75F0A"/>
    <w:rsid w:val="13074213"/>
    <w:rsid w:val="135C38B5"/>
    <w:rsid w:val="13A106F0"/>
    <w:rsid w:val="13EC015C"/>
    <w:rsid w:val="149446CF"/>
    <w:rsid w:val="14E8094F"/>
    <w:rsid w:val="156600ED"/>
    <w:rsid w:val="15CC436B"/>
    <w:rsid w:val="17820944"/>
    <w:rsid w:val="18537700"/>
    <w:rsid w:val="192942B1"/>
    <w:rsid w:val="19F34A4F"/>
    <w:rsid w:val="19FF6973"/>
    <w:rsid w:val="1AEB70E7"/>
    <w:rsid w:val="1BB22765"/>
    <w:rsid w:val="1BFB7D27"/>
    <w:rsid w:val="1C114A71"/>
    <w:rsid w:val="1D8A5AE2"/>
    <w:rsid w:val="1E7261DF"/>
    <w:rsid w:val="1F021B12"/>
    <w:rsid w:val="202F685F"/>
    <w:rsid w:val="208C006E"/>
    <w:rsid w:val="209C7B7B"/>
    <w:rsid w:val="22A56949"/>
    <w:rsid w:val="22F20B77"/>
    <w:rsid w:val="23A63D3E"/>
    <w:rsid w:val="23DE1D38"/>
    <w:rsid w:val="242F7B04"/>
    <w:rsid w:val="251D4CB4"/>
    <w:rsid w:val="257357EB"/>
    <w:rsid w:val="26BE6D09"/>
    <w:rsid w:val="275F5EA2"/>
    <w:rsid w:val="27ED3B75"/>
    <w:rsid w:val="28291E81"/>
    <w:rsid w:val="298F433C"/>
    <w:rsid w:val="29EC019B"/>
    <w:rsid w:val="2A0F5606"/>
    <w:rsid w:val="2A181630"/>
    <w:rsid w:val="2AEB26EC"/>
    <w:rsid w:val="2B34542B"/>
    <w:rsid w:val="2B5145A5"/>
    <w:rsid w:val="2C191DF3"/>
    <w:rsid w:val="2C6E25CE"/>
    <w:rsid w:val="2D3D479F"/>
    <w:rsid w:val="2DDA03AD"/>
    <w:rsid w:val="2E2D22D8"/>
    <w:rsid w:val="2E954613"/>
    <w:rsid w:val="2EC20CD8"/>
    <w:rsid w:val="2F3A41C1"/>
    <w:rsid w:val="2F5F272F"/>
    <w:rsid w:val="30016800"/>
    <w:rsid w:val="3035367F"/>
    <w:rsid w:val="30CA00D5"/>
    <w:rsid w:val="31297913"/>
    <w:rsid w:val="31C6285C"/>
    <w:rsid w:val="31DD576A"/>
    <w:rsid w:val="32231181"/>
    <w:rsid w:val="33134463"/>
    <w:rsid w:val="33465FD3"/>
    <w:rsid w:val="336F7BE7"/>
    <w:rsid w:val="337023EC"/>
    <w:rsid w:val="347B75E0"/>
    <w:rsid w:val="34F80DDA"/>
    <w:rsid w:val="361A3C9D"/>
    <w:rsid w:val="368B5F66"/>
    <w:rsid w:val="37365479"/>
    <w:rsid w:val="374A2116"/>
    <w:rsid w:val="378F6505"/>
    <w:rsid w:val="379253E4"/>
    <w:rsid w:val="38A25821"/>
    <w:rsid w:val="3911220C"/>
    <w:rsid w:val="39476070"/>
    <w:rsid w:val="396135A0"/>
    <w:rsid w:val="39825C1C"/>
    <w:rsid w:val="399F7CD7"/>
    <w:rsid w:val="3A155579"/>
    <w:rsid w:val="3A623DFE"/>
    <w:rsid w:val="3B554DB7"/>
    <w:rsid w:val="3B8F1A5D"/>
    <w:rsid w:val="3BF547D8"/>
    <w:rsid w:val="3C7C6D0D"/>
    <w:rsid w:val="3CA676E8"/>
    <w:rsid w:val="3E250C1F"/>
    <w:rsid w:val="3E813A50"/>
    <w:rsid w:val="3FAA7379"/>
    <w:rsid w:val="3FED3F8D"/>
    <w:rsid w:val="3FFD01FA"/>
    <w:rsid w:val="400F5D84"/>
    <w:rsid w:val="40327771"/>
    <w:rsid w:val="409E406F"/>
    <w:rsid w:val="40D85566"/>
    <w:rsid w:val="41493B53"/>
    <w:rsid w:val="420C3697"/>
    <w:rsid w:val="427F692B"/>
    <w:rsid w:val="42F2264D"/>
    <w:rsid w:val="43CE7F05"/>
    <w:rsid w:val="442D4720"/>
    <w:rsid w:val="446F5838"/>
    <w:rsid w:val="45975721"/>
    <w:rsid w:val="45B9007D"/>
    <w:rsid w:val="46EC5FE1"/>
    <w:rsid w:val="47187056"/>
    <w:rsid w:val="477E21E2"/>
    <w:rsid w:val="47867F3B"/>
    <w:rsid w:val="47E473A9"/>
    <w:rsid w:val="47E52683"/>
    <w:rsid w:val="47FB669F"/>
    <w:rsid w:val="494D755F"/>
    <w:rsid w:val="4977420E"/>
    <w:rsid w:val="49D832E7"/>
    <w:rsid w:val="49FF34DD"/>
    <w:rsid w:val="4A40379F"/>
    <w:rsid w:val="4A9A5C24"/>
    <w:rsid w:val="4ABD6824"/>
    <w:rsid w:val="4B1E0CC8"/>
    <w:rsid w:val="4B7A7C88"/>
    <w:rsid w:val="4BDA3A77"/>
    <w:rsid w:val="4C3A4B03"/>
    <w:rsid w:val="4D3C481D"/>
    <w:rsid w:val="4E1876FA"/>
    <w:rsid w:val="4EF76C9E"/>
    <w:rsid w:val="4F5F0FC2"/>
    <w:rsid w:val="4F6A7F7B"/>
    <w:rsid w:val="4FBB721B"/>
    <w:rsid w:val="51C21B6F"/>
    <w:rsid w:val="524B0C64"/>
    <w:rsid w:val="524E5843"/>
    <w:rsid w:val="53152162"/>
    <w:rsid w:val="53B54F54"/>
    <w:rsid w:val="53D7594D"/>
    <w:rsid w:val="540E6C54"/>
    <w:rsid w:val="5500741B"/>
    <w:rsid w:val="561D0C50"/>
    <w:rsid w:val="566341FE"/>
    <w:rsid w:val="5833453F"/>
    <w:rsid w:val="58E61D62"/>
    <w:rsid w:val="59132C96"/>
    <w:rsid w:val="59F04B3D"/>
    <w:rsid w:val="5B33508A"/>
    <w:rsid w:val="5BB161E0"/>
    <w:rsid w:val="5CBF742D"/>
    <w:rsid w:val="5F001AFD"/>
    <w:rsid w:val="5FB75910"/>
    <w:rsid w:val="5FDA649F"/>
    <w:rsid w:val="606F7CE2"/>
    <w:rsid w:val="60FA19EC"/>
    <w:rsid w:val="61044162"/>
    <w:rsid w:val="611C5C63"/>
    <w:rsid w:val="61607D5D"/>
    <w:rsid w:val="62922CB1"/>
    <w:rsid w:val="62932D03"/>
    <w:rsid w:val="629F5441"/>
    <w:rsid w:val="63201503"/>
    <w:rsid w:val="645250A1"/>
    <w:rsid w:val="64BC7876"/>
    <w:rsid w:val="65D44525"/>
    <w:rsid w:val="665441D4"/>
    <w:rsid w:val="668412D1"/>
    <w:rsid w:val="67801890"/>
    <w:rsid w:val="68450958"/>
    <w:rsid w:val="68690D13"/>
    <w:rsid w:val="68BD09D0"/>
    <w:rsid w:val="68FC1E1E"/>
    <w:rsid w:val="69171722"/>
    <w:rsid w:val="69C94C3B"/>
    <w:rsid w:val="69FD5136"/>
    <w:rsid w:val="6A4C24AF"/>
    <w:rsid w:val="6B4247B0"/>
    <w:rsid w:val="6B467B8D"/>
    <w:rsid w:val="6CD15C1B"/>
    <w:rsid w:val="6E7461DF"/>
    <w:rsid w:val="6FC92158"/>
    <w:rsid w:val="711B213C"/>
    <w:rsid w:val="718A4542"/>
    <w:rsid w:val="72223BF9"/>
    <w:rsid w:val="728F19D2"/>
    <w:rsid w:val="73B8798A"/>
    <w:rsid w:val="74791928"/>
    <w:rsid w:val="74AE662E"/>
    <w:rsid w:val="74C202B3"/>
    <w:rsid w:val="75103945"/>
    <w:rsid w:val="754346FC"/>
    <w:rsid w:val="755956B3"/>
    <w:rsid w:val="756971C8"/>
    <w:rsid w:val="76E37EDC"/>
    <w:rsid w:val="76FF1CF5"/>
    <w:rsid w:val="778C45E7"/>
    <w:rsid w:val="77B8169A"/>
    <w:rsid w:val="77DD4EAE"/>
    <w:rsid w:val="785110CD"/>
    <w:rsid w:val="78DB6611"/>
    <w:rsid w:val="795F6D84"/>
    <w:rsid w:val="7ACC5047"/>
    <w:rsid w:val="7AF61492"/>
    <w:rsid w:val="7B1251A4"/>
    <w:rsid w:val="7CAC2432"/>
    <w:rsid w:val="7CDB51A4"/>
    <w:rsid w:val="7D1700DE"/>
    <w:rsid w:val="7DDF30F4"/>
    <w:rsid w:val="7E3764DD"/>
    <w:rsid w:val="7E4F2520"/>
    <w:rsid w:val="7E9739D2"/>
    <w:rsid w:val="7ECC4C43"/>
    <w:rsid w:val="7ED73035"/>
    <w:rsid w:val="7EFC6C88"/>
    <w:rsid w:val="7F634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60C1"/>
    <w:rPr>
      <w:sz w:val="18"/>
      <w:szCs w:val="18"/>
    </w:rPr>
  </w:style>
  <w:style w:type="paragraph" w:styleId="a4">
    <w:name w:val="footer"/>
    <w:basedOn w:val="a"/>
    <w:link w:val="Char0"/>
    <w:uiPriority w:val="99"/>
    <w:unhideWhenUsed/>
    <w:qFormat/>
    <w:rsid w:val="00F760C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760C1"/>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semiHidden/>
    <w:unhideWhenUsed/>
    <w:qFormat/>
    <w:rsid w:val="00F760C1"/>
    <w:pPr>
      <w:spacing w:line="560" w:lineRule="exact"/>
      <w:jc w:val="center"/>
    </w:pPr>
    <w:rPr>
      <w:rFonts w:ascii="Times New Roman" w:eastAsia="仿宋_GB2312" w:hAnsi="Times New Roman" w:cs="Times New Roman"/>
      <w:sz w:val="32"/>
      <w:szCs w:val="24"/>
    </w:rPr>
  </w:style>
  <w:style w:type="table" w:styleId="a6">
    <w:name w:val="Table Grid"/>
    <w:basedOn w:val="a1"/>
    <w:uiPriority w:val="59"/>
    <w:qFormat/>
    <w:rsid w:val="00F76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F760C1"/>
    <w:rPr>
      <w:sz w:val="18"/>
      <w:szCs w:val="18"/>
    </w:rPr>
  </w:style>
  <w:style w:type="character" w:customStyle="1" w:styleId="Char0">
    <w:name w:val="页脚 Char"/>
    <w:basedOn w:val="a0"/>
    <w:link w:val="a4"/>
    <w:uiPriority w:val="99"/>
    <w:qFormat/>
    <w:rsid w:val="00F760C1"/>
    <w:rPr>
      <w:sz w:val="18"/>
      <w:szCs w:val="18"/>
    </w:rPr>
  </w:style>
  <w:style w:type="character" w:customStyle="1" w:styleId="Char">
    <w:name w:val="批注框文本 Char"/>
    <w:basedOn w:val="a0"/>
    <w:link w:val="a3"/>
    <w:uiPriority w:val="99"/>
    <w:semiHidden/>
    <w:qFormat/>
    <w:rsid w:val="00F760C1"/>
    <w:rPr>
      <w:sz w:val="18"/>
      <w:szCs w:val="18"/>
    </w:rPr>
  </w:style>
  <w:style w:type="character" w:customStyle="1" w:styleId="2Char">
    <w:name w:val="正文文本 2 Char"/>
    <w:basedOn w:val="a0"/>
    <w:link w:val="2"/>
    <w:semiHidden/>
    <w:qFormat/>
    <w:rsid w:val="00F760C1"/>
    <w:rPr>
      <w:rFonts w:ascii="Times New Roman" w:eastAsia="仿宋_GB2312" w:hAnsi="Times New Roman" w:cs="Times New Roman"/>
      <w:sz w:val="32"/>
      <w:szCs w:val="24"/>
    </w:rPr>
  </w:style>
  <w:style w:type="paragraph" w:styleId="a7">
    <w:name w:val="List Paragraph"/>
    <w:basedOn w:val="a"/>
    <w:uiPriority w:val="99"/>
    <w:rsid w:val="00750F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semiHidden/>
    <w:unhideWhenUsed/>
    <w:qFormat/>
    <w:pPr>
      <w:spacing w:line="560" w:lineRule="exact"/>
      <w:jc w:val="center"/>
    </w:pPr>
    <w:rPr>
      <w:rFonts w:ascii="Times New Roman" w:eastAsia="仿宋_GB2312" w:hAnsi="Times New Roman" w:cs="Times New Roman"/>
      <w:sz w:val="32"/>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2Char">
    <w:name w:val="正文文本 2 Char"/>
    <w:basedOn w:val="a0"/>
    <w:link w:val="2"/>
    <w:semiHidden/>
    <w:qFormat/>
    <w:rPr>
      <w:rFonts w:ascii="Times New Roman" w:eastAsia="仿宋_GB2312" w:hAnsi="Times New Roman" w:cs="Times New Roman"/>
      <w:sz w:val="32"/>
      <w:szCs w:val="24"/>
    </w:rPr>
  </w:style>
  <w:style w:type="paragraph" w:styleId="a7">
    <w:name w:val="List Paragraph"/>
    <w:basedOn w:val="a"/>
    <w:uiPriority w:val="99"/>
    <w:rsid w:val="00750F1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FEDDF-918F-49DB-9FCA-1F4925A7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9</Pages>
  <Words>551</Words>
  <Characters>3142</Characters>
  <Application>Microsoft Office Word</Application>
  <DocSecurity>0</DocSecurity>
  <Lines>26</Lines>
  <Paragraphs>7</Paragraphs>
  <ScaleCrop>false</ScaleCrop>
  <Company>Chinese ORG</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YBQ</dc:creator>
  <cp:keywords/>
  <dc:description/>
  <cp:lastModifiedBy>Administrator</cp:lastModifiedBy>
  <cp:revision>14</cp:revision>
  <cp:lastPrinted>2019-09-27T03:17:00Z</cp:lastPrinted>
  <dcterms:created xsi:type="dcterms:W3CDTF">2019-11-22T01:05:00Z</dcterms:created>
  <dcterms:modified xsi:type="dcterms:W3CDTF">2022-10-22T03:04:00Z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