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3" w:firstLineChars="200"/>
        <w:jc w:val="center"/>
        <w:rPr>
          <w:rFonts w:ascii="仿宋_GB2312" w:hAnsi="Calibri" w:eastAsia="仿宋_GB2312"/>
          <w:b/>
          <w:bCs/>
          <w:kern w:val="2"/>
          <w:sz w:val="44"/>
          <w:szCs w:val="44"/>
          <w:lang w:eastAsia="zh-CN" w:bidi="ar-SA"/>
        </w:rPr>
      </w:pPr>
    </w:p>
    <w:p>
      <w:pPr>
        <w:spacing w:line="600" w:lineRule="exact"/>
        <w:ind w:firstLine="883" w:firstLineChars="200"/>
        <w:jc w:val="center"/>
        <w:rPr>
          <w:rFonts w:ascii="仿宋_GB2312" w:hAnsi="Calibri" w:eastAsia="仿宋_GB2312"/>
          <w:b/>
          <w:bCs/>
          <w:kern w:val="2"/>
          <w:sz w:val="44"/>
          <w:szCs w:val="44"/>
          <w:lang w:eastAsia="zh-CN" w:bidi="ar-SA"/>
        </w:rPr>
      </w:pPr>
    </w:p>
    <w:p>
      <w:pPr>
        <w:spacing w:line="600" w:lineRule="exact"/>
        <w:jc w:val="center"/>
        <w:rPr>
          <w:rFonts w:ascii="仿宋_GB2312" w:hAnsi="Calibri" w:eastAsia="仿宋_GB2312"/>
          <w:b/>
          <w:bCs/>
          <w:kern w:val="2"/>
          <w:sz w:val="44"/>
          <w:szCs w:val="44"/>
          <w:lang w:eastAsia="zh-CN" w:bidi="ar-SA"/>
        </w:rPr>
      </w:pPr>
      <w:r>
        <w:rPr>
          <w:rFonts w:hint="eastAsia" w:ascii="黑体" w:hAnsi="黑体" w:eastAsia="黑体" w:cs="黑体"/>
          <w:b w:val="0"/>
          <w:bCs w:val="0"/>
          <w:kern w:val="2"/>
          <w:sz w:val="52"/>
          <w:szCs w:val="52"/>
          <w:lang w:eastAsia="zh-CN" w:bidi="ar-SA"/>
        </w:rPr>
        <w:t>兴宁市突发地质灾害应急预案</w:t>
      </w:r>
    </w:p>
    <w:p>
      <w:pPr>
        <w:spacing w:line="600" w:lineRule="exact"/>
        <w:ind w:firstLine="883" w:firstLineChars="200"/>
        <w:jc w:val="center"/>
        <w:rPr>
          <w:rFonts w:ascii="仿宋_GB2312" w:hAnsi="Calibri" w:eastAsia="仿宋_GB2312"/>
          <w:b/>
          <w:bCs/>
          <w:kern w:val="2"/>
          <w:sz w:val="44"/>
          <w:szCs w:val="44"/>
          <w:lang w:eastAsia="zh-CN" w:bidi="ar-SA"/>
        </w:rPr>
      </w:pPr>
    </w:p>
    <w:p>
      <w:pPr>
        <w:spacing w:line="600" w:lineRule="exact"/>
        <w:ind w:firstLine="883" w:firstLineChars="200"/>
        <w:jc w:val="center"/>
        <w:rPr>
          <w:rFonts w:ascii="仿宋_GB2312" w:hAnsi="Calibri" w:eastAsia="仿宋_GB2312"/>
          <w:b/>
          <w:bCs/>
          <w:kern w:val="2"/>
          <w:sz w:val="44"/>
          <w:szCs w:val="44"/>
          <w:lang w:eastAsia="zh-CN" w:bidi="ar-SA"/>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rPr>
          <w:rFonts w:ascii="仿宋_GB2312" w:hAnsi="Calibri" w:eastAsia="仿宋_GB2312"/>
          <w:b/>
          <w:bCs/>
          <w:kern w:val="2"/>
          <w:sz w:val="44"/>
          <w:szCs w:val="44"/>
          <w:lang w:eastAsia="zh-CN" w:bidi="ar-SA"/>
        </w:rPr>
      </w:pPr>
    </w:p>
    <w:p>
      <w:pPr>
        <w:bidi w:val="0"/>
        <w:rPr>
          <w:lang w:eastAsia="zh-CN"/>
        </w:rPr>
      </w:pPr>
    </w:p>
    <w:p>
      <w:pPr>
        <w:rPr>
          <w:rFonts w:ascii="仿宋_GB2312" w:hAnsi="Calibri" w:eastAsia="仿宋_GB2312"/>
          <w:b/>
          <w:bCs/>
          <w:kern w:val="2"/>
          <w:sz w:val="44"/>
          <w:szCs w:val="44"/>
          <w:lang w:eastAsia="zh-CN" w:bidi="ar-SA"/>
        </w:rPr>
      </w:pPr>
    </w:p>
    <w:p>
      <w:pPr>
        <w:bidi w:val="0"/>
        <w:rPr>
          <w:lang w:eastAsia="zh-CN"/>
        </w:rPr>
      </w:pPr>
    </w:p>
    <w:p>
      <w:pPr>
        <w:rPr>
          <w:rFonts w:ascii="仿宋_GB2312" w:hAnsi="Calibri" w:eastAsia="仿宋_GB2312"/>
          <w:b/>
          <w:bCs/>
          <w:kern w:val="2"/>
          <w:sz w:val="44"/>
          <w:szCs w:val="44"/>
          <w:lang w:eastAsia="zh-CN" w:bidi="ar-SA"/>
        </w:rPr>
      </w:pPr>
    </w:p>
    <w:p>
      <w:pPr>
        <w:bidi w:val="0"/>
        <w:rPr>
          <w:lang w:eastAsia="zh-CN"/>
        </w:rPr>
      </w:pPr>
    </w:p>
    <w:p>
      <w:pPr>
        <w:rPr>
          <w:rFonts w:ascii="仿宋_GB2312" w:hAnsi="Calibri" w:eastAsia="仿宋_GB2312"/>
          <w:b/>
          <w:bCs/>
          <w:kern w:val="2"/>
          <w:sz w:val="44"/>
          <w:szCs w:val="44"/>
          <w:lang w:eastAsia="zh-CN" w:bidi="ar-SA"/>
        </w:rPr>
      </w:pPr>
    </w:p>
    <w:p>
      <w:pPr>
        <w:jc w:val="both"/>
        <w:rPr>
          <w:rFonts w:hint="eastAsia" w:ascii="仿宋" w:hAnsi="仿宋" w:eastAsia="仿宋" w:cs="仿宋"/>
          <w:b w:val="0"/>
          <w:bCs w:val="0"/>
          <w:kern w:val="2"/>
          <w:sz w:val="36"/>
          <w:szCs w:val="36"/>
          <w:lang w:val="en-US" w:eastAsia="zh-CN" w:bidi="ar-SA"/>
        </w:rPr>
      </w:pPr>
    </w:p>
    <w:p>
      <w:pPr>
        <w:jc w:val="center"/>
        <w:rPr>
          <w:rFonts w:hint="eastAsia" w:ascii="仿宋" w:hAnsi="仿宋" w:eastAsia="仿宋" w:cs="仿宋"/>
          <w:b w:val="0"/>
          <w:bCs w:val="0"/>
          <w:kern w:val="2"/>
          <w:sz w:val="36"/>
          <w:szCs w:val="36"/>
          <w:lang w:val="en-US" w:eastAsia="zh-CN" w:bidi="ar-SA"/>
        </w:rPr>
      </w:pPr>
      <w:r>
        <w:rPr>
          <w:rFonts w:hint="eastAsia" w:ascii="仿宋" w:hAnsi="仿宋" w:eastAsia="仿宋" w:cs="仿宋"/>
          <w:b w:val="0"/>
          <w:bCs w:val="0"/>
          <w:kern w:val="2"/>
          <w:sz w:val="36"/>
          <w:szCs w:val="36"/>
          <w:lang w:val="en-US" w:eastAsia="zh-CN" w:bidi="ar-SA"/>
        </w:rPr>
        <w:t>兴宁市应急管理局</w:t>
      </w:r>
    </w:p>
    <w:p>
      <w:pPr>
        <w:jc w:val="center"/>
        <w:rPr>
          <w:rFonts w:ascii="仿宋_GB2312" w:hAnsi="Calibri" w:eastAsia="仿宋_GB2312"/>
          <w:b/>
          <w:bCs/>
          <w:kern w:val="2"/>
          <w:sz w:val="32"/>
          <w:szCs w:val="32"/>
          <w:lang w:eastAsia="zh-CN" w:bidi="ar-SA"/>
        </w:rPr>
      </w:pPr>
      <w:r>
        <w:rPr>
          <w:rFonts w:hint="eastAsia" w:ascii="仿宋" w:hAnsi="仿宋" w:eastAsia="仿宋" w:cs="仿宋"/>
          <w:b w:val="0"/>
          <w:bCs w:val="0"/>
          <w:kern w:val="2"/>
          <w:sz w:val="36"/>
          <w:szCs w:val="36"/>
          <w:lang w:val="en-US" w:eastAsia="zh-CN" w:bidi="ar-SA"/>
        </w:rPr>
        <w:t>2022年9月</w:t>
      </w:r>
      <w:r>
        <w:rPr>
          <w:rFonts w:hint="eastAsia" w:ascii="仿宋" w:hAnsi="仿宋" w:eastAsia="仿宋" w:cs="仿宋"/>
          <w:b w:val="0"/>
          <w:bCs w:val="0"/>
          <w:kern w:val="2"/>
          <w:sz w:val="36"/>
          <w:szCs w:val="36"/>
          <w:lang w:eastAsia="zh-CN" w:bidi="ar-SA"/>
        </w:rPr>
        <w:br w:type="page"/>
      </w:r>
      <w:r>
        <w:rPr>
          <w:rFonts w:ascii="仿宋_GB2312" w:hAnsi="Calibri" w:eastAsia="仿宋_GB2312"/>
          <w:b/>
          <w:bCs/>
          <w:kern w:val="2"/>
          <w:sz w:val="32"/>
          <w:szCs w:val="32"/>
          <w:lang w:eastAsia="zh-CN" w:bidi="ar-SA"/>
        </w:rPr>
        <w:br w:type="page"/>
      </w:r>
    </w:p>
    <w:sdt>
      <w:sdtPr>
        <w:rPr>
          <w:rFonts w:ascii="宋体" w:hAnsi="宋体" w:eastAsia="宋体"/>
          <w:sz w:val="32"/>
          <w:szCs w:val="32"/>
        </w:rPr>
        <w:id w:val="147465025"/>
        <w:docPartObj>
          <w:docPartGallery w:val="Table of Contents"/>
          <w:docPartUnique/>
        </w:docPartObj>
      </w:sdtPr>
      <w:sdtEndPr>
        <w:rPr>
          <w:rFonts w:hint="eastAsia" w:ascii="仿宋" w:hAnsi="仿宋" w:eastAsia="仿宋" w:cs="仿宋"/>
          <w:sz w:val="28"/>
          <w:szCs w:val="28"/>
          <w:lang w:eastAsia="zh-CN"/>
        </w:rPr>
      </w:sdtEndPr>
      <w:sdtContent>
        <w:p>
          <w:pPr>
            <w:keepNext w:val="0"/>
            <w:keepLines w:val="0"/>
            <w:pageBreakBefore w:val="0"/>
            <w:widowControl w:val="0"/>
            <w:kinsoku/>
            <w:wordWrap/>
            <w:overflowPunct/>
            <w:topLinePunct w:val="0"/>
            <w:autoSpaceDE/>
            <w:autoSpaceDN/>
            <w:bidi w:val="0"/>
            <w:spacing w:line="500" w:lineRule="exact"/>
            <w:jc w:val="center"/>
            <w:textAlignment w:val="auto"/>
            <w:rPr>
              <w:rFonts w:ascii="宋体" w:hAnsi="宋体" w:eastAsia="宋体"/>
              <w:sz w:val="32"/>
              <w:szCs w:val="32"/>
            </w:rPr>
          </w:pP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兴宁市突发地质灾害应急预案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44"/>
              <w:szCs w:val="44"/>
              <w:lang w:val="en-US" w:eastAsia="zh-CN"/>
            </w:rPr>
          </w:pP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TOC \o "1-3" \h \u </w:instrText>
          </w:r>
          <w:r>
            <w:rPr>
              <w:rFonts w:hint="eastAsia" w:ascii="仿宋" w:hAnsi="仿宋" w:eastAsia="仿宋" w:cs="仿宋"/>
              <w:sz w:val="28"/>
              <w:szCs w:val="28"/>
              <w:lang w:eastAsia="zh-CN"/>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"_Toc6793"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1</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总则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_Toc6793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"_Toc27478"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1.1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编制目的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_Toc27478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"_Toc7541"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1.2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编制依据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_Toc7541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"_Toc16049"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1.3</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适用范围</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_Toc16049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"_Toc1184"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1.4</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工作原则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_Toc1184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"_Toc1176"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2</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组织体系</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_Toc1176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"_Toc25428"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2.1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领导机构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_Toc25428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"_Toc28519"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2.2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办事机构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_Toc28519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"_Toc17868"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2.3</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成员单位</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_Toc17868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"_Toc14451"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bidi="ar-SA"/>
            </w:rPr>
            <w:t>2.4</w:t>
          </w:r>
          <w:r>
            <w:rPr>
              <w:rFonts w:hint="eastAsia" w:ascii="仿宋" w:hAnsi="仿宋" w:eastAsia="仿宋" w:cs="仿宋"/>
              <w:sz w:val="32"/>
              <w:szCs w:val="32"/>
              <w:lang w:val="en-US" w:eastAsia="zh-CN" w:bidi="ar-SA"/>
            </w:rPr>
            <w:t xml:space="preserve"> </w:t>
          </w:r>
          <w:r>
            <w:rPr>
              <w:rFonts w:hint="eastAsia" w:ascii="仿宋" w:hAnsi="仿宋" w:eastAsia="仿宋" w:cs="仿宋"/>
              <w:sz w:val="32"/>
              <w:szCs w:val="32"/>
              <w:lang w:eastAsia="zh-CN" w:bidi="ar-SA"/>
            </w:rPr>
            <w:t>镇（街</w:t>
          </w:r>
          <w:r>
            <w:rPr>
              <w:rFonts w:hint="eastAsia" w:ascii="仿宋" w:hAnsi="仿宋" w:eastAsia="仿宋" w:cs="仿宋"/>
              <w:sz w:val="32"/>
              <w:szCs w:val="32"/>
              <w:lang w:val="en-US" w:eastAsia="zh-CN" w:bidi="ar-SA"/>
            </w:rPr>
            <w:t>道</w:t>
          </w:r>
          <w:r>
            <w:rPr>
              <w:rFonts w:hint="eastAsia" w:ascii="仿宋" w:hAnsi="仿宋" w:eastAsia="仿宋" w:cs="仿宋"/>
              <w:sz w:val="32"/>
              <w:szCs w:val="32"/>
              <w:lang w:eastAsia="zh-CN" w:bidi="ar-SA"/>
            </w:rPr>
            <w:t>）地质灾害机构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_Toc14451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"_Toc3560"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bidi="ar-SA"/>
            </w:rPr>
            <w:t>2.5</w:t>
          </w:r>
          <w:r>
            <w:rPr>
              <w:rFonts w:hint="eastAsia" w:ascii="仿宋" w:hAnsi="仿宋" w:eastAsia="仿宋" w:cs="仿宋"/>
              <w:sz w:val="32"/>
              <w:szCs w:val="32"/>
              <w:lang w:val="en-US" w:eastAsia="zh-CN" w:bidi="ar-SA"/>
            </w:rPr>
            <w:t xml:space="preserve"> </w:t>
          </w:r>
          <w:r>
            <w:rPr>
              <w:rFonts w:hint="eastAsia" w:ascii="仿宋" w:hAnsi="仿宋" w:eastAsia="仿宋" w:cs="仿宋"/>
              <w:sz w:val="32"/>
              <w:szCs w:val="32"/>
              <w:lang w:eastAsia="zh-CN" w:bidi="ar-SA"/>
            </w:rPr>
            <w:t>现场指挥部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_Toc3560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"_Toc6265"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2.6</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专家组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_Toc6265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"_Toc24171"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3</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预防、监测与预警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_Toc24171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3.1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预防</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_Toc2138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"_Toc20780"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3.2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监测与评估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_Toc20780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"_Toc13575"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3.3</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预警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_Toc13575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"_Toc22508"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4</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应急响应</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_Toc22508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"_Toc10127"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4.1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先期处置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_Toc10127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"_Toc7569"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4.2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响应启动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_Toc7569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"_Toc221"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4.3</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现场处置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_Toc221 \h </w:instrText>
          </w:r>
          <w:r>
            <w:rPr>
              <w:rFonts w:hint="eastAsia" w:ascii="仿宋" w:hAnsi="仿宋" w:eastAsia="仿宋" w:cs="仿宋"/>
              <w:sz w:val="32"/>
              <w:szCs w:val="32"/>
            </w:rPr>
            <w:fldChar w:fldCharType="separate"/>
          </w:r>
          <w:r>
            <w:rPr>
              <w:rFonts w:hint="eastAsia" w:ascii="仿宋" w:hAnsi="仿宋" w:eastAsia="仿宋" w:cs="仿宋"/>
              <w:sz w:val="32"/>
              <w:szCs w:val="32"/>
            </w:rPr>
            <w:t>24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"_Toc17546"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4.4</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后期处置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_Toc17546 \h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"_Toc5355"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5</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应急保障</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_Toc5355 \h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"_Toc4985"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队伍保障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_Toc4985 \h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"_Toc11870"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资金保障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_Toc11870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"_Toc17010"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5.3</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物资保障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_Toc17010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"_Toc7840"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5.4</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人员安全保障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_Toc7840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"_Toc11464"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5.5</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避护场所保障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_Toc11464 \h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"_Toc5738"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5.6</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基础设施保障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_Toc5738 \h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"_Toc26784"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5.7</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平台保障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_Toc26784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"_Toc8795"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6</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预案管理</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_Toc8795 \h </w:instrText>
          </w:r>
          <w:r>
            <w:rPr>
              <w:rFonts w:hint="eastAsia" w:ascii="黑体" w:hAnsi="黑体" w:eastAsia="黑体" w:cs="黑体"/>
              <w:sz w:val="32"/>
              <w:szCs w:val="32"/>
            </w:rPr>
            <w:fldChar w:fldCharType="separate"/>
          </w:r>
          <w:r>
            <w:rPr>
              <w:rFonts w:hint="eastAsia" w:ascii="黑体" w:hAnsi="黑体" w:eastAsia="黑体" w:cs="黑体"/>
              <w:sz w:val="32"/>
              <w:szCs w:val="32"/>
            </w:rPr>
            <w:t>32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"_Toc2820"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6.1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编制与更新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_Toc2820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"_Toc23214"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6.2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宣教培训</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_Toc23214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"_Toc11570"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6.3</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预案演练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_Toc11570 \h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"_Toc5585"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6.4</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预案衔接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_Toc5585 \h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"_Toc3425"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6.5</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预案评估和修订</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_Toc3425 \h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keepNext w:val="0"/>
            <w:keepLines w:val="0"/>
            <w:pageBreakBefore w:val="0"/>
            <w:widowControl w:val="0"/>
            <w:tabs>
              <w:tab w:val="right" w:leader="dot" w:pos="8896"/>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"_Toc23707" </w:instrText>
          </w:r>
          <w:r>
            <w:rPr>
              <w:rFonts w:hint="eastAsia" w:ascii="黑体" w:hAnsi="黑体" w:eastAsia="黑体" w:cs="黑体"/>
              <w:sz w:val="32"/>
              <w:szCs w:val="32"/>
            </w:rPr>
            <w:fldChar w:fldCharType="separate"/>
          </w:r>
          <w:r>
            <w:rPr>
              <w:rFonts w:hint="eastAsia" w:ascii="黑体" w:hAnsi="黑体" w:eastAsia="黑体" w:cs="黑体"/>
              <w:bCs/>
              <w:kern w:val="44"/>
              <w:sz w:val="32"/>
              <w:szCs w:val="32"/>
              <w:lang w:bidi="ar-SA"/>
            </w:rPr>
            <w:t>7</w:t>
          </w:r>
          <w:r>
            <w:rPr>
              <w:rFonts w:hint="eastAsia" w:ascii="黑体" w:hAnsi="黑体" w:eastAsia="黑体" w:cs="黑体"/>
              <w:bCs/>
              <w:kern w:val="44"/>
              <w:sz w:val="32"/>
              <w:szCs w:val="32"/>
              <w:lang w:val="en-US" w:eastAsia="zh-CN" w:bidi="ar-SA"/>
            </w:rPr>
            <w:t xml:space="preserve"> </w:t>
          </w:r>
          <w:r>
            <w:rPr>
              <w:rFonts w:hint="eastAsia" w:ascii="黑体" w:hAnsi="黑体" w:eastAsia="黑体" w:cs="黑体"/>
              <w:bCs/>
              <w:kern w:val="44"/>
              <w:sz w:val="32"/>
              <w:szCs w:val="32"/>
              <w:lang w:bidi="ar-SA"/>
            </w:rPr>
            <w:t>附则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_Toc23707 \h </w:instrText>
          </w:r>
          <w:r>
            <w:rPr>
              <w:rFonts w:hint="eastAsia" w:ascii="黑体" w:hAnsi="黑体" w:eastAsia="黑体" w:cs="黑体"/>
              <w:sz w:val="32"/>
              <w:szCs w:val="32"/>
            </w:rPr>
            <w:fldChar w:fldCharType="separate"/>
          </w:r>
          <w:r>
            <w:rPr>
              <w:rFonts w:hint="eastAsia" w:ascii="黑体" w:hAnsi="黑体" w:eastAsia="黑体" w:cs="黑体"/>
              <w:sz w:val="32"/>
              <w:szCs w:val="32"/>
            </w:rPr>
            <w:t>34</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"_Toc11936"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7.1</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名词术语</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_Toc11936 \h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"_Toc5416"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7.2</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eastAsia="zh-CN" w:bidi="ar-SA"/>
            </w:rPr>
            <w:t>预案实施时间</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_Toc5416 \h </w:instrText>
          </w:r>
          <w:r>
            <w:rPr>
              <w:rFonts w:hint="eastAsia" w:ascii="仿宋" w:hAnsi="仿宋" w:eastAsia="仿宋" w:cs="仿宋"/>
              <w:sz w:val="32"/>
              <w:szCs w:val="32"/>
            </w:rPr>
            <w:fldChar w:fldCharType="separate"/>
          </w:r>
          <w:r>
            <w:rPr>
              <w:rFonts w:hint="eastAsia" w:ascii="仿宋" w:hAnsi="仿宋" w:eastAsia="仿宋" w:cs="仿宋"/>
              <w:sz w:val="32"/>
              <w:szCs w:val="32"/>
            </w:rPr>
            <w:t>35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"_Toc16808"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附件1 地质灾害分级标准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_Toc16808 \h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"_Toc8277"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 xml:space="preserve">附件2 </w:t>
          </w:r>
          <w:r>
            <w:rPr>
              <w:rFonts w:hint="eastAsia" w:ascii="仿宋" w:hAnsi="仿宋" w:eastAsia="仿宋" w:cs="仿宋"/>
              <w:bCs/>
              <w:sz w:val="32"/>
              <w:szCs w:val="32"/>
              <w:lang w:val="en-US" w:eastAsia="zh-CN" w:bidi="ar-SA"/>
            </w:rPr>
            <w:t>市</w:t>
          </w:r>
          <w:r>
            <w:rPr>
              <w:rFonts w:hint="eastAsia" w:ascii="仿宋" w:hAnsi="仿宋" w:eastAsia="仿宋" w:cs="仿宋"/>
              <w:bCs/>
              <w:sz w:val="32"/>
              <w:szCs w:val="32"/>
              <w:lang w:eastAsia="zh-CN" w:bidi="ar-SA"/>
            </w:rPr>
            <w:t>突发地质灾害信息报告表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_Toc8277 \h </w:instrText>
          </w:r>
          <w:r>
            <w:rPr>
              <w:rFonts w:hint="eastAsia" w:ascii="仿宋" w:hAnsi="仿宋" w:eastAsia="仿宋" w:cs="仿宋"/>
              <w:sz w:val="32"/>
              <w:szCs w:val="32"/>
            </w:rPr>
            <w:fldChar w:fldCharType="separate"/>
          </w:r>
          <w:r>
            <w:rPr>
              <w:rFonts w:hint="eastAsia" w:ascii="仿宋" w:hAnsi="仿宋" w:eastAsia="仿宋" w:cs="仿宋"/>
              <w:sz w:val="32"/>
              <w:szCs w:val="32"/>
            </w:rPr>
            <w:t>38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"_Toc23211"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bidi="ar-SA"/>
            </w:rPr>
            <w:t>附件</w:t>
          </w:r>
          <w:r>
            <w:rPr>
              <w:rFonts w:hint="eastAsia" w:ascii="仿宋" w:hAnsi="仿宋" w:eastAsia="仿宋" w:cs="仿宋"/>
              <w:sz w:val="32"/>
              <w:szCs w:val="32"/>
              <w:lang w:val="en-US" w:eastAsia="zh-CN" w:bidi="ar-SA"/>
            </w:rPr>
            <w:t xml:space="preserve">3 </w:t>
          </w:r>
          <w:r>
            <w:rPr>
              <w:rFonts w:hint="eastAsia" w:ascii="仿宋" w:hAnsi="仿宋" w:eastAsia="仿宋" w:cs="仿宋"/>
              <w:bCs/>
              <w:sz w:val="32"/>
              <w:szCs w:val="32"/>
              <w:lang w:eastAsia="zh-CN" w:bidi="ar-SA"/>
            </w:rPr>
            <w:t>地质灾害分布情况表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_Toc23211 \h </w:instrText>
          </w:r>
          <w:r>
            <w:rPr>
              <w:rFonts w:hint="eastAsia" w:ascii="仿宋" w:hAnsi="仿宋" w:eastAsia="仿宋" w:cs="仿宋"/>
              <w:sz w:val="32"/>
              <w:szCs w:val="32"/>
            </w:rPr>
            <w:fldChar w:fldCharType="separate"/>
          </w:r>
          <w:r>
            <w:rPr>
              <w:rFonts w:hint="eastAsia" w:ascii="仿宋" w:hAnsi="仿宋" w:eastAsia="仿宋" w:cs="仿宋"/>
              <w:sz w:val="32"/>
              <w:szCs w:val="32"/>
            </w:rPr>
            <w:t>39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2"/>
            <w:keepNext w:val="0"/>
            <w:keepLines w:val="0"/>
            <w:pageBreakBefore w:val="0"/>
            <w:widowControl w:val="0"/>
            <w:tabs>
              <w:tab w:val="right" w:leader="dot" w:pos="8896"/>
            </w:tabs>
            <w:kinsoku/>
            <w:wordWrap/>
            <w:overflowPunct/>
            <w:topLinePunct w:val="0"/>
            <w:autoSpaceDE/>
            <w:autoSpaceDN/>
            <w:bidi w:val="0"/>
            <w:adjustRightInd/>
            <w:snapToGrid/>
            <w:spacing w:line="600" w:lineRule="exact"/>
            <w:ind w:left="0" w:leftChars="0" w:firstLine="0" w:firstLineChars="0"/>
            <w:textAlignment w:val="auto"/>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"_Toc8322"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bidi="ar-SA"/>
            </w:rPr>
            <w:t>附件</w:t>
          </w:r>
          <w:r>
            <w:rPr>
              <w:rFonts w:hint="eastAsia" w:ascii="仿宋" w:hAnsi="仿宋" w:eastAsia="仿宋" w:cs="仿宋"/>
              <w:bCs/>
              <w:sz w:val="32"/>
              <w:szCs w:val="32"/>
              <w:lang w:val="en-US" w:eastAsia="zh-CN" w:bidi="ar-SA"/>
            </w:rPr>
            <w:t>4</w:t>
          </w:r>
          <w:r>
            <w:rPr>
              <w:rFonts w:hint="eastAsia" w:ascii="仿宋" w:hAnsi="仿宋" w:eastAsia="仿宋" w:cs="仿宋"/>
              <w:bCs/>
              <w:sz w:val="32"/>
              <w:szCs w:val="32"/>
              <w:lang w:eastAsia="zh-CN" w:bidi="ar-SA"/>
            </w:rPr>
            <w:t xml:space="preserve"> 应急避护场所一览表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_Toc8322 \h </w:instrText>
          </w:r>
          <w:r>
            <w:rPr>
              <w:rFonts w:hint="eastAsia" w:ascii="仿宋" w:hAnsi="仿宋" w:eastAsia="仿宋" w:cs="仿宋"/>
              <w:sz w:val="32"/>
              <w:szCs w:val="32"/>
            </w:rPr>
            <w:fldChar w:fldCharType="separate"/>
          </w:r>
          <w:r>
            <w:rPr>
              <w:rFonts w:hint="eastAsia" w:ascii="仿宋" w:hAnsi="仿宋" w:eastAsia="仿宋" w:cs="仿宋"/>
              <w:sz w:val="32"/>
              <w:szCs w:val="32"/>
            </w:rPr>
            <w:t>40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宋体" w:hAnsi="宋体" w:eastAsia="宋体"/>
              <w:sz w:val="21"/>
              <w:lang w:eastAsia="zh-CN"/>
            </w:rPr>
            <w:sectPr>
              <w:footerReference r:id="rId7" w:type="first"/>
              <w:footerReference r:id="rId5" w:type="default"/>
              <w:footerReference r:id="rId6" w:type="even"/>
              <w:pgSz w:w="11900" w:h="16840"/>
              <w:pgMar w:top="1361" w:right="1474" w:bottom="1361" w:left="1474" w:header="0" w:footer="1134" w:gutter="0"/>
              <w:cols w:space="0" w:num="1"/>
              <w:rtlGutter w:val="0"/>
              <w:docGrid w:linePitch="360" w:charSpace="0"/>
            </w:sectPr>
          </w:pPr>
          <w:r>
            <w:rPr>
              <w:rFonts w:hint="eastAsia" w:ascii="仿宋" w:hAnsi="仿宋" w:eastAsia="仿宋" w:cs="仿宋"/>
              <w:szCs w:val="28"/>
              <w:lang w:eastAsia="zh-CN"/>
            </w:rPr>
            <w:fldChar w:fldCharType="end"/>
          </w:r>
        </w:p>
      </w:sdtContent>
    </w:sdt>
    <w:p>
      <w:pPr>
        <w:pStyle w:val="2"/>
        <w:keepNext/>
        <w:keepLines/>
        <w:pageBreakBefore w:val="0"/>
        <w:widowControl w:val="0"/>
        <w:kinsoku/>
        <w:wordWrap/>
        <w:overflowPunct/>
        <w:topLinePunct w:val="0"/>
        <w:autoSpaceDE/>
        <w:autoSpaceDN/>
        <w:bidi w:val="0"/>
        <w:adjustRightInd/>
        <w:snapToGrid/>
        <w:spacing w:line="600" w:lineRule="atLeast"/>
        <w:ind w:left="0" w:leftChars="0" w:firstLine="640" w:firstLineChars="200"/>
        <w:jc w:val="both"/>
        <w:textAlignment w:val="auto"/>
        <w:rPr>
          <w:rFonts w:ascii="黑体" w:hAnsi="黑体" w:eastAsia="黑体" w:cs="Times New Roman"/>
          <w:b/>
          <w:bCs/>
          <w:kern w:val="44"/>
          <w:sz w:val="32"/>
          <w:szCs w:val="32"/>
          <w:lang w:val="en-US" w:bidi="ar-SA"/>
        </w:rPr>
      </w:pPr>
      <w:bookmarkStart w:id="0" w:name="_Toc6793"/>
      <w:bookmarkStart w:id="1" w:name="_Toc10107"/>
      <w:r>
        <w:rPr>
          <w:rFonts w:hint="eastAsia" w:ascii="黑体" w:hAnsi="黑体" w:eastAsia="黑体" w:cs="Times New Roman"/>
          <w:b w:val="0"/>
          <w:bCs w:val="0"/>
          <w:kern w:val="44"/>
          <w:sz w:val="32"/>
          <w:szCs w:val="32"/>
          <w:lang w:val="en-US" w:bidi="ar-SA"/>
        </w:rPr>
        <w:t>1</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总则</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bookmarkStart w:id="2" w:name="_Toc27478"/>
      <w:bookmarkStart w:id="3" w:name="_Toc18983"/>
      <w:r>
        <w:rPr>
          <w:rFonts w:hint="eastAsia" w:ascii="仿宋" w:hAnsi="仿宋" w:eastAsia="仿宋" w:cs="仿宋"/>
          <w:sz w:val="32"/>
          <w:szCs w:val="32"/>
          <w:lang w:val="en-US" w:eastAsia="zh-CN"/>
        </w:rPr>
        <w:t>坚持以习近平新时代中国特色社会主义思想为指导。</w:t>
      </w:r>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hint="eastAsia" w:ascii="仿宋" w:hAnsi="仿宋" w:eastAsia="仿宋" w:cs="仿宋"/>
          <w:b/>
          <w:bCs/>
          <w:lang w:eastAsia="zh-CN" w:bidi="ar-SA"/>
        </w:rPr>
      </w:pPr>
      <w:r>
        <w:rPr>
          <w:rFonts w:hint="eastAsia" w:ascii="仿宋" w:hAnsi="仿宋" w:eastAsia="仿宋" w:cs="仿宋"/>
          <w:b/>
          <w:bCs/>
          <w:lang w:eastAsia="zh-CN" w:bidi="ar-SA"/>
        </w:rPr>
        <w:t>1.1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编制目的</w:t>
      </w:r>
      <w:bookmarkEnd w:id="2"/>
      <w:bookmarkEnd w:id="3"/>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为建立健全兴宁市（以下简称“本市”）应对突发地质灾害的应急体系和运行机制，提高应急能力，</w:t>
      </w:r>
      <w:r>
        <w:rPr>
          <w:rFonts w:hint="eastAsia" w:ascii="仿宋" w:hAnsi="仿宋" w:eastAsia="仿宋" w:cs="仿宋"/>
          <w:kern w:val="2"/>
          <w:sz w:val="32"/>
          <w:szCs w:val="32"/>
          <w:lang w:val="en-US" w:eastAsia="zh-CN" w:bidi="ar-SA"/>
        </w:rPr>
        <w:t>科学有效的应对</w:t>
      </w:r>
      <w:r>
        <w:rPr>
          <w:rFonts w:hint="eastAsia" w:ascii="仿宋" w:hAnsi="仿宋" w:eastAsia="仿宋" w:cs="仿宋"/>
          <w:kern w:val="2"/>
          <w:sz w:val="32"/>
          <w:szCs w:val="32"/>
          <w:lang w:eastAsia="zh-CN" w:bidi="ar-SA"/>
        </w:rPr>
        <w:t>辖区内的突发地质灾害，做好防灾减灾和抢险救灾工作，最大限度地避免或减轻地质灾害造成的损失，</w:t>
      </w:r>
      <w:r>
        <w:rPr>
          <w:rFonts w:hint="eastAsia" w:ascii="仿宋" w:hAnsi="仿宋" w:eastAsia="仿宋" w:cs="仿宋"/>
          <w:kern w:val="2"/>
          <w:sz w:val="32"/>
          <w:szCs w:val="32"/>
          <w:lang w:val="en-US" w:eastAsia="zh-CN" w:bidi="ar-SA"/>
        </w:rPr>
        <w:t>保障</w:t>
      </w:r>
      <w:r>
        <w:rPr>
          <w:rFonts w:hint="eastAsia" w:ascii="仿宋" w:hAnsi="仿宋" w:eastAsia="仿宋" w:cs="仿宋"/>
          <w:kern w:val="2"/>
          <w:sz w:val="32"/>
          <w:szCs w:val="32"/>
          <w:lang w:eastAsia="zh-CN" w:bidi="ar-SA"/>
        </w:rPr>
        <w:t>人民生命</w:t>
      </w:r>
      <w:r>
        <w:rPr>
          <w:rFonts w:hint="eastAsia" w:ascii="仿宋" w:hAnsi="仿宋" w:eastAsia="仿宋" w:cs="仿宋"/>
          <w:kern w:val="2"/>
          <w:sz w:val="32"/>
          <w:szCs w:val="32"/>
          <w:lang w:val="en-US" w:eastAsia="zh-CN" w:bidi="ar-SA"/>
        </w:rPr>
        <w:t>财产安全</w:t>
      </w:r>
      <w:r>
        <w:rPr>
          <w:rFonts w:hint="eastAsia" w:ascii="仿宋" w:hAnsi="仿宋" w:eastAsia="仿宋" w:cs="仿宋"/>
          <w:kern w:val="2"/>
          <w:sz w:val="32"/>
          <w:szCs w:val="32"/>
          <w:lang w:eastAsia="zh-CN" w:bidi="ar-SA"/>
        </w:rPr>
        <w:t>和公共安全，</w:t>
      </w:r>
      <w:r>
        <w:rPr>
          <w:rFonts w:hint="eastAsia" w:ascii="仿宋" w:hAnsi="仿宋" w:eastAsia="仿宋" w:cs="仿宋"/>
          <w:kern w:val="2"/>
          <w:sz w:val="32"/>
          <w:szCs w:val="32"/>
          <w:lang w:val="en-US" w:eastAsia="zh-CN" w:bidi="ar-SA"/>
        </w:rPr>
        <w:t>维护</w:t>
      </w:r>
      <w:r>
        <w:rPr>
          <w:rFonts w:hint="eastAsia" w:ascii="仿宋" w:hAnsi="仿宋" w:eastAsia="仿宋" w:cs="仿宋"/>
          <w:kern w:val="2"/>
          <w:sz w:val="32"/>
          <w:szCs w:val="32"/>
          <w:lang w:eastAsia="zh-CN" w:bidi="ar-SA"/>
        </w:rPr>
        <w:t>社会稳定，</w:t>
      </w:r>
      <w:r>
        <w:rPr>
          <w:rFonts w:hint="eastAsia" w:ascii="仿宋" w:hAnsi="仿宋" w:eastAsia="仿宋" w:cs="仿宋"/>
          <w:kern w:val="2"/>
          <w:sz w:val="32"/>
          <w:szCs w:val="32"/>
          <w:lang w:val="en-US" w:eastAsia="zh-CN" w:bidi="ar-SA"/>
        </w:rPr>
        <w:t>促进本</w:t>
      </w:r>
      <w:r>
        <w:rPr>
          <w:rFonts w:hint="eastAsia" w:ascii="仿宋" w:hAnsi="仿宋" w:eastAsia="仿宋" w:cs="仿宋"/>
          <w:kern w:val="2"/>
          <w:sz w:val="32"/>
          <w:szCs w:val="32"/>
          <w:lang w:eastAsia="zh-CN" w:bidi="ar-SA"/>
        </w:rPr>
        <w:t>市</w:t>
      </w:r>
      <w:r>
        <w:rPr>
          <w:rFonts w:hint="eastAsia" w:ascii="仿宋" w:hAnsi="仿宋" w:eastAsia="仿宋" w:cs="仿宋"/>
          <w:kern w:val="2"/>
          <w:sz w:val="32"/>
          <w:szCs w:val="32"/>
          <w:lang w:val="en-US" w:eastAsia="zh-CN" w:bidi="ar-SA"/>
        </w:rPr>
        <w:t>经济社会</w:t>
      </w:r>
      <w:r>
        <w:rPr>
          <w:rFonts w:hint="eastAsia" w:ascii="仿宋" w:hAnsi="仿宋" w:eastAsia="仿宋" w:cs="仿宋"/>
          <w:kern w:val="2"/>
          <w:sz w:val="32"/>
          <w:szCs w:val="32"/>
          <w:lang w:eastAsia="zh-CN" w:bidi="ar-SA"/>
        </w:rPr>
        <w:t>全面、协调、可持续发展。</w:t>
      </w:r>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hint="eastAsia" w:ascii="仿宋" w:hAnsi="仿宋" w:eastAsia="仿宋" w:cs="仿宋"/>
          <w:b/>
          <w:bCs/>
          <w:lang w:eastAsia="zh-CN" w:bidi="ar-SA"/>
        </w:rPr>
      </w:pPr>
      <w:bookmarkStart w:id="4" w:name="_Toc7541"/>
      <w:r>
        <w:rPr>
          <w:rFonts w:hint="eastAsia" w:ascii="仿宋" w:hAnsi="仿宋" w:eastAsia="仿宋" w:cs="仿宋"/>
          <w:b/>
          <w:bCs/>
          <w:lang w:eastAsia="zh-CN" w:bidi="ar-SA"/>
        </w:rPr>
        <w:t>1.2</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编制依据</w:t>
      </w:r>
      <w:bookmarkEnd w:id="4"/>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依据《中华人民共和国突发事件应对法》、《地质灾害防治条例》、《国家突发地质灾害应急预案》、《突发事件应急预案管理办法》、《广东省突发事件应对条例》、《广东省突发事件总体应急预案》、《广东省人民政府办公厅关于印发</w:t>
      </w:r>
      <w:r>
        <w:rPr>
          <w:rFonts w:hint="eastAsia" w:ascii="仿宋" w:hAnsi="仿宋" w:eastAsia="仿宋" w:cs="仿宋_GB2312"/>
          <w:sz w:val="32"/>
          <w:szCs w:val="32"/>
          <w:lang w:eastAsia="zh-CN"/>
        </w:rPr>
        <w:t>〈</w:t>
      </w:r>
      <w:r>
        <w:rPr>
          <w:rFonts w:hint="eastAsia" w:ascii="仿宋" w:hAnsi="仿宋" w:eastAsia="仿宋" w:cs="仿宋"/>
          <w:kern w:val="2"/>
          <w:sz w:val="32"/>
          <w:szCs w:val="32"/>
          <w:lang w:eastAsia="zh-CN" w:bidi="ar-SA"/>
        </w:rPr>
        <w:t>广东省突发地质灾害应急预案</w:t>
      </w:r>
      <w:r>
        <w:rPr>
          <w:rFonts w:hint="eastAsia" w:ascii="仿宋" w:hAnsi="仿宋" w:eastAsia="仿宋" w:cs="仿宋_GB2312"/>
          <w:sz w:val="32"/>
          <w:szCs w:val="32"/>
          <w:lang w:eastAsia="zh-CN"/>
        </w:rPr>
        <w:t>〉</w:t>
      </w:r>
      <w:r>
        <w:rPr>
          <w:rFonts w:hint="eastAsia" w:ascii="仿宋" w:hAnsi="仿宋" w:eastAsia="仿宋" w:cs="仿宋"/>
          <w:kern w:val="2"/>
          <w:sz w:val="32"/>
          <w:szCs w:val="32"/>
          <w:lang w:eastAsia="zh-CN" w:bidi="ar-SA"/>
        </w:rPr>
        <w:t>等4个专项应急预案的通知》、《广东省突发地质灾害应急预案》、《梅州市突发事件总体应急预案》、《梅州市突发地质灾害应急预案》、《兴宁市地质灾害防治规划（2020-2025年）》、《兴宁市突发事件总体应急预案》等法律法规及有关规定，制定《兴宁市突发地质灾害应急预案》（以下简称“本预案”）。</w:t>
      </w:r>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hint="eastAsia" w:ascii="仿宋" w:hAnsi="仿宋" w:eastAsia="仿宋" w:cs="仿宋"/>
          <w:b/>
          <w:bCs/>
          <w:lang w:eastAsia="zh-CN" w:bidi="ar-SA"/>
        </w:rPr>
      </w:pPr>
      <w:bookmarkStart w:id="5" w:name="_Toc16049"/>
      <w:r>
        <w:rPr>
          <w:rFonts w:hint="eastAsia" w:ascii="仿宋" w:hAnsi="仿宋" w:eastAsia="仿宋" w:cs="仿宋"/>
          <w:b/>
          <w:bCs/>
          <w:lang w:eastAsia="zh-CN" w:bidi="ar-SA"/>
        </w:rPr>
        <w:t>1.3</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适用范围</w:t>
      </w:r>
      <w:bookmarkEnd w:id="5"/>
    </w:p>
    <w:p>
      <w:pPr>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ascii="仿宋_GB2312" w:hAnsi="Calibri" w:eastAsia="仿宋_GB2312"/>
          <w:color w:val="FF0000"/>
          <w:kern w:val="2"/>
          <w:sz w:val="32"/>
          <w:szCs w:val="32"/>
          <w:lang w:eastAsia="zh-CN" w:bidi="ar-SA"/>
        </w:rPr>
      </w:pPr>
      <w:r>
        <w:rPr>
          <w:rFonts w:hint="eastAsia" w:ascii="仿宋" w:hAnsi="仿宋" w:eastAsia="仿宋" w:cs="仿宋_GB2312"/>
          <w:sz w:val="32"/>
          <w:szCs w:val="32"/>
          <w:lang w:eastAsia="zh-CN"/>
        </w:rPr>
        <w:t>本预案适用于兴宁市行政区域内处置自然因素或者人为活动引发的危害人民生命和财产安全的突发性山体崩塌、滑坡、泥石流、地面塌陷等与地质作用有关的地质灾害。</w:t>
      </w:r>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ascii="楷体_GB2312" w:hAnsi="楷体_GB2312" w:eastAsia="楷体_GB2312" w:cs="楷体_GB2312"/>
          <w:b/>
          <w:bCs/>
          <w:lang w:eastAsia="zh-CN" w:bidi="ar-SA"/>
        </w:rPr>
      </w:pPr>
      <w:bookmarkStart w:id="6" w:name="_Toc1184"/>
      <w:r>
        <w:rPr>
          <w:rFonts w:hint="eastAsia" w:ascii="仿宋" w:hAnsi="仿宋" w:eastAsia="仿宋" w:cs="仿宋"/>
          <w:b/>
          <w:bCs/>
          <w:lang w:eastAsia="zh-CN" w:bidi="ar-SA"/>
        </w:rPr>
        <w:t>1.4</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工作原则</w:t>
      </w:r>
      <w:bookmarkEnd w:id="6"/>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（1）以人为本，预防为主。牢固树立底线思维，立足防大灾，抗大险，做到关口前移，注重平时防范和减轻灾害风险，建立健全群测群防机制，最大限度减少人员伤亡和财产损失。</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xml:space="preserve">    （2）统一领导，统分结合。在各级党委、政府统一领导下，有关单位各司其责，密切配合，共同做好突发地质灾害防御和应急处置工作。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（3）属地为主，分级负责。市人民政府是应对市内</w:t>
      </w:r>
      <w:r>
        <w:rPr>
          <w:rFonts w:hint="eastAsia" w:ascii="仿宋" w:hAnsi="仿宋" w:eastAsia="仿宋" w:cs="仿宋"/>
          <w:kern w:val="2"/>
          <w:sz w:val="32"/>
          <w:szCs w:val="32"/>
          <w:lang w:val="en-US" w:eastAsia="zh-CN" w:bidi="ar-SA"/>
        </w:rPr>
        <w:t>一般</w:t>
      </w:r>
      <w:r>
        <w:rPr>
          <w:rFonts w:hint="eastAsia" w:ascii="仿宋" w:hAnsi="仿宋" w:eastAsia="仿宋" w:cs="仿宋"/>
          <w:kern w:val="2"/>
          <w:sz w:val="32"/>
          <w:szCs w:val="32"/>
          <w:lang w:eastAsia="zh-CN" w:bidi="ar-SA"/>
        </w:rPr>
        <w:t>及以上突发地质灾害的主体，各镇（街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）分别是应对本行政区域一般突发地质灾害的主体。</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xml:space="preserve">    （4）依法规范，明确分工。按照法定职责，细化部门分工，全面落实防灾、减灾、救灾工作任务，确保应急处置工作规范有序、落实到位。</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（5）整合资源，协同运作。各</w:t>
      </w:r>
      <w:r>
        <w:rPr>
          <w:rFonts w:hint="eastAsia" w:ascii="仿宋" w:hAnsi="仿宋" w:eastAsia="仿宋" w:cs="仿宋"/>
          <w:kern w:val="2"/>
          <w:sz w:val="32"/>
          <w:szCs w:val="32"/>
          <w:lang w:val="en-US" w:eastAsia="zh-CN" w:bidi="ar-SA"/>
        </w:rPr>
        <w:t>镇</w:t>
      </w:r>
      <w:r>
        <w:rPr>
          <w:rFonts w:hint="eastAsia" w:ascii="仿宋" w:hAnsi="仿宋" w:eastAsia="仿宋" w:cs="仿宋"/>
          <w:kern w:val="2"/>
          <w:sz w:val="32"/>
          <w:szCs w:val="32"/>
          <w:lang w:eastAsia="zh-CN" w:bidi="ar-SA"/>
        </w:rPr>
        <w:t>人民政府（</w:t>
      </w:r>
      <w:r>
        <w:rPr>
          <w:rFonts w:hint="eastAsia" w:ascii="仿宋" w:hAnsi="仿宋" w:eastAsia="仿宋" w:cs="仿宋"/>
          <w:kern w:val="2"/>
          <w:sz w:val="32"/>
          <w:szCs w:val="32"/>
          <w:lang w:val="en-US" w:eastAsia="zh-CN" w:bidi="ar-SA"/>
        </w:rPr>
        <w:t>街道办事处</w:t>
      </w:r>
      <w:r>
        <w:rPr>
          <w:rFonts w:hint="eastAsia" w:ascii="仿宋" w:hAnsi="仿宋" w:eastAsia="仿宋" w:cs="仿宋"/>
          <w:kern w:val="2"/>
          <w:sz w:val="32"/>
          <w:szCs w:val="32"/>
          <w:lang w:eastAsia="zh-CN" w:bidi="ar-SA"/>
        </w:rPr>
        <w:t>）及有关单位按照职责分工密切配合、信息互通、资源共享、协同行动，充分发挥各消防救援队伍在地质灾害应急处置中的作用，建立广泛的社会动员机制。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（6）快速反应，科学处置。善于抓住时机，依靠科技手段和专业力量，精准研判，科学决策，提高地质灾害应急处置的科技水平。</w:t>
      </w:r>
    </w:p>
    <w:p>
      <w:pPr>
        <w:pStyle w:val="2"/>
        <w:keepNext/>
        <w:keepLines/>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cs="Times New Roman"/>
          <w:b w:val="0"/>
          <w:bCs w:val="0"/>
          <w:kern w:val="44"/>
          <w:sz w:val="32"/>
          <w:szCs w:val="32"/>
          <w:lang w:val="en-US" w:bidi="ar-SA"/>
        </w:rPr>
      </w:pPr>
      <w:bookmarkStart w:id="7" w:name="_Toc1176"/>
      <w:r>
        <w:rPr>
          <w:rFonts w:hint="eastAsia" w:ascii="黑体" w:hAnsi="黑体" w:eastAsia="黑体" w:cs="Times New Roman"/>
          <w:b w:val="0"/>
          <w:bCs w:val="0"/>
          <w:kern w:val="44"/>
          <w:sz w:val="32"/>
          <w:szCs w:val="32"/>
          <w:lang w:val="en-US" w:bidi="ar-SA"/>
        </w:rPr>
        <w:t>2</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组织体系</w:t>
      </w:r>
      <w:bookmarkEnd w:id="7"/>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8" w:name="_Toc25428"/>
      <w:r>
        <w:rPr>
          <w:rFonts w:hint="eastAsia" w:ascii="仿宋" w:hAnsi="仿宋" w:eastAsia="仿宋" w:cs="仿宋"/>
          <w:b/>
          <w:bCs/>
          <w:lang w:eastAsia="zh-CN" w:bidi="ar-SA"/>
        </w:rPr>
        <w:t>2.1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领导机构</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kern w:val="2"/>
          <w:sz w:val="32"/>
          <w:szCs w:val="32"/>
          <w:lang w:eastAsia="zh-CN" w:bidi="ar-SA"/>
        </w:rPr>
      </w:pPr>
      <w:r>
        <w:rPr>
          <w:rFonts w:hint="eastAsia" w:ascii="仿宋" w:hAnsi="仿宋" w:eastAsia="仿宋" w:cs="仿宋"/>
          <w:kern w:val="2"/>
          <w:sz w:val="32"/>
          <w:szCs w:val="32"/>
          <w:lang w:eastAsia="zh-CN" w:bidi="ar-SA"/>
        </w:rPr>
        <w:t>发生一般及以上地质灾害后，在市应急委员会的统一领导下成立市突发地质灾害应急指挥部（以下简称“市指挥部”），负责组织、指挥、指导、协调、监督全市开展地质灾害应急管理工作，统一领导和指挥全市突发地质灾害抢险救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主要职责：贯彻落实党中央、国务院、应急管理部、省委省政府、省应急管理厅、梅州市委市政府、</w:t>
      </w:r>
      <w:r>
        <w:rPr>
          <w:rFonts w:hint="eastAsia" w:ascii="仿宋" w:hAnsi="仿宋" w:eastAsia="仿宋" w:cs="仿宋"/>
          <w:kern w:val="2"/>
          <w:sz w:val="32"/>
          <w:szCs w:val="32"/>
          <w:lang w:val="en-US" w:eastAsia="zh-CN" w:bidi="ar-SA"/>
        </w:rPr>
        <w:t>梅州市应急管理局</w:t>
      </w:r>
      <w:r>
        <w:rPr>
          <w:rFonts w:hint="eastAsia" w:ascii="仿宋" w:hAnsi="仿宋" w:eastAsia="仿宋" w:cs="仿宋"/>
          <w:kern w:val="2"/>
          <w:sz w:val="32"/>
          <w:szCs w:val="32"/>
          <w:lang w:eastAsia="zh-CN" w:bidi="ar-SA"/>
        </w:rPr>
        <w:t>和兴宁市委市政府关于地质灾害防御和应急救援的有关决策部署，研究制定全市地质灾害应急救援的有关重要政策措施；指导开展地质灾害预报预警监测；组织险情、灾情会商研判，以及地质灾害调查评估工作；按梅州市应急指挥部要求报请市政府启动Ⅰ、Ⅱ、Ⅲ级地质灾害应急响应，决定启动Ⅳ级地质灾害应急响应；统一指挥市内突发地质灾害的应急救援工作，协调组织驻兴部队、武警、民兵和消防救援等队伍参与抢险救灾；组织开展地质灾害灾情和救援信息上报，以及地质灾害舆情应对工作；组织指导灾区开展生产自救和灾后恢复重建等工作；协调、指导、监督各成员单位、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）应急救援指挥机构开展地质灾害应急救援工作；研究决定全市地质灾害防御和应急救援的其他重大事项。</w:t>
      </w:r>
      <w:r>
        <w:rPr>
          <w:rFonts w:hint="eastAsia" w:ascii="仿宋" w:hAnsi="仿宋" w:eastAsia="仿宋" w:cs="仿宋"/>
          <w:kern w:val="2"/>
          <w:sz w:val="32"/>
          <w:szCs w:val="32"/>
          <w:lang w:eastAsia="zh-CN" w:bidi="ar-SA"/>
        </w:rPr>
        <w:br w:type="textWrapping"/>
      </w:r>
      <w:r>
        <w:rPr>
          <w:rFonts w:hint="eastAsia" w:ascii="仿宋_GB2312" w:hAnsi="Calibri" w:eastAsia="仿宋_GB2312"/>
          <w:kern w:val="2"/>
          <w:sz w:val="32"/>
          <w:szCs w:val="32"/>
          <w:lang w:eastAsia="zh-CN" w:bidi="ar-SA"/>
        </w:rPr>
        <w:t xml:space="preserve">    </w:t>
      </w:r>
      <w:r>
        <w:rPr>
          <w:rFonts w:hint="eastAsia" w:ascii="仿宋" w:hAnsi="仿宋" w:eastAsia="仿宋" w:cs="仿宋"/>
          <w:kern w:val="2"/>
          <w:sz w:val="32"/>
          <w:szCs w:val="32"/>
          <w:lang w:eastAsia="zh-CN" w:bidi="ar-SA"/>
        </w:rPr>
        <w:t>指挥长：市政府分管应急管理工作的副市长（必要时，由市委市政府主要领导担任指挥长）。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副指挥长：市政府协调应急管理工作的副主任，市应急管理局局长，市自然资源局局长、市人武部副部长。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hAnsi="Calibri" w:eastAsia="仿宋_GB2312"/>
          <w:kern w:val="2"/>
          <w:sz w:val="32"/>
          <w:szCs w:val="32"/>
          <w:lang w:eastAsia="zh-CN" w:bidi="ar-SA"/>
        </w:rPr>
      </w:pPr>
      <w:r>
        <w:rPr>
          <w:rFonts w:hint="eastAsia" w:ascii="仿宋_GB2312" w:hAnsi="Calibri" w:eastAsia="仿宋_GB2312"/>
          <w:kern w:val="2"/>
          <w:sz w:val="32"/>
          <w:szCs w:val="32"/>
          <w:lang w:eastAsia="zh-CN" w:bidi="ar-SA"/>
        </w:rPr>
        <w:t xml:space="preserve">    </w:t>
      </w:r>
      <w:r>
        <w:rPr>
          <w:rFonts w:hint="eastAsia" w:ascii="仿宋" w:hAnsi="仿宋" w:eastAsia="仿宋" w:cs="仿宋"/>
          <w:kern w:val="2"/>
          <w:sz w:val="32"/>
          <w:szCs w:val="32"/>
          <w:lang w:eastAsia="zh-CN" w:bidi="ar-SA"/>
        </w:rPr>
        <w:t>成员：</w:t>
      </w:r>
      <w:r>
        <w:rPr>
          <w:rFonts w:hint="eastAsia" w:ascii="仿宋" w:hAnsi="仿宋" w:eastAsia="仿宋" w:cs="仿宋"/>
          <w:color w:val="000000" w:themeColor="text1"/>
          <w:kern w:val="2"/>
          <w:sz w:val="32"/>
          <w:szCs w:val="32"/>
          <w:lang w:eastAsia="zh-CN" w:bidi="ar-SA"/>
          <w14:textFill>
            <w14:solidFill>
              <w14:schemeClr w14:val="tx1"/>
            </w14:solidFill>
          </w14:textFill>
        </w:rPr>
        <w:t>市委宣传部、市委统战部（市委台港澳办）、市人武部、市外事局、市发展改革局、市教育局、</w:t>
      </w:r>
      <w:r>
        <w:rPr>
          <w:rFonts w:hint="eastAsia" w:ascii="仿宋" w:hAnsi="仿宋" w:eastAsia="仿宋" w:cs="仿宋"/>
          <w:color w:val="000000" w:themeColor="text1"/>
          <w:sz w:val="32"/>
          <w:szCs w:val="32"/>
          <w:lang w:eastAsia="zh-CN"/>
          <w14:textFill>
            <w14:solidFill>
              <w14:schemeClr w14:val="tx1"/>
            </w14:solidFill>
          </w14:textFill>
        </w:rPr>
        <w:t>市民政局、</w:t>
      </w:r>
      <w:r>
        <w:rPr>
          <w:rFonts w:hint="eastAsia" w:ascii="仿宋" w:hAnsi="仿宋" w:eastAsia="仿宋" w:cs="仿宋"/>
          <w:color w:val="000000" w:themeColor="text1"/>
          <w:kern w:val="2"/>
          <w:sz w:val="32"/>
          <w:szCs w:val="32"/>
          <w:lang w:eastAsia="zh-CN" w:bidi="ar-SA"/>
          <w14:textFill>
            <w14:solidFill>
              <w14:schemeClr w14:val="tx1"/>
            </w14:solidFill>
          </w14:textFill>
        </w:rPr>
        <w:t>市公安局、市科工商务局、市司法局、市财政局、市应急管理局、市人力资源社会保障局、市自然资源局、梅州市生态环境局兴宁分局、市住房城乡建设局、市城市管理和综合执法局、市农业农村局、市文化广电旅游体育局、市卫生健康局、市市场监管局、市政务服务数据管理局、</w:t>
      </w:r>
      <w:r>
        <w:rPr>
          <w:rFonts w:hint="eastAsia" w:ascii="仿宋" w:hAnsi="仿宋" w:eastAsia="仿宋" w:cs="仿宋"/>
          <w:color w:val="000000" w:themeColor="text1"/>
          <w:sz w:val="32"/>
          <w:szCs w:val="32"/>
          <w:lang w:eastAsia="zh-CN"/>
          <w14:textFill>
            <w14:solidFill>
              <w14:schemeClr w14:val="tx1"/>
            </w14:solidFill>
          </w14:textFill>
        </w:rPr>
        <w:t>市气象局、</w:t>
      </w:r>
      <w:r>
        <w:rPr>
          <w:rFonts w:hint="eastAsia" w:ascii="仿宋" w:hAnsi="仿宋" w:eastAsia="仿宋" w:cs="仿宋"/>
          <w:color w:val="000000" w:themeColor="text1"/>
          <w:kern w:val="2"/>
          <w:sz w:val="32"/>
          <w:szCs w:val="32"/>
          <w:lang w:eastAsia="zh-CN" w:bidi="ar-SA"/>
          <w14:textFill>
            <w14:solidFill>
              <w14:schemeClr w14:val="tx1"/>
            </w14:solidFill>
          </w14:textFill>
        </w:rPr>
        <w:t>市林业局、市水务局、市交通运输局、</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市公路事务中心、</w:t>
      </w:r>
      <w:r>
        <w:rPr>
          <w:rFonts w:hint="eastAsia" w:ascii="仿宋" w:hAnsi="仿宋" w:eastAsia="仿宋" w:cs="仿宋"/>
          <w:color w:val="000000" w:themeColor="text1"/>
          <w:kern w:val="2"/>
          <w:sz w:val="32"/>
          <w:szCs w:val="32"/>
          <w:lang w:eastAsia="zh-CN" w:bidi="ar-SA"/>
          <w14:textFill>
            <w14:solidFill>
              <w14:schemeClr w14:val="tx1"/>
            </w14:solidFill>
          </w14:textFill>
        </w:rPr>
        <w:t>兴宁火车站、市消防救援大队、市融媒体中心、团市委、市红十字会、兴宁供电局、市武警中队、中国电信兴宁分公司、中国移动兴宁分公司、中国联通兴宁分公司、</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中国铁塔梅州分公司兴宁区域中心</w:t>
      </w:r>
      <w:r>
        <w:rPr>
          <w:rFonts w:hint="eastAsia" w:ascii="仿宋" w:hAnsi="仿宋" w:eastAsia="仿宋" w:cs="仿宋"/>
          <w:color w:val="000000" w:themeColor="text1"/>
          <w:kern w:val="2"/>
          <w:sz w:val="32"/>
          <w:szCs w:val="32"/>
          <w:lang w:eastAsia="zh-CN" w:bidi="ar-SA"/>
          <w14:textFill>
            <w14:solidFill>
              <w14:schemeClr w14:val="tx1"/>
            </w14:solidFill>
          </w14:textFill>
        </w:rPr>
        <w:t>等单位主要负责人或分管负责人</w:t>
      </w:r>
      <w:r>
        <w:rPr>
          <w:rFonts w:hint="eastAsia" w:ascii="仿宋" w:hAnsi="仿宋" w:eastAsia="仿宋" w:cs="仿宋"/>
          <w:kern w:val="2"/>
          <w:sz w:val="32"/>
          <w:szCs w:val="32"/>
          <w:lang w:eastAsia="zh-CN" w:bidi="ar-SA"/>
        </w:rPr>
        <w:t>。</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9" w:name="_Toc28519"/>
      <w:r>
        <w:rPr>
          <w:rFonts w:hint="eastAsia" w:ascii="仿宋" w:hAnsi="仿宋" w:eastAsia="仿宋" w:cs="仿宋"/>
          <w:b/>
          <w:bCs/>
          <w:lang w:eastAsia="zh-CN" w:bidi="ar-SA"/>
        </w:rPr>
        <w:t>2.2</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办事机构</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指挥部办公室设在市应急管理局，承担市指挥部日常工作。办公室主任由市应急管理局副局长担任，副主任分别由市自然资源局、市消防救援大队有关负责人担任。市指挥部成员因工作变动等需要调整的，由所在单位向市指挥部办公室提出，报指挥长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主要职责：贯彻落实市指挥部各项工作部署；协调市指挥部各成员单位、各镇（街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应急救援指挥机构开展应急救援工作；负责汇总、上报有关地质灾害灾情、险情和应急救援信息；组织相关单位参与险情、灾情会商研判，提出启动、终止地质灾害应急响应建议及应急处置方案；根据市指挥部要求，组织现场工作组赶赴灾区指导开展应急救援处置工作；负责起草市指挥部有关文电和领导讲话材料，编报险情灾情及救援信息简报；协调督促市指挥部各工作组开展应急救援抢险工作，根据市指挥部领导的部署要求协调相关单位参与应急处置工作；承担市指挥部领导交办的其他工作。</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10" w:name="_Toc17868"/>
      <w:r>
        <w:rPr>
          <w:rFonts w:hint="eastAsia" w:ascii="仿宋" w:hAnsi="仿宋" w:eastAsia="仿宋" w:cs="仿宋"/>
          <w:b/>
          <w:bCs/>
          <w:lang w:eastAsia="zh-CN" w:bidi="ar-SA"/>
        </w:rPr>
        <w:t>2.3</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成员单位</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各成员单位根据应急响应级别，按照市指挥部的统一部署和各自职责，配合做好突发地质灾害的应急处置工作。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各成员单位职责：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eastAsia="zh-CN" w:bidi="ar-SA"/>
        </w:rPr>
        <w:t>）市委宣传部：负责参与突发地质灾害应急宣传报道的组织协调工作。适时组织召开新闻发布会，发布重大地质灾害灾情和救灾信息，协调新闻媒体做好抢险救灾宣传报道。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市外事局：负责牵头组织协调、督促、指导外国居民及法人在我市遭遇地质灾害的处理工作，协调、安排外宾和境外来市救援人员的接待工作。配合做好在兴外国侨民在地质灾害中受灾、伤亡等情况与外国驻华使领馆的联系沟通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eastAsia="zh-CN" w:bidi="ar-SA"/>
        </w:rPr>
        <w:t>）市委统战部（市委台港澳办）：负责参与协调、督促、指导台港澳地区居民及法人在我市遭遇地质灾害的处理工作，协调、安排台港澳地区来兴救援人员的接待工作。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4</w:t>
      </w:r>
      <w:r>
        <w:rPr>
          <w:rFonts w:hint="eastAsia" w:ascii="仿宋" w:hAnsi="仿宋" w:eastAsia="仿宋" w:cs="仿宋"/>
          <w:kern w:val="2"/>
          <w:sz w:val="32"/>
          <w:szCs w:val="32"/>
          <w:lang w:eastAsia="zh-CN" w:bidi="ar-SA"/>
        </w:rPr>
        <w:t>）市发展改革局：负责</w:t>
      </w:r>
      <w:r>
        <w:rPr>
          <w:rFonts w:hint="eastAsia" w:ascii="仿宋" w:hAnsi="仿宋" w:eastAsia="仿宋" w:cs="仿宋"/>
          <w:kern w:val="2"/>
          <w:sz w:val="32"/>
          <w:szCs w:val="32"/>
          <w:lang w:val="en-US" w:eastAsia="zh-CN" w:bidi="ar-SA"/>
        </w:rPr>
        <w:t>协助申报</w:t>
      </w:r>
      <w:r>
        <w:rPr>
          <w:rFonts w:hint="eastAsia" w:ascii="仿宋" w:hAnsi="仿宋" w:eastAsia="仿宋" w:cs="仿宋"/>
          <w:kern w:val="2"/>
          <w:sz w:val="32"/>
          <w:szCs w:val="32"/>
          <w:lang w:eastAsia="zh-CN" w:bidi="ar-SA"/>
        </w:rPr>
        <w:t>重大抢险救灾基建项目</w:t>
      </w:r>
      <w:r>
        <w:rPr>
          <w:rFonts w:hint="eastAsia" w:ascii="仿宋" w:hAnsi="仿宋" w:eastAsia="仿宋" w:cs="仿宋"/>
          <w:kern w:val="2"/>
          <w:sz w:val="32"/>
          <w:szCs w:val="32"/>
          <w:lang w:val="en-US" w:eastAsia="zh-CN" w:bidi="ar-SA"/>
        </w:rPr>
        <w:t>及申报</w:t>
      </w:r>
      <w:r>
        <w:rPr>
          <w:rFonts w:hint="eastAsia" w:ascii="仿宋" w:hAnsi="仿宋" w:eastAsia="仿宋" w:cs="仿宋"/>
          <w:kern w:val="2"/>
          <w:sz w:val="32"/>
          <w:szCs w:val="32"/>
          <w:lang w:eastAsia="zh-CN" w:bidi="ar-SA"/>
        </w:rPr>
        <w:t>建设资金；组织协调灾区</w:t>
      </w:r>
      <w:r>
        <w:rPr>
          <w:rFonts w:hint="eastAsia" w:ascii="仿宋" w:hAnsi="仿宋" w:eastAsia="仿宋" w:cs="仿宋"/>
          <w:kern w:val="2"/>
          <w:sz w:val="32"/>
          <w:szCs w:val="32"/>
          <w:lang w:val="en-US" w:eastAsia="zh-CN" w:bidi="ar-SA"/>
        </w:rPr>
        <w:t>镇人民政府（街道办事处）</w:t>
      </w:r>
      <w:r>
        <w:rPr>
          <w:rFonts w:hint="eastAsia" w:ascii="仿宋" w:hAnsi="仿宋" w:eastAsia="仿宋" w:cs="仿宋"/>
          <w:kern w:val="2"/>
          <w:sz w:val="32"/>
          <w:szCs w:val="32"/>
          <w:lang w:eastAsia="zh-CN" w:bidi="ar-SA"/>
        </w:rPr>
        <w:t>及有关部门编制灾后恢复重建总体规划；按照市应急管理局的指令，</w:t>
      </w:r>
      <w:r>
        <w:rPr>
          <w:rFonts w:hint="eastAsia" w:ascii="仿宋" w:hAnsi="仿宋" w:eastAsia="仿宋" w:cs="仿宋"/>
          <w:kern w:val="2"/>
          <w:sz w:val="32"/>
          <w:szCs w:val="32"/>
          <w:lang w:val="en-US" w:eastAsia="zh-CN" w:bidi="ar-SA"/>
        </w:rPr>
        <w:t>组织协调</w:t>
      </w:r>
      <w:bookmarkStart w:id="65" w:name="_GoBack"/>
      <w:bookmarkEnd w:id="65"/>
      <w:r>
        <w:rPr>
          <w:rFonts w:hint="eastAsia" w:ascii="仿宋" w:hAnsi="仿宋" w:eastAsia="仿宋" w:cs="仿宋"/>
          <w:kern w:val="2"/>
          <w:sz w:val="32"/>
          <w:szCs w:val="32"/>
          <w:lang w:eastAsia="zh-CN" w:bidi="ar-SA"/>
        </w:rPr>
        <w:t>将市级救援物资运送到指定应急点。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仿宋_GB2312" w:hAnsi="Calibri" w:eastAsia="仿宋_GB2312"/>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5</w:t>
      </w:r>
      <w:r>
        <w:rPr>
          <w:rFonts w:hint="eastAsia" w:ascii="仿宋" w:hAnsi="仿宋" w:eastAsia="仿宋" w:cs="仿宋"/>
          <w:kern w:val="2"/>
          <w:sz w:val="32"/>
          <w:szCs w:val="32"/>
          <w:lang w:eastAsia="zh-CN" w:bidi="ar-SA"/>
        </w:rPr>
        <w:t>）市教育局：负责组织对危及托幼机构及学校（不含技校，下同）校舍和附属设施安全的地质灾害险情排查、监测和治理工作；指导协调灾害发生时幼儿、幼师及在校师生安全管理和组织疏散，妥善解决灾区学生就学问题；组织开展学生防灾减灾应急知识宣传教育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6</w:t>
      </w:r>
      <w:r>
        <w:rPr>
          <w:rFonts w:hint="eastAsia" w:ascii="仿宋" w:hAnsi="仿宋" w:eastAsia="仿宋" w:cs="仿宋"/>
          <w:kern w:val="2"/>
          <w:sz w:val="32"/>
          <w:szCs w:val="32"/>
          <w:lang w:eastAsia="zh-CN" w:bidi="ar-SA"/>
        </w:rPr>
        <w:t>）市科工商务局：</w:t>
      </w:r>
      <w:r>
        <w:rPr>
          <w:rFonts w:hint="eastAsia" w:ascii="仿宋" w:hAnsi="仿宋" w:eastAsia="仿宋" w:cs="仿宋"/>
          <w:kern w:val="2"/>
          <w:sz w:val="32"/>
          <w:szCs w:val="32"/>
          <w:lang w:val="en-US" w:eastAsia="zh-CN" w:bidi="ar-SA"/>
        </w:rPr>
        <w:t>负责组织科研力量开展地质灾害预测、预报、预警和应急救援的科技创新</w:t>
      </w:r>
      <w:r>
        <w:rPr>
          <w:rFonts w:hint="eastAsia" w:ascii="仿宋" w:hAnsi="仿宋" w:eastAsia="仿宋" w:cs="仿宋"/>
          <w:color w:val="000000" w:themeColor="text1"/>
          <w:kern w:val="2"/>
          <w:sz w:val="32"/>
          <w:szCs w:val="32"/>
          <w:lang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7</w:t>
      </w:r>
      <w:r>
        <w:rPr>
          <w:rFonts w:hint="eastAsia" w:ascii="仿宋" w:hAnsi="仿宋" w:eastAsia="仿宋" w:cs="仿宋"/>
          <w:kern w:val="2"/>
          <w:sz w:val="32"/>
          <w:szCs w:val="32"/>
          <w:lang w:eastAsia="zh-CN" w:bidi="ar-SA"/>
        </w:rPr>
        <w:t>）市公安局：负责组织、指挥参与抢险救灾，配合当地人民政府组织疏散、撤离受地质灾害威胁的人员；组织维护灾区社会治安，实施灾区交通疏导，依法打击灾区违法犯罪活动，有效预防和妥善处置突发地质灾害引发的群体性事件。参与外国和港澳台地区居民及法人在我市遭遇地质灾害的处理工作，协调、安排外宾、港澳台地区和境外救援人员的出入境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8</w:t>
      </w:r>
      <w:r>
        <w:rPr>
          <w:rFonts w:hint="eastAsia" w:ascii="仿宋" w:hAnsi="仿宋" w:eastAsia="仿宋" w:cs="仿宋"/>
          <w:color w:val="000000" w:themeColor="text1"/>
          <w:kern w:val="2"/>
          <w:sz w:val="32"/>
          <w:szCs w:val="32"/>
          <w:lang w:eastAsia="zh-CN" w:bidi="ar-SA"/>
          <w14:textFill>
            <w14:solidFill>
              <w14:schemeClr w14:val="tx1"/>
            </w14:solidFill>
          </w14:textFill>
        </w:rPr>
        <w:t>）市司法局：负责灾区</w:t>
      </w:r>
      <w:r>
        <w:rPr>
          <w:rFonts w:hint="eastAsia" w:ascii="仿宋" w:hAnsi="仿宋" w:eastAsia="仿宋" w:cs="仿宋"/>
          <w:kern w:val="2"/>
          <w:sz w:val="32"/>
          <w:szCs w:val="32"/>
          <w:lang w:eastAsia="zh-CN" w:bidi="ar-SA"/>
        </w:rPr>
        <w:t>司法行政系统特殊单位及群体人员的应急安置工作。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9</w:t>
      </w:r>
      <w:r>
        <w:rPr>
          <w:rFonts w:hint="eastAsia" w:ascii="仿宋" w:hAnsi="仿宋" w:eastAsia="仿宋" w:cs="仿宋"/>
          <w:color w:val="000000" w:themeColor="text1"/>
          <w:kern w:val="2"/>
          <w:sz w:val="32"/>
          <w:szCs w:val="32"/>
          <w:lang w:eastAsia="zh-CN" w:bidi="ar-SA"/>
          <w14:textFill>
            <w14:solidFill>
              <w14:schemeClr w14:val="tx1"/>
            </w14:solidFill>
          </w14:textFill>
        </w:rPr>
        <w:t>）市财政局：做好资金保障工作，统筹安排救灾资金；参与指导灾区政府及有关部门编制灾后恢复重建规划。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color w:val="000000" w:themeColor="text1"/>
          <w:kern w:val="2"/>
          <w:sz w:val="32"/>
          <w:szCs w:val="32"/>
          <w:lang w:eastAsia="zh-CN" w:bidi="ar-SA"/>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10</w:t>
      </w:r>
      <w:r>
        <w:rPr>
          <w:rFonts w:hint="eastAsia" w:ascii="仿宋" w:hAnsi="仿宋" w:eastAsia="仿宋" w:cs="仿宋"/>
          <w:color w:val="000000" w:themeColor="text1"/>
          <w:kern w:val="2"/>
          <w:sz w:val="32"/>
          <w:szCs w:val="32"/>
          <w:lang w:eastAsia="zh-CN" w:bidi="ar-SA"/>
          <w14:textFill>
            <w14:solidFill>
              <w14:schemeClr w14:val="tx1"/>
            </w14:solidFill>
          </w14:textFill>
        </w:rPr>
        <w:t>）市人力资源</w:t>
      </w:r>
      <w:r>
        <w:rPr>
          <w:rFonts w:hint="eastAsia" w:ascii="仿宋" w:hAnsi="仿宋" w:eastAsia="仿宋" w:cs="仿宋"/>
          <w:kern w:val="2"/>
          <w:sz w:val="32"/>
          <w:szCs w:val="32"/>
          <w:lang w:eastAsia="zh-CN" w:bidi="ar-SA"/>
        </w:rPr>
        <w:t>社会保障局：负责组织技工院校开展校园地质灾害风险隐患排查，会同有关部门加强对校园及周边危及校舍及附属设施安全的地质灾害险情进行排查、监测和治理；指导协调灾区技工院校在校师生安全管理和组织疏散，妥善解决灾区学生就学问题；组织开展学生防灾减灾应急知识宣传教育演练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11</w:t>
      </w:r>
      <w:r>
        <w:rPr>
          <w:rFonts w:hint="eastAsia" w:ascii="仿宋" w:hAnsi="仿宋" w:eastAsia="仿宋" w:cs="仿宋"/>
          <w:kern w:val="2"/>
          <w:sz w:val="32"/>
          <w:szCs w:val="32"/>
          <w:lang w:eastAsia="zh-CN" w:bidi="ar-SA"/>
        </w:rPr>
        <w:t>）市自然资源局：</w:t>
      </w:r>
      <w:r>
        <w:rPr>
          <w:rFonts w:hint="eastAsia" w:ascii="仿宋" w:hAnsi="仿宋" w:eastAsia="仿宋" w:cs="仿宋"/>
          <w:sz w:val="32"/>
          <w:szCs w:val="32"/>
          <w:lang w:eastAsia="zh-CN"/>
        </w:rPr>
        <w:t>负责组织开展地质灾害隐患调查、排查；指导地质灾害群测群防、专业监测、预警预报、地质灾害隐患综合治理等工作，组织开展较大以上地质灾害隐患治理工作；承担地质灾害应急救援的技术支撑工作，负责地质灾害成因分析；参与指导灾区政府及在有关部门编制灾后恢复重建规划；协助做好防灾减灾救灾有关用地保障工作；指导各地地质灾害应急抢险治理技术队伍储备库建设</w:t>
      </w:r>
      <w:r>
        <w:rPr>
          <w:rFonts w:hint="eastAsia" w:ascii="仿宋" w:hAnsi="仿宋" w:eastAsia="仿宋" w:cs="仿宋"/>
          <w:kern w:val="2"/>
          <w:sz w:val="32"/>
          <w:szCs w:val="32"/>
          <w:lang w:eastAsia="zh-CN" w:bidi="ar-SA"/>
        </w:rPr>
        <w:t>。</w:t>
      </w:r>
    </w:p>
    <w:p>
      <w:pPr>
        <w:numPr>
          <w:ilvl w:val="0"/>
          <w:numId w:val="0"/>
        </w:num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12</w:t>
      </w:r>
      <w:r>
        <w:rPr>
          <w:rFonts w:hint="eastAsia" w:ascii="仿宋" w:hAnsi="仿宋" w:eastAsia="仿宋" w:cs="仿宋"/>
          <w:kern w:val="2"/>
          <w:sz w:val="32"/>
          <w:szCs w:val="32"/>
          <w:lang w:eastAsia="zh-CN" w:bidi="ar-SA"/>
        </w:rPr>
        <w:t>）梅州市生态环境局兴宁分局：负责灾区突发环境事件的排查、监控与环境影响调查，防止发生环境污染次生灾害；负责地质灾害引发次生突发环境事件的环境监测工作；参与指导灾区政府及有关部门编制灾后重建规划和工程建设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13</w:t>
      </w:r>
      <w:r>
        <w:rPr>
          <w:rFonts w:hint="eastAsia" w:ascii="仿宋" w:hAnsi="仿宋" w:eastAsia="仿宋" w:cs="仿宋"/>
          <w:kern w:val="2"/>
          <w:sz w:val="32"/>
          <w:szCs w:val="32"/>
          <w:lang w:eastAsia="zh-CN" w:bidi="ar-SA"/>
        </w:rPr>
        <w:t>）市住房城乡建设局：负责协调相关部门和单位开放人防工程作为地质灾害应急避护场所；指导各镇（街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）开展房屋建筑、市政基础设施的险情排查、监测和治理；指导评估灾区房屋建筑、市政基础设施的损坏程度，指导处置受损建筑物的安全隐患；指导灾后重建工程建设工作。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14</w:t>
      </w:r>
      <w:r>
        <w:rPr>
          <w:rFonts w:hint="eastAsia" w:ascii="仿宋" w:hAnsi="仿宋" w:eastAsia="仿宋" w:cs="仿宋"/>
          <w:kern w:val="2"/>
          <w:sz w:val="32"/>
          <w:szCs w:val="32"/>
          <w:lang w:eastAsia="zh-CN" w:bidi="ar-SA"/>
        </w:rPr>
        <w:t>）市城市管理和综合执法局：负责做好职责范围内市政公用设施防灾抢险和灾后修复工作。</w:t>
      </w:r>
    </w:p>
    <w:p>
      <w:pPr>
        <w:numPr>
          <w:ilvl w:val="0"/>
          <w:numId w:val="0"/>
        </w:num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15</w:t>
      </w:r>
      <w:r>
        <w:rPr>
          <w:rFonts w:hint="eastAsia" w:ascii="仿宋" w:hAnsi="仿宋" w:eastAsia="仿宋" w:cs="仿宋"/>
          <w:color w:val="auto"/>
          <w:kern w:val="2"/>
          <w:sz w:val="32"/>
          <w:szCs w:val="32"/>
          <w:lang w:eastAsia="zh-CN" w:bidi="ar-SA"/>
        </w:rPr>
        <w:t>）市交通运</w:t>
      </w:r>
      <w:r>
        <w:rPr>
          <w:rFonts w:hint="eastAsia" w:ascii="仿宋" w:hAnsi="仿宋" w:eastAsia="仿宋" w:cs="仿宋"/>
          <w:kern w:val="2"/>
          <w:sz w:val="32"/>
          <w:szCs w:val="32"/>
          <w:lang w:eastAsia="zh-CN" w:bidi="ar-SA"/>
        </w:rPr>
        <w:t>输局</w:t>
      </w:r>
      <w:r>
        <w:rPr>
          <w:rFonts w:hint="eastAsia" w:ascii="仿宋" w:hAnsi="仿宋" w:eastAsia="仿宋" w:cs="仿宋"/>
          <w:color w:val="auto"/>
          <w:kern w:val="2"/>
          <w:sz w:val="32"/>
          <w:szCs w:val="32"/>
          <w:lang w:eastAsia="zh-CN" w:bidi="ar-SA"/>
        </w:rPr>
        <w:t>：负责对公路用地范围内的公路沿线和危害交通干线附属设施的地质灾害险情排查、监测和治理工作；及时组织、指挥、协调抢修损毁的交通设施，保障道路畅通</w:t>
      </w:r>
      <w:r>
        <w:rPr>
          <w:rFonts w:hint="eastAsia" w:ascii="仿宋" w:hAnsi="仿宋" w:eastAsia="仿宋" w:cs="仿宋"/>
          <w:kern w:val="2"/>
          <w:sz w:val="32"/>
          <w:szCs w:val="32"/>
          <w:lang w:eastAsia="zh-CN" w:bidi="ar-SA"/>
        </w:rPr>
        <w:t>；在危险路段设立警示标志；配合做好抢险救灾人员、物资以及撤离人员的紧急运输工作；参与指导灾区政府及有关部门编制灾后重建规划和工程建设指导。</w:t>
      </w:r>
    </w:p>
    <w:p>
      <w:pPr>
        <w:numPr>
          <w:ilvl w:val="0"/>
          <w:numId w:val="0"/>
        </w:num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16</w:t>
      </w:r>
      <w:r>
        <w:rPr>
          <w:rFonts w:hint="eastAsia" w:ascii="仿宋" w:hAnsi="仿宋" w:eastAsia="仿宋" w:cs="仿宋"/>
          <w:kern w:val="2"/>
          <w:sz w:val="32"/>
          <w:szCs w:val="32"/>
          <w:lang w:eastAsia="zh-CN" w:bidi="ar-SA"/>
        </w:rPr>
        <w:t>）市公路事务中心：负责全市省养公路的地质灾害隐患排查治理及灾后公路修复，确保公路的安全畅通。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17</w:t>
      </w:r>
      <w:r>
        <w:rPr>
          <w:rFonts w:hint="eastAsia" w:ascii="仿宋" w:hAnsi="仿宋" w:eastAsia="仿宋" w:cs="仿宋"/>
          <w:kern w:val="2"/>
          <w:sz w:val="32"/>
          <w:szCs w:val="32"/>
          <w:lang w:eastAsia="zh-CN" w:bidi="ar-SA"/>
        </w:rPr>
        <w:t>）市水务局：负责组织对水利工程管理范围内的地质灾害</w:t>
      </w:r>
      <w:r>
        <w:rPr>
          <w:rFonts w:hint="eastAsia" w:ascii="仿宋" w:hAnsi="仿宋" w:eastAsia="仿宋" w:cs="仿宋"/>
          <w:color w:val="auto"/>
          <w:kern w:val="2"/>
          <w:sz w:val="32"/>
          <w:szCs w:val="32"/>
          <w:lang w:eastAsia="zh-CN" w:bidi="ar-SA"/>
        </w:rPr>
        <w:t>险情排查、监测和治理工作；组织水情、汛情监测并对地质灾害损毁水利工程设施进行修复等工作；指导灾区做好供水保障工作。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18</w:t>
      </w:r>
      <w:r>
        <w:rPr>
          <w:rFonts w:hint="eastAsia" w:ascii="仿宋" w:hAnsi="仿宋" w:eastAsia="仿宋" w:cs="仿宋"/>
          <w:kern w:val="2"/>
          <w:sz w:val="32"/>
          <w:szCs w:val="32"/>
          <w:lang w:eastAsia="zh-CN" w:bidi="ar-SA"/>
        </w:rPr>
        <w:t>）市农业农村局：负责组织灾区动物疫病的预防、控制和扑灭工作，加强动物疫情监测，防止和控制动物疫病爆发流行；及时组织开展灾后农牧业查灾、生产恢复和自救工作；参与指导灾区政府及有关部门编制灾后重建规划和工程建设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19</w:t>
      </w:r>
      <w:r>
        <w:rPr>
          <w:rFonts w:hint="eastAsia" w:ascii="仿宋" w:hAnsi="仿宋" w:eastAsia="仿宋" w:cs="仿宋"/>
          <w:kern w:val="2"/>
          <w:sz w:val="32"/>
          <w:szCs w:val="32"/>
          <w:lang w:eastAsia="zh-CN" w:bidi="ar-SA"/>
        </w:rPr>
        <w:t>）市文化广电旅游体育局：负责组织对旅游景区内地质灾害隐患的巡查排查、监测和治理工作；统筹指导旅游景区内受地质灾害损毁的旅游基础设施和服务设施的恢复重建工作；负责组织对广播电视设施、设备周边地质灾害隐患的巡查排查、监测和治理工作；完善灾区广播电视传输覆盖网，建立完善应急广播电视网络，确保公众能及时、准确地获取政府部门发布的权威地质灾害信息。</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20</w:t>
      </w:r>
      <w:r>
        <w:rPr>
          <w:rFonts w:hint="eastAsia" w:ascii="仿宋" w:hAnsi="仿宋" w:eastAsia="仿宋" w:cs="仿宋"/>
          <w:kern w:val="2"/>
          <w:sz w:val="32"/>
          <w:szCs w:val="32"/>
          <w:lang w:eastAsia="zh-CN" w:bidi="ar-SA"/>
        </w:rPr>
        <w:t>）市融媒体中心：负责做好突发地质灾害防治宣传和有关信息传播工作，提高全社会的地质灾害防治意识，正确引导舆论。</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21</w:t>
      </w:r>
      <w:r>
        <w:rPr>
          <w:rFonts w:hint="eastAsia" w:ascii="仿宋" w:hAnsi="仿宋" w:eastAsia="仿宋" w:cs="仿宋"/>
          <w:kern w:val="2"/>
          <w:sz w:val="32"/>
          <w:szCs w:val="32"/>
          <w:lang w:eastAsia="zh-CN" w:bidi="ar-SA"/>
        </w:rPr>
        <w:t>）市卫生健康局：负责组织指导医疗卫生机构对周边地质灾害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22</w:t>
      </w:r>
      <w:r>
        <w:rPr>
          <w:rFonts w:hint="eastAsia" w:ascii="仿宋" w:hAnsi="仿宋" w:eastAsia="仿宋" w:cs="仿宋"/>
          <w:kern w:val="2"/>
          <w:sz w:val="32"/>
          <w:szCs w:val="32"/>
          <w:lang w:eastAsia="zh-CN" w:bidi="ar-SA"/>
        </w:rPr>
        <w:t>）市应急管理局：负责市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指导、协调受灾地人民政府和相关部门做好受灾群众紧急转移安置和生活救助工作，组织协调相关部门调拨救灾款物，做好遇难人员善后工作；组织开展地质灾害灾后调查评估工作；负责提供与突发地质灾害相关的地震监测资料信息，研判分析地震引发地质灾害的变化趋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23</w:t>
      </w:r>
      <w:r>
        <w:rPr>
          <w:rFonts w:hint="eastAsia" w:ascii="仿宋" w:hAnsi="仿宋" w:eastAsia="仿宋" w:cs="仿宋"/>
          <w:kern w:val="2"/>
          <w:sz w:val="32"/>
          <w:szCs w:val="32"/>
          <w:lang w:eastAsia="zh-CN" w:bidi="ar-SA"/>
        </w:rPr>
        <w:t>）市市场监管局：</w:t>
      </w:r>
      <w:r>
        <w:rPr>
          <w:rFonts w:hint="eastAsia" w:ascii="仿宋" w:hAnsi="仿宋" w:eastAsia="仿宋" w:cs="仿宋"/>
          <w:sz w:val="32"/>
          <w:szCs w:val="32"/>
          <w:lang w:eastAsia="zh-CN"/>
        </w:rPr>
        <w:t>负责组织指导灾区做好受灾害影响期间价格监督检查，查处各类价格违法行为；负责协调、指导灾区救灾药品和医疗器械监督检查，协助有关部门保障救灾药品和医疗器械的供应；负责救治药品、医疗器械的质量安全监管，协助相关部门做好灾区药品、医疗器械供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24</w:t>
      </w:r>
      <w:r>
        <w:rPr>
          <w:rFonts w:hint="eastAsia" w:ascii="仿宋" w:hAnsi="仿宋" w:eastAsia="仿宋" w:cs="仿宋"/>
          <w:kern w:val="2"/>
          <w:sz w:val="32"/>
          <w:szCs w:val="32"/>
          <w:lang w:eastAsia="zh-CN" w:bidi="ar-SA"/>
        </w:rPr>
        <w:t>）市政务服务数据管理局：组织协调推进政务数据资源共享和开放，统筹政务数据资源的采集、分类、管理、分析和应用工作，为市指挥部有关决策提供数据分析技术支持。</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）市气象局：负责加强气象实时监测,及时通报灾区重大气象变化,为地质灾害监测预警、应急救援、处置工作提供气象服</w:t>
      </w:r>
      <w:r>
        <w:rPr>
          <w:rFonts w:hint="eastAsia" w:ascii="仿宋" w:hAnsi="仿宋" w:eastAsia="仿宋" w:cs="仿宋"/>
          <w:kern w:val="2"/>
          <w:sz w:val="32"/>
          <w:szCs w:val="32"/>
          <w:lang w:eastAsia="zh-CN" w:bidi="ar-SA"/>
        </w:rPr>
        <w:t>务。</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26</w:t>
      </w:r>
      <w:r>
        <w:rPr>
          <w:rFonts w:hint="eastAsia" w:ascii="仿宋" w:hAnsi="仿宋" w:eastAsia="仿宋" w:cs="仿宋"/>
          <w:sz w:val="32"/>
          <w:szCs w:val="32"/>
          <w:lang w:eastAsia="zh-CN"/>
        </w:rPr>
        <w:t>）市民政局：负责组织、协调相关镇（街</w:t>
      </w:r>
      <w:r>
        <w:rPr>
          <w:rFonts w:hint="eastAsia" w:ascii="仿宋" w:hAnsi="仿宋" w:eastAsia="仿宋" w:cs="仿宋"/>
          <w:sz w:val="32"/>
          <w:szCs w:val="32"/>
          <w:lang w:val="en-US" w:eastAsia="zh-CN"/>
        </w:rPr>
        <w:t>道</w:t>
      </w:r>
      <w:r>
        <w:rPr>
          <w:rFonts w:hint="eastAsia" w:ascii="仿宋" w:hAnsi="仿宋" w:eastAsia="仿宋" w:cs="仿宋"/>
          <w:sz w:val="32"/>
          <w:szCs w:val="32"/>
          <w:lang w:eastAsia="zh-CN"/>
        </w:rPr>
        <w:t>）开展受灾特困群众救助和协调做好死亡人员</w:t>
      </w:r>
      <w:r>
        <w:rPr>
          <w:rFonts w:hint="eastAsia" w:ascii="仿宋" w:hAnsi="仿宋" w:eastAsia="仿宋" w:cs="仿宋"/>
          <w:sz w:val="32"/>
          <w:szCs w:val="32"/>
          <w:lang w:val="en-US" w:eastAsia="zh-CN"/>
        </w:rPr>
        <w:t>及其</w:t>
      </w:r>
      <w:r>
        <w:rPr>
          <w:rFonts w:hint="eastAsia" w:ascii="仿宋" w:hAnsi="仿宋" w:eastAsia="仿宋" w:cs="仿宋"/>
          <w:sz w:val="32"/>
          <w:szCs w:val="32"/>
          <w:lang w:eastAsia="zh-CN"/>
        </w:rPr>
        <w:t>亲属善后工作；负责指导各级民政部门宣传突发地质灾害的预防。</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27</w:t>
      </w:r>
      <w:r>
        <w:rPr>
          <w:rFonts w:hint="eastAsia" w:ascii="仿宋" w:hAnsi="仿宋" w:eastAsia="仿宋" w:cs="仿宋"/>
          <w:color w:val="auto"/>
          <w:kern w:val="2"/>
          <w:sz w:val="32"/>
          <w:szCs w:val="32"/>
          <w:lang w:eastAsia="zh-CN" w:bidi="ar-SA"/>
        </w:rPr>
        <w:t>）市林业局：</w:t>
      </w:r>
      <w:r>
        <w:rPr>
          <w:rFonts w:hint="eastAsia" w:ascii="仿宋" w:hAnsi="仿宋" w:eastAsia="仿宋" w:cs="仿宋"/>
          <w:sz w:val="32"/>
          <w:szCs w:val="32"/>
          <w:lang w:eastAsia="zh-CN"/>
        </w:rPr>
        <w:t>负责组织指导开展森林地质灾害巡护、防灾设施建设、灾情早期处理等工作并督促检查；组织指导国有林场林区开展监测预警、督促检查等防灾工作；及时统计报告全市林业受灾情况；督促指导灾后森林生态修复工作。</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28</w:t>
      </w:r>
      <w:r>
        <w:rPr>
          <w:rFonts w:hint="eastAsia" w:ascii="仿宋" w:hAnsi="仿宋" w:eastAsia="仿宋" w:cs="仿宋"/>
          <w:color w:val="auto"/>
          <w:kern w:val="2"/>
          <w:sz w:val="32"/>
          <w:szCs w:val="32"/>
          <w:lang w:eastAsia="zh-CN" w:bidi="ar-SA"/>
        </w:rPr>
        <w:t>）兴宁火车站：负责组织、协调所辖铁路交通优先运送抢险救灾人员、装备和物资；保障灾区所辖铁路交通运输安全。</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29</w:t>
      </w:r>
      <w:r>
        <w:rPr>
          <w:rFonts w:hint="eastAsia" w:ascii="仿宋" w:hAnsi="仿宋" w:eastAsia="仿宋" w:cs="仿宋"/>
          <w:kern w:val="2"/>
          <w:sz w:val="32"/>
          <w:szCs w:val="32"/>
          <w:lang w:eastAsia="zh-CN" w:bidi="ar-SA"/>
        </w:rPr>
        <w:t>）兴宁供电局：及时组织修复所辖区域受损毁的电网及供电设备，保障所辖灾区应急处置临时供电需求和灾区电力供应。</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30</w:t>
      </w:r>
      <w:r>
        <w:rPr>
          <w:rFonts w:hint="eastAsia" w:ascii="仿宋" w:hAnsi="仿宋" w:eastAsia="仿宋" w:cs="仿宋"/>
          <w:kern w:val="2"/>
          <w:sz w:val="32"/>
          <w:szCs w:val="32"/>
          <w:lang w:eastAsia="zh-CN" w:bidi="ar-SA"/>
        </w:rPr>
        <w:t>）市消防救援大队：组织、指导市内各级消防队伍参与抢险救灾工作；协助灾区政府疏散和营救危险地区群众。</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31</w:t>
      </w:r>
      <w:r>
        <w:rPr>
          <w:rFonts w:hint="eastAsia" w:ascii="仿宋" w:hAnsi="仿宋" w:eastAsia="仿宋" w:cs="仿宋"/>
          <w:color w:val="auto"/>
          <w:kern w:val="2"/>
          <w:sz w:val="32"/>
          <w:szCs w:val="32"/>
          <w:lang w:eastAsia="zh-CN" w:bidi="ar-SA"/>
        </w:rPr>
        <w:t>）市人武部：组织所属部队和民兵参加抢险救灾工作，协助地方政府转移危险地区受威胁群众。</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32</w:t>
      </w:r>
      <w:r>
        <w:rPr>
          <w:rFonts w:hint="eastAsia" w:ascii="仿宋" w:hAnsi="仿宋" w:eastAsia="仿宋" w:cs="仿宋"/>
          <w:kern w:val="2"/>
          <w:sz w:val="32"/>
          <w:szCs w:val="32"/>
          <w:lang w:eastAsia="zh-CN" w:bidi="ar-SA"/>
        </w:rPr>
        <w:t>）武警</w:t>
      </w:r>
      <w:r>
        <w:rPr>
          <w:rFonts w:hint="eastAsia" w:ascii="仿宋" w:hAnsi="仿宋" w:eastAsia="仿宋" w:cs="仿宋"/>
          <w:kern w:val="2"/>
          <w:sz w:val="32"/>
          <w:szCs w:val="32"/>
          <w:lang w:val="en-US" w:eastAsia="zh-CN" w:bidi="ar-SA"/>
        </w:rPr>
        <w:t>兴宁</w:t>
      </w:r>
      <w:r>
        <w:rPr>
          <w:rFonts w:hint="eastAsia" w:ascii="仿宋" w:hAnsi="仿宋" w:eastAsia="仿宋" w:cs="仿宋"/>
          <w:kern w:val="2"/>
          <w:sz w:val="32"/>
          <w:szCs w:val="32"/>
          <w:lang w:eastAsia="zh-CN" w:bidi="ar-SA"/>
        </w:rPr>
        <w:t>中队：组织、指挥所属部队参与抢险救灾工作；协助地方政府维护社会治安和救助受威胁群众。</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33</w:t>
      </w:r>
      <w:r>
        <w:rPr>
          <w:rFonts w:hint="eastAsia" w:ascii="仿宋" w:hAnsi="仿宋" w:eastAsia="仿宋" w:cs="仿宋"/>
          <w:kern w:val="2"/>
          <w:sz w:val="32"/>
          <w:szCs w:val="32"/>
          <w:lang w:eastAsia="zh-CN" w:bidi="ar-SA"/>
        </w:rPr>
        <w:t>）中国电信兴宁分公司、中国移动兴宁分公司、中国联通兴宁分公司、</w:t>
      </w:r>
      <w:r>
        <w:rPr>
          <w:rFonts w:hint="eastAsia" w:ascii="仿宋" w:hAnsi="仿宋" w:eastAsia="仿宋" w:cs="仿宋"/>
          <w:kern w:val="2"/>
          <w:sz w:val="32"/>
          <w:szCs w:val="32"/>
          <w:lang w:val="en-US" w:eastAsia="zh-CN" w:bidi="ar-SA"/>
        </w:rPr>
        <w:t>中国铁塔梅州分公司兴宁区域中心</w:t>
      </w:r>
      <w:r>
        <w:rPr>
          <w:rFonts w:hint="eastAsia" w:ascii="仿宋" w:hAnsi="仿宋" w:eastAsia="仿宋" w:cs="仿宋"/>
          <w:kern w:val="2"/>
          <w:sz w:val="32"/>
          <w:szCs w:val="32"/>
          <w:lang w:eastAsia="zh-CN" w:bidi="ar-SA"/>
        </w:rPr>
        <w:t>：配合相关部门及时、准确发送突发地质灾害预警预报信息，保障应急通信保障。</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34</w:t>
      </w:r>
      <w:r>
        <w:rPr>
          <w:rFonts w:hint="eastAsia" w:ascii="仿宋" w:hAnsi="仿宋" w:eastAsia="仿宋" w:cs="仿宋"/>
          <w:kern w:val="2"/>
          <w:sz w:val="32"/>
          <w:szCs w:val="32"/>
          <w:lang w:eastAsia="zh-CN" w:bidi="ar-SA"/>
        </w:rPr>
        <w:t xml:space="preserve">）团市委：组织青年志愿者队伍参与抢险救灾工作。 </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w:t>
      </w:r>
      <w:r>
        <w:rPr>
          <w:rFonts w:hint="eastAsia" w:ascii="仿宋" w:hAnsi="仿宋" w:eastAsia="仿宋" w:cs="仿宋"/>
          <w:kern w:val="2"/>
          <w:sz w:val="32"/>
          <w:szCs w:val="32"/>
          <w:lang w:val="en-US" w:eastAsia="zh-CN" w:bidi="ar-SA"/>
        </w:rPr>
        <w:t>35</w:t>
      </w:r>
      <w:r>
        <w:rPr>
          <w:rFonts w:hint="eastAsia" w:ascii="仿宋" w:hAnsi="仿宋" w:eastAsia="仿宋" w:cs="仿宋"/>
          <w:kern w:val="2"/>
          <w:sz w:val="32"/>
          <w:szCs w:val="32"/>
          <w:lang w:eastAsia="zh-CN" w:bidi="ar-SA"/>
        </w:rPr>
        <w:t>）市红十字会：负责向社会公开募集灾区救助及灾后重建所需的物资、资金；组织红十字应急救援队伍参与抢险救灾工作。</w:t>
      </w:r>
    </w:p>
    <w:p>
      <w:pPr>
        <w:pStyle w:val="3"/>
        <w:pageBreakBefore w:val="0"/>
        <w:widowControl w:val="0"/>
        <w:kinsoku/>
        <w:wordWrap/>
        <w:overflowPunct/>
        <w:topLinePunct w:val="0"/>
        <w:autoSpaceDE/>
        <w:autoSpaceDN/>
        <w:bidi w:val="0"/>
        <w:adjustRightInd/>
        <w:snapToGrid/>
        <w:spacing w:before="0" w:after="0" w:line="600" w:lineRule="exact"/>
        <w:ind w:firstLine="643" w:firstLineChars="200"/>
        <w:jc w:val="both"/>
        <w:textAlignment w:val="auto"/>
        <w:rPr>
          <w:rFonts w:hint="eastAsia" w:ascii="仿宋" w:hAnsi="仿宋" w:eastAsia="仿宋" w:cs="仿宋"/>
          <w:b/>
          <w:lang w:eastAsia="zh-CN" w:bidi="ar-SA"/>
        </w:rPr>
      </w:pPr>
      <w:bookmarkStart w:id="11" w:name="_Toc25675"/>
      <w:bookmarkStart w:id="12" w:name="_Toc28953"/>
      <w:bookmarkStart w:id="13" w:name="_Toc21872"/>
      <w:bookmarkStart w:id="14" w:name="_Toc14451"/>
      <w:r>
        <w:rPr>
          <w:rFonts w:hint="eastAsia" w:ascii="仿宋" w:hAnsi="仿宋" w:eastAsia="仿宋" w:cs="仿宋"/>
          <w:b/>
          <w:lang w:eastAsia="zh-CN" w:bidi="ar-SA"/>
        </w:rPr>
        <w:t>2.4</w:t>
      </w:r>
      <w:bookmarkEnd w:id="11"/>
      <w:bookmarkEnd w:id="12"/>
      <w:bookmarkEnd w:id="13"/>
      <w:r>
        <w:rPr>
          <w:rFonts w:hint="eastAsia" w:ascii="仿宋" w:hAnsi="仿宋" w:eastAsia="仿宋" w:cs="仿宋"/>
          <w:b/>
          <w:lang w:val="en-US" w:eastAsia="zh-CN" w:bidi="ar-SA"/>
        </w:rPr>
        <w:t xml:space="preserve"> </w:t>
      </w:r>
      <w:r>
        <w:rPr>
          <w:rFonts w:hint="eastAsia" w:ascii="仿宋" w:hAnsi="仿宋" w:eastAsia="仿宋" w:cs="仿宋"/>
          <w:b/>
          <w:lang w:eastAsia="zh-CN" w:bidi="ar-SA"/>
        </w:rPr>
        <w:t>镇（街</w:t>
      </w:r>
      <w:r>
        <w:rPr>
          <w:rFonts w:hint="eastAsia" w:ascii="仿宋" w:hAnsi="仿宋" w:eastAsia="仿宋" w:cs="仿宋"/>
          <w:b/>
          <w:lang w:val="en-US" w:eastAsia="zh-CN" w:bidi="ar-SA"/>
        </w:rPr>
        <w:t>道</w:t>
      </w:r>
      <w:r>
        <w:rPr>
          <w:rFonts w:hint="eastAsia" w:ascii="仿宋" w:hAnsi="仿宋" w:eastAsia="仿宋" w:cs="仿宋"/>
          <w:b/>
          <w:lang w:eastAsia="zh-CN" w:bidi="ar-SA"/>
        </w:rPr>
        <w:t>）地质灾害机构</w:t>
      </w:r>
      <w:bookmarkEnd w:id="14"/>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）按照“上下基本对应”的要求，设立突发地质灾害应急指挥机构，负责组织、协调和指导本行政区域突发地质灾害防治工作。</w:t>
      </w:r>
    </w:p>
    <w:p>
      <w:pPr>
        <w:pStyle w:val="3"/>
        <w:pageBreakBefore w:val="0"/>
        <w:widowControl w:val="0"/>
        <w:kinsoku/>
        <w:wordWrap/>
        <w:overflowPunct/>
        <w:topLinePunct w:val="0"/>
        <w:autoSpaceDE/>
        <w:autoSpaceDN/>
        <w:bidi w:val="0"/>
        <w:adjustRightInd/>
        <w:snapToGrid/>
        <w:spacing w:before="0" w:after="0" w:line="600" w:lineRule="exact"/>
        <w:ind w:firstLine="643" w:firstLineChars="200"/>
        <w:jc w:val="both"/>
        <w:textAlignment w:val="auto"/>
        <w:rPr>
          <w:rFonts w:hint="eastAsia" w:ascii="仿宋" w:hAnsi="仿宋" w:eastAsia="仿宋" w:cs="仿宋"/>
          <w:b/>
          <w:lang w:eastAsia="zh-CN" w:bidi="ar-SA"/>
        </w:rPr>
      </w:pPr>
      <w:bookmarkStart w:id="15" w:name="_Toc18927"/>
      <w:bookmarkStart w:id="16" w:name="_Toc26007"/>
      <w:bookmarkStart w:id="17" w:name="_Toc5959"/>
      <w:bookmarkStart w:id="18" w:name="_Toc25782"/>
      <w:bookmarkStart w:id="19" w:name="_Toc23928"/>
      <w:bookmarkStart w:id="20" w:name="_Toc3560"/>
      <w:bookmarkStart w:id="21" w:name="_Toc9061"/>
      <w:r>
        <w:rPr>
          <w:rFonts w:hint="eastAsia" w:ascii="仿宋" w:hAnsi="仿宋" w:eastAsia="仿宋" w:cs="仿宋"/>
          <w:b/>
          <w:lang w:eastAsia="zh-CN" w:bidi="ar-SA"/>
        </w:rPr>
        <w:t>2.5</w:t>
      </w:r>
      <w:r>
        <w:rPr>
          <w:rFonts w:hint="eastAsia" w:ascii="仿宋" w:hAnsi="仿宋" w:eastAsia="仿宋" w:cs="仿宋"/>
          <w:b/>
          <w:lang w:val="en-US" w:eastAsia="zh-CN" w:bidi="ar-SA"/>
        </w:rPr>
        <w:t xml:space="preserve"> </w:t>
      </w:r>
      <w:r>
        <w:rPr>
          <w:rFonts w:hint="eastAsia" w:ascii="仿宋" w:hAnsi="仿宋" w:eastAsia="仿宋" w:cs="仿宋"/>
          <w:b/>
          <w:lang w:eastAsia="zh-CN" w:bidi="ar-SA"/>
        </w:rPr>
        <w:t>现场指挥部</w:t>
      </w:r>
      <w:bookmarkEnd w:id="15"/>
      <w:bookmarkEnd w:id="16"/>
      <w:bookmarkEnd w:id="17"/>
      <w:bookmarkEnd w:id="18"/>
      <w:bookmarkEnd w:id="19"/>
      <w:bookmarkEnd w:id="20"/>
      <w:bookmarkEnd w:id="21"/>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发生地质灾害时，根据事态发展和应急救援</w:t>
      </w:r>
      <w:r>
        <w:rPr>
          <w:rFonts w:hint="eastAsia" w:ascii="仿宋" w:hAnsi="仿宋" w:eastAsia="仿宋" w:cs="仿宋"/>
          <w:color w:val="000000" w:themeColor="text1"/>
          <w:kern w:val="2"/>
          <w:sz w:val="32"/>
          <w:szCs w:val="32"/>
          <w:lang w:eastAsia="zh-CN" w:bidi="ar-SA"/>
          <w14:textFill>
            <w14:solidFill>
              <w14:schemeClr w14:val="tx1"/>
            </w14:solidFill>
          </w14:textFill>
        </w:rPr>
        <w:t>抢险需要，由市指挥部办公室牵头组</w:t>
      </w:r>
      <w:r>
        <w:rPr>
          <w:rFonts w:hint="eastAsia" w:ascii="仿宋" w:hAnsi="仿宋" w:eastAsia="仿宋" w:cs="仿宋"/>
          <w:kern w:val="2"/>
          <w:sz w:val="32"/>
          <w:szCs w:val="32"/>
          <w:lang w:eastAsia="zh-CN" w:bidi="ar-SA"/>
        </w:rPr>
        <w:t>织成立现场指挥部，负责地质灾害现场救援和抢险工作。现场总指挥由市应急管理局相关负责人担任，现场副总指挥由市自然资源局、市消防救援大队、市人武部等相关负责人担任，各有关单位按照职责参与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现场指挥部主要职责：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（1）决定现场应急处置方案；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（2）指挥、调度现场应急处置力量；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（3）统筹调配现场应急人员和救援物资（包括应急装备、物资、设备等）；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（4）协调有关部门和单位参与现场应急处置；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（5）协调增派处置力量及增加救援物资；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（6）决定依法实施应急征用事项等；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（7）提请上级负责人协调解决现场处置无法协调解决的问题和困难；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（8）其他法律法规规定的职权。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现场指挥部根据需要设立综合信息组、抢险救援组、群众安置与物资保障组、地质灾害监测和防控组、卫生防疫组、社会治安组、基础设施保障组、交通运输组、灾情损失评估组、舆情应对与宣传组、涉外及涉港澳台工作组、恢复重建组，市专家组，各工作组在市指挥部统一指挥下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一</w:t>
      </w:r>
      <w:r>
        <w:rPr>
          <w:rFonts w:hint="eastAsia" w:ascii="仿宋" w:hAnsi="仿宋" w:eastAsia="仿宋" w:cs="仿宋"/>
          <w:b w:val="0"/>
          <w:bCs/>
          <w:kern w:val="2"/>
          <w:sz w:val="32"/>
          <w:szCs w:val="32"/>
          <w:lang w:eastAsia="zh-CN" w:bidi="ar-SA"/>
        </w:rPr>
        <w:t>）综合信息组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kern w:val="2"/>
          <w:sz w:val="32"/>
          <w:szCs w:val="32"/>
          <w:lang w:eastAsia="zh-CN" w:bidi="ar-SA"/>
        </w:rPr>
        <w:t>由市应急管理局牵头，市政府办公室、市自然资源局、市住房城乡建设局、</w:t>
      </w:r>
      <w:r>
        <w:rPr>
          <w:rFonts w:hint="eastAsia" w:ascii="仿宋" w:hAnsi="仿宋" w:eastAsia="仿宋" w:cs="仿宋"/>
          <w:color w:val="auto"/>
          <w:kern w:val="2"/>
          <w:sz w:val="32"/>
          <w:szCs w:val="32"/>
          <w:lang w:eastAsia="zh-CN" w:bidi="ar-SA"/>
        </w:rPr>
        <w:t>市政务服务数据管理局、市消防救援大队等单位参加。在市指挥部的统一部署指挥下，充分运用大数据等信息化手段分析灾害的影响程度并提供市指挥部作为决策参考；汇总、上报险情、灾情和应急处置情况；承担市指挥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（二）抢险救援组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color w:val="auto"/>
          <w:kern w:val="2"/>
          <w:sz w:val="32"/>
          <w:szCs w:val="32"/>
          <w:lang w:eastAsia="zh-CN" w:bidi="ar-SA"/>
        </w:rPr>
        <w:t>由市应急管理局牵头,市消防救援大队、</w:t>
      </w:r>
      <w:r>
        <w:rPr>
          <w:rFonts w:hint="eastAsia" w:ascii="仿宋" w:hAnsi="仿宋" w:eastAsia="仿宋" w:cs="仿宋"/>
          <w:color w:val="auto"/>
          <w:sz w:val="32"/>
          <w:szCs w:val="32"/>
          <w:lang w:eastAsia="zh-CN" w:bidi="ar-SA"/>
        </w:rPr>
        <w:t>武警</w:t>
      </w:r>
      <w:r>
        <w:rPr>
          <w:rFonts w:hint="eastAsia" w:ascii="仿宋" w:hAnsi="仿宋" w:eastAsia="仿宋" w:cs="仿宋"/>
          <w:color w:val="auto"/>
          <w:sz w:val="32"/>
          <w:szCs w:val="32"/>
          <w:lang w:val="en-US" w:eastAsia="zh-CN" w:bidi="ar-SA"/>
        </w:rPr>
        <w:t>兴宁</w:t>
      </w:r>
      <w:r>
        <w:rPr>
          <w:rFonts w:hint="eastAsia" w:ascii="仿宋" w:hAnsi="仿宋" w:eastAsia="仿宋" w:cs="仿宋"/>
          <w:color w:val="auto"/>
          <w:sz w:val="32"/>
          <w:szCs w:val="32"/>
          <w:lang w:eastAsia="zh-CN" w:bidi="ar-SA"/>
        </w:rPr>
        <w:t>中队、市人武部</w:t>
      </w:r>
      <w:r>
        <w:rPr>
          <w:rFonts w:hint="eastAsia" w:ascii="仿宋" w:hAnsi="仿宋" w:eastAsia="仿宋" w:cs="仿宋"/>
          <w:color w:val="auto"/>
          <w:kern w:val="2"/>
          <w:sz w:val="32"/>
          <w:szCs w:val="32"/>
          <w:lang w:eastAsia="zh-CN" w:bidi="ar-SA"/>
        </w:rPr>
        <w:t>等单位参加。在市指挥部的统一部署指挥下，组织指导开展搜索营救被困群众和受伤人员，发动基层干部群众开展自救互救，清理灾区现场，组织救援人员和物资的空运、空投工作，全力保障应急救援现场与市指挥部的通信畅通。确有需要，由市指挥部提请梅州市政府协调救援队</w:t>
      </w:r>
      <w:r>
        <w:rPr>
          <w:rFonts w:hint="eastAsia" w:ascii="仿宋" w:hAnsi="仿宋" w:eastAsia="仿宋" w:cs="仿宋"/>
          <w:kern w:val="2"/>
          <w:sz w:val="32"/>
          <w:szCs w:val="32"/>
          <w:lang w:eastAsia="zh-CN" w:bidi="ar-SA"/>
        </w:rPr>
        <w:t>伍参与抢险救灾工作。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三</w:t>
      </w:r>
      <w:r>
        <w:rPr>
          <w:rFonts w:hint="eastAsia" w:ascii="仿宋" w:hAnsi="仿宋" w:eastAsia="仿宋" w:cs="仿宋"/>
          <w:b w:val="0"/>
          <w:bCs/>
          <w:kern w:val="2"/>
          <w:sz w:val="32"/>
          <w:szCs w:val="32"/>
          <w:lang w:eastAsia="zh-CN" w:bidi="ar-SA"/>
        </w:rPr>
        <w:t>）群众安置与物资保障组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由市应急管理局牵头, 市外事局、市委统战部（市委台港澳办）、市发展改革局、市教育局、市人力资源社会保障局、市财政局、市文化广电旅游局、市市场监管局、团市委、市红十字会等单位参加。在市指挥部的统一部署指挥下，组织指导制订受灾群众救助工作方案以及相应的应急物资和资金保障方案，指导有关地区做好因灾倒塌房屋群众的紧急安置，保障灾区群众基本生活，保障灾区市场供应，协调办理接收国家、外市以及国际捐赠和救助有关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四</w:t>
      </w:r>
      <w:r>
        <w:rPr>
          <w:rFonts w:hint="eastAsia" w:ascii="仿宋" w:hAnsi="仿宋" w:eastAsia="仿宋" w:cs="仿宋"/>
          <w:b w:val="0"/>
          <w:bCs/>
          <w:kern w:val="2"/>
          <w:sz w:val="32"/>
          <w:szCs w:val="32"/>
          <w:lang w:eastAsia="zh-CN" w:bidi="ar-SA"/>
        </w:rPr>
        <w:t>）地质灾害监测和防控组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由市自然资源局牵头, 梅州市生态环境局兴宁分局、市林业局、市水务局、市气象局、市应急管理局等单位参加。在市指挥部的统一部署指挥下，指导开展地质灾害监测和次生灾害防范，调集必要的技术力量和设备，密切监测险情灾情发展，做好地质灾害预警预报工作，及时指导当地政府组织疏散受灾害威胁群众；及时向市指挥部办公室报送灾害监测信息；加强江河水质监测和污染防控，保障重大、重点监测设施运行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五</w:t>
      </w:r>
      <w:r>
        <w:rPr>
          <w:rFonts w:hint="eastAsia" w:ascii="仿宋" w:hAnsi="仿宋" w:eastAsia="仿宋" w:cs="仿宋"/>
          <w:b w:val="0"/>
          <w:bCs/>
          <w:kern w:val="2"/>
          <w:sz w:val="32"/>
          <w:szCs w:val="32"/>
          <w:lang w:eastAsia="zh-CN" w:bidi="ar-SA"/>
        </w:rPr>
        <w:t>）卫生防疫组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由市卫生健康局牵头, 市农业农村局、市市场监管局、团市委、市红十字会等单位参加。在市指挥部的统一部署指挥下，组织做好医疗救助和卫生防疫，组织医疗救护队伍，调集医疗器械、药品，对受伤人员进行救治；对受到心理创伤的群众进行心理疏导；防范和控制各种传染病等疫病的暴发流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六</w:t>
      </w:r>
      <w:r>
        <w:rPr>
          <w:rFonts w:hint="eastAsia" w:ascii="仿宋" w:hAnsi="仿宋" w:eastAsia="仿宋" w:cs="仿宋"/>
          <w:b w:val="0"/>
          <w:bCs/>
          <w:kern w:val="2"/>
          <w:sz w:val="32"/>
          <w:szCs w:val="32"/>
          <w:lang w:eastAsia="zh-CN" w:bidi="ar-SA"/>
        </w:rPr>
        <w:t>）社会治安组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由市公安局牵头, 市司法局、武警</w:t>
      </w:r>
      <w:r>
        <w:rPr>
          <w:rFonts w:hint="eastAsia" w:ascii="仿宋" w:hAnsi="仿宋" w:eastAsia="仿宋" w:cs="仿宋"/>
          <w:b w:val="0"/>
          <w:bCs/>
          <w:kern w:val="2"/>
          <w:sz w:val="32"/>
          <w:szCs w:val="32"/>
          <w:lang w:val="en-US" w:eastAsia="zh-CN" w:bidi="ar-SA"/>
        </w:rPr>
        <w:t>兴宁</w:t>
      </w:r>
      <w:r>
        <w:rPr>
          <w:rFonts w:hint="eastAsia" w:ascii="仿宋" w:hAnsi="仿宋" w:eastAsia="仿宋" w:cs="仿宋"/>
          <w:b w:val="0"/>
          <w:bCs/>
          <w:kern w:val="2"/>
          <w:sz w:val="32"/>
          <w:szCs w:val="32"/>
          <w:lang w:eastAsia="zh-CN" w:bidi="ar-SA"/>
        </w:rPr>
        <w:t>中队、</w:t>
      </w:r>
      <w:r>
        <w:rPr>
          <w:rFonts w:hint="eastAsia" w:ascii="仿宋" w:hAnsi="仿宋" w:eastAsia="仿宋" w:cs="仿宋"/>
          <w:b w:val="0"/>
          <w:bCs/>
          <w:kern w:val="2"/>
          <w:sz w:val="32"/>
          <w:szCs w:val="32"/>
          <w:lang w:val="en-US" w:eastAsia="zh-CN" w:bidi="ar-SA"/>
        </w:rPr>
        <w:t>市</w:t>
      </w:r>
      <w:r>
        <w:rPr>
          <w:rFonts w:hint="eastAsia" w:ascii="仿宋" w:hAnsi="仿宋" w:eastAsia="仿宋" w:cs="仿宋"/>
          <w:b w:val="0"/>
          <w:bCs/>
          <w:kern w:val="2"/>
          <w:sz w:val="32"/>
          <w:szCs w:val="32"/>
          <w:lang w:eastAsia="zh-CN" w:bidi="ar-SA"/>
        </w:rPr>
        <w:t>人武部等单位参加。在市指挥部的统一部署指挥下，负责组织指导灾区加强治安管理和安全保卫工作，预防和打击各种违法犯罪活动，维护社会治安，维护道路交通秩序，加强对党政机关、要害部门、金融单位、物资储备仓库等重要场所的警戒，切实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七</w:t>
      </w:r>
      <w:r>
        <w:rPr>
          <w:rFonts w:hint="eastAsia" w:ascii="仿宋" w:hAnsi="仿宋" w:eastAsia="仿宋" w:cs="仿宋"/>
          <w:b w:val="0"/>
          <w:bCs/>
          <w:kern w:val="2"/>
          <w:sz w:val="32"/>
          <w:szCs w:val="32"/>
          <w:lang w:eastAsia="zh-CN" w:bidi="ar-SA"/>
        </w:rPr>
        <w:t>）基础设施保障组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由市发展改革局牵头, 市科工商务局、市住房城乡建设局、市城</w:t>
      </w:r>
      <w:r>
        <w:rPr>
          <w:rFonts w:hint="eastAsia" w:ascii="仿宋" w:hAnsi="仿宋" w:eastAsia="仿宋" w:cs="仿宋"/>
          <w:b w:val="0"/>
          <w:bCs/>
          <w:kern w:val="2"/>
          <w:sz w:val="32"/>
          <w:szCs w:val="32"/>
          <w:lang w:val="en-US" w:eastAsia="zh-CN" w:bidi="ar-SA"/>
        </w:rPr>
        <w:t>市管理和综合执法</w:t>
      </w:r>
      <w:r>
        <w:rPr>
          <w:rFonts w:hint="eastAsia" w:ascii="仿宋" w:hAnsi="仿宋" w:eastAsia="仿宋" w:cs="仿宋"/>
          <w:b w:val="0"/>
          <w:bCs/>
          <w:kern w:val="2"/>
          <w:sz w:val="32"/>
          <w:szCs w:val="32"/>
          <w:lang w:eastAsia="zh-CN" w:bidi="ar-SA"/>
        </w:rPr>
        <w:t>局、市交通运输局、市水务局、兴宁火车站、兴宁供电局、中国电信兴宁分公司、中国移动兴宁分公司、中国联通兴宁分公司、</w:t>
      </w:r>
      <w:r>
        <w:rPr>
          <w:rFonts w:hint="eastAsia" w:ascii="仿宋" w:hAnsi="仿宋" w:eastAsia="仿宋" w:cs="仿宋"/>
          <w:b w:val="0"/>
          <w:bCs/>
          <w:kern w:val="2"/>
          <w:sz w:val="32"/>
          <w:szCs w:val="32"/>
          <w:lang w:val="en-US" w:eastAsia="zh-CN" w:bidi="ar-SA"/>
        </w:rPr>
        <w:t>中国铁塔梅州分公司兴宁区域中心</w:t>
      </w:r>
      <w:r>
        <w:rPr>
          <w:rFonts w:hint="eastAsia" w:ascii="仿宋" w:hAnsi="仿宋" w:eastAsia="仿宋" w:cs="仿宋"/>
          <w:b w:val="0"/>
          <w:bCs/>
          <w:kern w:val="2"/>
          <w:sz w:val="32"/>
          <w:szCs w:val="32"/>
          <w:lang w:eastAsia="zh-CN" w:bidi="ar-SA"/>
        </w:rPr>
        <w:t>等单位参加。在市指挥部的统一部署指挥下，负责组织铁路、公路、桥梁、隧道等交通设施以及供电、供水、供气、通信等基础设施的抢修和维护；组织调集抢险救援装备，保障灾区抢险救灾应急物资供应。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八</w:t>
      </w:r>
      <w:r>
        <w:rPr>
          <w:rFonts w:hint="eastAsia" w:ascii="仿宋" w:hAnsi="仿宋" w:eastAsia="仿宋" w:cs="仿宋"/>
          <w:b w:val="0"/>
          <w:bCs/>
          <w:kern w:val="2"/>
          <w:sz w:val="32"/>
          <w:szCs w:val="32"/>
          <w:lang w:eastAsia="zh-CN" w:bidi="ar-SA"/>
        </w:rPr>
        <w:t>）交通运输组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由市交通运输局牵头，市公安局、兴宁火车站、市公路事务中心等单位参加。在市指挥部的统一部署指挥下，协调运力，组织疏导交通，优先保证应急抢险救援人员和救灾物资的运输需要。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九</w:t>
      </w:r>
      <w:r>
        <w:rPr>
          <w:rFonts w:hint="eastAsia" w:ascii="仿宋" w:hAnsi="仿宋" w:eastAsia="仿宋" w:cs="仿宋"/>
          <w:b w:val="0"/>
          <w:bCs/>
          <w:kern w:val="2"/>
          <w:sz w:val="32"/>
          <w:szCs w:val="32"/>
          <w:lang w:eastAsia="zh-CN" w:bidi="ar-SA"/>
        </w:rPr>
        <w:t>）灾情损失评估组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由市应急管理局牵头, 市自然资源局、市住房城乡建设局、梅州市生态环境局兴宁分局、市农业农村局、市民政局、市林业局等单位参加。在市指挥部的统一部署指挥下，负责组织开展地质灾害损失评估，调查灾区范围、受灾人口、人员伤亡情况、基础设施破坏程度、地质灾害的社会影响程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十</w:t>
      </w:r>
      <w:r>
        <w:rPr>
          <w:rFonts w:hint="eastAsia" w:ascii="仿宋" w:hAnsi="仿宋" w:eastAsia="仿宋" w:cs="仿宋"/>
          <w:b w:val="0"/>
          <w:bCs/>
          <w:kern w:val="2"/>
          <w:sz w:val="32"/>
          <w:szCs w:val="32"/>
          <w:lang w:eastAsia="zh-CN" w:bidi="ar-SA"/>
        </w:rPr>
        <w:t>）舆情应对与宣传组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由市委宣传部牵头, 市应急管理局、市公安局、市自然资源局、市文化广电旅游局、市融媒体中心等单位参加。在市指挥部的统一部署指挥下，组织召开新闻发布会，发布地质灾害灾情和抢险救灾信息；组织新闻媒体做好抢险救灾宣传报道；及时平息地质灾害灾情险情的谣传、误传，做好舆情监控和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十一</w:t>
      </w:r>
      <w:r>
        <w:rPr>
          <w:rFonts w:hint="eastAsia" w:ascii="仿宋" w:hAnsi="仿宋" w:eastAsia="仿宋" w:cs="仿宋"/>
          <w:b w:val="0"/>
          <w:bCs/>
          <w:kern w:val="2"/>
          <w:sz w:val="32"/>
          <w:szCs w:val="32"/>
          <w:lang w:eastAsia="zh-CN" w:bidi="ar-SA"/>
        </w:rPr>
        <w:t>）涉外及涉港澳台工作组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由市外事局牵头，市委统战部（</w:t>
      </w:r>
      <w:r>
        <w:rPr>
          <w:rFonts w:hint="eastAsia" w:ascii="仿宋" w:hAnsi="仿宋" w:eastAsia="仿宋" w:cs="仿宋"/>
          <w:b w:val="0"/>
          <w:bCs/>
          <w:color w:val="auto"/>
          <w:kern w:val="2"/>
          <w:sz w:val="32"/>
          <w:szCs w:val="32"/>
          <w:lang w:eastAsia="zh-CN" w:bidi="ar-SA"/>
        </w:rPr>
        <w:t>市委台港澳办</w:t>
      </w:r>
      <w:r>
        <w:rPr>
          <w:rFonts w:hint="eastAsia" w:ascii="仿宋" w:hAnsi="仿宋" w:eastAsia="仿宋" w:cs="仿宋"/>
          <w:b w:val="0"/>
          <w:bCs/>
          <w:kern w:val="2"/>
          <w:sz w:val="32"/>
          <w:szCs w:val="32"/>
          <w:lang w:eastAsia="zh-CN" w:bidi="ar-SA"/>
        </w:rPr>
        <w:t>）</w:t>
      </w:r>
      <w:r>
        <w:rPr>
          <w:rFonts w:hint="eastAsia" w:ascii="仿宋" w:hAnsi="仿宋" w:eastAsia="仿宋" w:cs="仿宋"/>
          <w:b w:val="0"/>
          <w:bCs/>
          <w:color w:val="auto"/>
          <w:kern w:val="2"/>
          <w:sz w:val="32"/>
          <w:szCs w:val="32"/>
          <w:lang w:eastAsia="zh-CN" w:bidi="ar-SA"/>
        </w:rPr>
        <w:t>、</w:t>
      </w:r>
      <w:r>
        <w:rPr>
          <w:rFonts w:hint="eastAsia" w:ascii="仿宋" w:hAnsi="仿宋" w:eastAsia="仿宋" w:cs="仿宋"/>
          <w:b w:val="0"/>
          <w:bCs/>
          <w:kern w:val="2"/>
          <w:sz w:val="32"/>
          <w:szCs w:val="32"/>
          <w:lang w:eastAsia="zh-CN" w:bidi="ar-SA"/>
        </w:rPr>
        <w:t>市民政局等单位参加。在市指挥部的统一部署指挥下，负责协调、督促、指导外国和台港澳地区居民及法人在我市遭遇地质灾害的处理工作，协调、安排外宾、台港澳地区和境外来我市救援人员的接待工作；负责协调落实境外人员参与抢险救灾人员和物资装备的通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w:t>
      </w:r>
      <w:r>
        <w:rPr>
          <w:rFonts w:hint="eastAsia" w:ascii="仿宋" w:hAnsi="仿宋" w:eastAsia="仿宋" w:cs="仿宋"/>
          <w:b w:val="0"/>
          <w:bCs/>
          <w:kern w:val="2"/>
          <w:sz w:val="32"/>
          <w:szCs w:val="32"/>
          <w:lang w:val="en-US" w:eastAsia="zh-CN" w:bidi="ar-SA"/>
        </w:rPr>
        <w:t>十二</w:t>
      </w:r>
      <w:r>
        <w:rPr>
          <w:rFonts w:hint="eastAsia" w:ascii="仿宋" w:hAnsi="仿宋" w:eastAsia="仿宋" w:cs="仿宋"/>
          <w:b w:val="0"/>
          <w:bCs/>
          <w:kern w:val="2"/>
          <w:sz w:val="32"/>
          <w:szCs w:val="32"/>
          <w:lang w:eastAsia="zh-CN" w:bidi="ar-SA"/>
        </w:rPr>
        <w:t>）恢复重建组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kern w:val="2"/>
          <w:sz w:val="32"/>
          <w:szCs w:val="32"/>
          <w:lang w:eastAsia="zh-CN" w:bidi="ar-SA"/>
        </w:rPr>
      </w:pPr>
      <w:r>
        <w:rPr>
          <w:rFonts w:hint="eastAsia" w:ascii="仿宋" w:hAnsi="仿宋" w:eastAsia="仿宋" w:cs="仿宋"/>
          <w:b w:val="0"/>
          <w:bCs/>
          <w:kern w:val="2"/>
          <w:sz w:val="32"/>
          <w:szCs w:val="32"/>
          <w:lang w:eastAsia="zh-CN" w:bidi="ar-SA"/>
        </w:rPr>
        <w:t>由市发展改革局牵头, 市财政局、市民政局、市文化广电旅游体育局、市科工商务局、市交通运输局、市自然资源局、梅州市生态环境局兴宁分局、市住房城乡建设局、市农业农村局等单位参加。在市指挥部的统一部署指挥下，指导灾区人民政府编制灾后恢复重建规划，协调灾区恢复重建工作。</w:t>
      </w:r>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hint="eastAsia" w:ascii="仿宋" w:hAnsi="仿宋" w:eastAsia="仿宋" w:cs="仿宋"/>
          <w:b/>
          <w:bCs/>
          <w:lang w:eastAsia="zh-CN" w:bidi="ar-SA"/>
        </w:rPr>
      </w:pPr>
      <w:bookmarkStart w:id="22" w:name="_Toc6265"/>
      <w:r>
        <w:rPr>
          <w:rFonts w:hint="eastAsia" w:ascii="仿宋" w:hAnsi="仿宋" w:eastAsia="仿宋" w:cs="仿宋"/>
          <w:b/>
          <w:bCs/>
          <w:lang w:eastAsia="zh-CN" w:bidi="ar-SA"/>
        </w:rPr>
        <w:t>2.6</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专家组</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市指挥部根据灾情险情需要，从市应急管理专家库中抽调有关专家，组成市专家组，指导开展灾情险情评估，分析地质灾害变化趋势，并提出抢险救灾措施建议，为地质灾害应急救援处置工作提供技术支撑。</w:t>
      </w:r>
    </w:p>
    <w:p>
      <w:pPr>
        <w:pStyle w:val="2"/>
        <w:keepNext/>
        <w:keepLines/>
        <w:pageBreakBefore w:val="0"/>
        <w:widowControl w:val="0"/>
        <w:kinsoku/>
        <w:wordWrap/>
        <w:overflowPunct/>
        <w:topLinePunct w:val="0"/>
        <w:autoSpaceDE/>
        <w:autoSpaceDN/>
        <w:bidi w:val="0"/>
        <w:adjustRightInd/>
        <w:snapToGrid/>
        <w:spacing w:line="600" w:lineRule="atLeast"/>
        <w:ind w:left="0" w:firstLine="640" w:firstLineChars="200"/>
        <w:jc w:val="both"/>
        <w:textAlignment w:val="auto"/>
        <w:rPr>
          <w:rFonts w:ascii="黑体" w:hAnsi="黑体" w:eastAsia="黑体" w:cs="Times New Roman"/>
          <w:b w:val="0"/>
          <w:bCs w:val="0"/>
          <w:kern w:val="44"/>
          <w:sz w:val="32"/>
          <w:szCs w:val="32"/>
          <w:lang w:val="en-US" w:bidi="ar-SA"/>
        </w:rPr>
      </w:pPr>
      <w:bookmarkStart w:id="23" w:name="_Toc24171"/>
      <w:r>
        <w:rPr>
          <w:rFonts w:hint="eastAsia" w:ascii="黑体" w:hAnsi="黑体" w:eastAsia="黑体" w:cs="Times New Roman"/>
          <w:b w:val="0"/>
          <w:bCs w:val="0"/>
          <w:kern w:val="44"/>
          <w:sz w:val="32"/>
          <w:szCs w:val="32"/>
          <w:lang w:val="en-US" w:bidi="ar-SA"/>
        </w:rPr>
        <w:t>3</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预防、监测与预警</w:t>
      </w:r>
      <w:bookmarkEnd w:id="23"/>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hint="eastAsia" w:ascii="仿宋" w:hAnsi="仿宋" w:eastAsia="仿宋" w:cs="仿宋"/>
          <w:b/>
          <w:bCs/>
          <w:lang w:eastAsia="zh-CN" w:bidi="ar-SA"/>
        </w:rPr>
      </w:pPr>
      <w:bookmarkStart w:id="24" w:name="_Toc2138"/>
      <w:r>
        <w:rPr>
          <w:rFonts w:hint="eastAsia" w:ascii="仿宋" w:hAnsi="仿宋" w:eastAsia="仿宋" w:cs="仿宋"/>
          <w:b/>
          <w:bCs/>
          <w:lang w:eastAsia="zh-CN" w:bidi="ar-SA"/>
        </w:rPr>
        <w:t>3.1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预防</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编制年度地质灾害防治方案。市自然资源部门在开展地质灾害调查的基础上，会同市指挥部有关成员单位，依据地质灾害防治规划，结合气象预测信息，每年年初拟订年度地质灾害防治方案，报经市人民政府批准后公布实施；也可依据市人民政府批准的跨年度防治方案（如地质灾害防治三年行动方案）组织实施。</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建立地质灾害监测系统。市自然资源部门要会同住房城乡建设、交通运输、水务、教育、卫生健康、人力资源、文化广电旅游体育、铁路等部门，根据本地区地质灾害区、隐患点和风险点，建立健全地质灾害群测群防网络和专业监测网络，形成覆盖全市的地质灾害监测系统。</w:t>
      </w:r>
      <w:r>
        <w:rPr>
          <w:rFonts w:hint="eastAsia" w:ascii="仿宋" w:hAnsi="仿宋" w:eastAsia="仿宋" w:cs="仿宋"/>
          <w:kern w:val="2"/>
          <w:sz w:val="32"/>
          <w:szCs w:val="32"/>
          <w:lang w:eastAsia="zh-CN" w:bidi="ar-SA"/>
        </w:rPr>
        <w:br w:type="textWrapping"/>
      </w:r>
      <w:r>
        <w:rPr>
          <w:rFonts w:hint="eastAsia" w:ascii="仿宋_GB2312" w:hAnsi="Calibri" w:eastAsia="仿宋_GB2312"/>
          <w:kern w:val="2"/>
          <w:sz w:val="32"/>
          <w:szCs w:val="32"/>
          <w:lang w:eastAsia="zh-CN" w:bidi="ar-SA"/>
        </w:rPr>
        <w:t>　　</w:t>
      </w:r>
      <w:r>
        <w:rPr>
          <w:rFonts w:hint="eastAsia" w:ascii="仿宋" w:hAnsi="仿宋" w:eastAsia="仿宋" w:cs="仿宋"/>
          <w:kern w:val="2"/>
          <w:sz w:val="32"/>
          <w:szCs w:val="32"/>
          <w:lang w:eastAsia="zh-CN" w:bidi="ar-SA"/>
        </w:rPr>
        <w:t>（3）发放“防灾明白卡”。市政府应将当地地质灾害区、隐患点和风险点的群测群防工作落实到各镇（街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）以及村（</w:t>
      </w:r>
      <w:r>
        <w:rPr>
          <w:rFonts w:hint="eastAsia" w:ascii="仿宋" w:hAnsi="仿宋" w:eastAsia="仿宋" w:cs="仿宋"/>
          <w:kern w:val="2"/>
          <w:sz w:val="32"/>
          <w:szCs w:val="32"/>
          <w:lang w:val="en-US" w:eastAsia="zh-CN" w:bidi="ar-SA"/>
        </w:rPr>
        <w:t>居</w:t>
      </w:r>
      <w:r>
        <w:rPr>
          <w:rFonts w:hint="eastAsia" w:ascii="仿宋" w:hAnsi="仿宋" w:eastAsia="仿宋" w:cs="仿宋"/>
          <w:kern w:val="2"/>
          <w:sz w:val="32"/>
          <w:szCs w:val="32"/>
          <w:lang w:eastAsia="zh-CN" w:bidi="ar-SA"/>
        </w:rPr>
        <w:t>），并将涉及地质灾害防范措施的“防治工作明白卡”和“防灾避险明白卡”分别发放到受灾害隐患威胁的单位、居民以及防灾责任人。</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4）鼓励报灾报险。鼓励、支持群众和单位通过信件、电话、短信等各种形式向市人民政府及其主管部门、有关地质灾害防治机构报告地质灾害信息。有关监测单位或监测人发现地质灾害灾情或险情时，要按照突发地质灾害分级标准报告相关自然资源部门或应急管理部门，自然资源部门或应急管理部门要及时共享灾情险情信息。</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25" w:name="_Toc20780"/>
      <w:r>
        <w:rPr>
          <w:rFonts w:hint="eastAsia" w:ascii="仿宋" w:hAnsi="仿宋" w:eastAsia="仿宋" w:cs="仿宋"/>
          <w:b/>
          <w:bCs/>
          <w:lang w:eastAsia="zh-CN" w:bidi="ar-SA"/>
        </w:rPr>
        <w:t>3.2</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监测与评估</w:t>
      </w:r>
      <w:bookmarkEnd w:id="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（1）市政府及镇（街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要充分发挥地质灾害群测群防和专业监测网络的作用，每年汛期前，自然资源、住房城乡建设、交通运输、水务、铁路等单位根据职责开展地质灾害隐患巡查、排查，发现险情及时报告上级主管部门或市自然资源部门，落实监测单位和监测人；汛中、汛后定期或不定期开展检查，加强对地质灾害重点地区的监测和防范。</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应急管理部门应向社会公布报灾电话。接到一般及以上地质灾害灾情信息后，要迅速组织处理，并将情况报告市指挥部办公室和市自然资源局。市指挥部办公室接到报警后，要初步核实灾情，及时研判，并报告市人民政府。必要时，市应急管理局会同市自然资源局立即派员赶赴灾害现场，进一步查明情况，指导、协助属地人民政府妥善开展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（3）自然资源部门要会同有关单位建立健全突发地质灾害风险评估机制，定期或不定期组织对突发地质灾害风险进行评估，明确突发地质灾害防范和应对措施。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（4）地质灾害风险主要包括危害人民群众生命安全风险，破坏城镇、农村、企业、房屋等重要建筑设施及室内财产风险，破坏生命线工程风险，破坏水利工程风险，破坏森林、树木、农作物及土地资源风险等。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1）人民群众生命安全风险。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主要包括城镇、农村居民等人民群众生命安全风险，要特别关注儿童、老人、残病、流动人口等特殊人群的生命安全风险情况。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2）建筑物、基础设施、公共设施、学校校舍风险。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主要包括城镇居民住宅、农村住宅、宾馆、饭店、公寓、商店、学校、医院、机关、部队营房、工业厂房、仓库等各种重要建筑设施及附属设施风险，同时包括建筑设施内的物资风险。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3）生命线工程风险。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主要包括铁路、公路、航道、通信、供水、排水、供电、供气、输油以及桥梁、涵洞、隧道等生命线工程风险。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4）水利工程风险。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主要包括水库（水电站）、堤防、水闸、泵站、农村供水设施等风险。</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26" w:name="_Toc13575"/>
      <w:r>
        <w:rPr>
          <w:rFonts w:hint="eastAsia" w:ascii="仿宋" w:hAnsi="仿宋" w:eastAsia="仿宋" w:cs="仿宋"/>
          <w:b/>
          <w:bCs/>
          <w:lang w:eastAsia="zh-CN" w:bidi="ar-SA"/>
        </w:rPr>
        <w:t>3.3</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预警</w:t>
      </w:r>
      <w:bookmarkEnd w:id="2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自然资源部门应加强与应急管理、气象部门等气象测报单位联合开展地质灾害气象风险预警测报工作。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kern w:val="2"/>
          <w:sz w:val="32"/>
          <w:szCs w:val="32"/>
          <w:lang w:eastAsia="zh-CN" w:bidi="ar-SA"/>
        </w:rPr>
        <w:t>（1）预警级别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地质灾害气象风险预警分四个级别：Ⅳ级为有一般风险；Ⅲ级为风险较高；Ⅱ级为风险高；Ⅰ级为风险很高；分别对应蓝色、黄色、橙色、红色。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Ⅳ级（蓝色）预警：预计山体崩塌、滑坡、泥石流、地面塌陷等突发地质灾害发生有一般风险。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Ⅲ级（黄色）预警：预计山体崩塌、滑坡、泥石流、地面塌陷等突发地质灾害发生的风险较高。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Ⅱ级（橙色）预警：预计山体崩塌、滑坡、泥石流、地面塌陷等突发地质灾害发生的风险高。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Ⅰ级（红色）预警：预计山体崩塌、滑坡、泥石流、地面塌陷等突发地质灾害发生的风险很高。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（2）预警信息发布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自然资源局会同市气象局联合开展地质灾害气象风险预报预警。三级、四级预报预警信息由市自然资源局会同市气象局联合发布，二级以上预报预警信息经市应急管理局审定后，由市应急管理局、市自然资源局和市气象局联合发布，由</w:t>
      </w:r>
      <w:r>
        <w:rPr>
          <w:rFonts w:hint="eastAsia" w:ascii="仿宋" w:hAnsi="仿宋" w:eastAsia="仿宋" w:cs="仿宋"/>
          <w:kern w:val="2"/>
          <w:sz w:val="32"/>
          <w:szCs w:val="32"/>
          <w:lang w:val="en-US" w:eastAsia="zh-CN" w:bidi="ar-SA"/>
        </w:rPr>
        <w:t>市自然资源局和市气象局组织实施</w:t>
      </w:r>
      <w:r>
        <w:rPr>
          <w:rFonts w:hint="eastAsia" w:ascii="仿宋" w:hAnsi="仿宋" w:eastAsia="仿宋" w:cs="仿宋"/>
          <w:kern w:val="2"/>
          <w:sz w:val="32"/>
          <w:szCs w:val="32"/>
          <w:lang w:eastAsia="zh-CN" w:bidi="ar-SA"/>
        </w:rPr>
        <w:t>，同时通报市指挥部办公室。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（3）预警信息发布内容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预警信息发布内容主要包括：地质灾害可能发生的时间、地点、成灾范围、危险程度和应采取的防范措施等。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（4）预警信息发布方式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地质灾害气象风险预警信息通过预警信息发布系统、OA系统、传真、电话、手机短信等形式对公众以及各部门和单位发布；可通过利用广播电视、手机短信、电子显示屏、警报器、宣传车、高音喇叭、逐户通知等各种手段，及时、准确地将地质灾害气象风险预警信息转发给基层工作人员和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（5）预警信息的调整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市自然资源局会同市气象局、市应急管理局结合地质灾害气象预测信息和地质环境条件，适时调整地质灾害气象风险预警信息。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（6）预警行动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预警信息发布后，预警区域内的镇（街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）、村（</w:t>
      </w:r>
      <w:r>
        <w:rPr>
          <w:rFonts w:hint="eastAsia" w:ascii="仿宋" w:hAnsi="仿宋" w:eastAsia="仿宋" w:cs="仿宋"/>
          <w:kern w:val="2"/>
          <w:sz w:val="32"/>
          <w:szCs w:val="32"/>
          <w:lang w:val="en-US" w:eastAsia="zh-CN" w:bidi="ar-SA"/>
        </w:rPr>
        <w:t>居</w:t>
      </w:r>
      <w:r>
        <w:rPr>
          <w:rFonts w:hint="eastAsia" w:ascii="仿宋" w:hAnsi="仿宋" w:eastAsia="仿宋" w:cs="仿宋"/>
          <w:kern w:val="2"/>
          <w:sz w:val="32"/>
          <w:szCs w:val="32"/>
          <w:lang w:eastAsia="zh-CN" w:bidi="ar-SA"/>
        </w:rPr>
        <w:t>）立即将有关信息通知到地质灾害危险点的防灾责任人、监测人和受威胁的人员；受灾害威胁单位要对照“防灾明白卡”和“避险明白卡”的要求，协调做好各项应急准备工作。</w:t>
      </w:r>
    </w:p>
    <w:p>
      <w:pPr>
        <w:pStyle w:val="2"/>
        <w:keepNext/>
        <w:keepLines/>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cs="Times New Roman"/>
          <w:b w:val="0"/>
          <w:bCs w:val="0"/>
          <w:kern w:val="44"/>
          <w:sz w:val="32"/>
          <w:szCs w:val="32"/>
          <w:lang w:val="en-US" w:bidi="ar-SA"/>
        </w:rPr>
      </w:pPr>
      <w:bookmarkStart w:id="27" w:name="_Toc22508"/>
      <w:r>
        <w:rPr>
          <w:rFonts w:hint="eastAsia" w:ascii="黑体" w:hAnsi="黑体" w:eastAsia="黑体" w:cs="Times New Roman"/>
          <w:b w:val="0"/>
          <w:bCs w:val="0"/>
          <w:kern w:val="44"/>
          <w:sz w:val="32"/>
          <w:szCs w:val="32"/>
          <w:lang w:val="en-US" w:bidi="ar-SA"/>
        </w:rPr>
        <w:t>4</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应急响应</w:t>
      </w:r>
      <w:bookmarkEnd w:id="27"/>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28" w:name="_Toc10127"/>
      <w:r>
        <w:rPr>
          <w:rFonts w:hint="eastAsia" w:ascii="仿宋" w:hAnsi="仿宋" w:eastAsia="仿宋" w:cs="仿宋"/>
          <w:b/>
          <w:bCs/>
          <w:lang w:eastAsia="zh-CN" w:bidi="ar-SA"/>
        </w:rPr>
        <w:t>4.1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先期处置</w:t>
      </w:r>
      <w:bookmarkEnd w:id="2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eastAsia="zh-CN" w:bidi="ar-SA"/>
        </w:rPr>
        <w:t>灾区各级应急（救援）指挥机构要按照地质灾害应急预案和上级有关部署，组织实施本行政区域应急救援工作；立即发动基层干部群众开展自救互救，组织基层抢险救援队伍开展人员搜救和医疗救护；开放应急避护场所，及时转移、安置受灾群众；防范次生灾害，维护社会治安。必要时，向上级提出援助请求。</w:t>
      </w:r>
    </w:p>
    <w:p>
      <w:pPr>
        <w:pStyle w:val="4"/>
        <w:spacing w:line="600" w:lineRule="exact"/>
        <w:ind w:firstLine="643" w:firstLineChars="200"/>
        <w:jc w:val="both"/>
        <w:rPr>
          <w:rFonts w:hint="eastAsia" w:ascii="仿宋" w:hAnsi="仿宋" w:eastAsia="仿宋" w:cs="仿宋"/>
          <w:kern w:val="2"/>
          <w:sz w:val="32"/>
          <w:lang w:eastAsia="zh-CN" w:bidi="ar-SA"/>
        </w:rPr>
      </w:pPr>
      <w:bookmarkStart w:id="29" w:name="_Toc25764"/>
      <w:r>
        <w:rPr>
          <w:rFonts w:hint="eastAsia" w:ascii="仿宋" w:hAnsi="仿宋" w:eastAsia="仿宋" w:cs="仿宋"/>
          <w:kern w:val="2"/>
          <w:sz w:val="32"/>
          <w:lang w:eastAsia="zh-CN" w:bidi="ar-SA"/>
        </w:rPr>
        <w:t>4.1.1</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信息报告</w:t>
      </w:r>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（1）报告时限。事发</w:t>
      </w:r>
      <w:r>
        <w:rPr>
          <w:rFonts w:hint="eastAsia" w:ascii="仿宋" w:hAnsi="仿宋" w:eastAsia="仿宋" w:cs="仿宋"/>
          <w:kern w:val="2"/>
          <w:sz w:val="32"/>
          <w:szCs w:val="32"/>
          <w:lang w:val="en-US" w:eastAsia="zh-CN" w:bidi="ar-SA"/>
        </w:rPr>
        <w:t>镇</w:t>
      </w:r>
      <w:r>
        <w:rPr>
          <w:rFonts w:hint="eastAsia" w:ascii="仿宋" w:hAnsi="仿宋" w:eastAsia="仿宋" w:cs="仿宋"/>
          <w:kern w:val="2"/>
          <w:sz w:val="32"/>
          <w:szCs w:val="32"/>
          <w:lang w:eastAsia="zh-CN" w:bidi="ar-SA"/>
        </w:rPr>
        <w:t>人民政府（</w:t>
      </w:r>
      <w:r>
        <w:rPr>
          <w:rFonts w:hint="eastAsia" w:ascii="仿宋" w:hAnsi="仿宋" w:eastAsia="仿宋" w:cs="仿宋"/>
          <w:kern w:val="2"/>
          <w:sz w:val="32"/>
          <w:szCs w:val="32"/>
          <w:lang w:val="en-US" w:eastAsia="zh-CN" w:bidi="ar-SA"/>
        </w:rPr>
        <w:t>街道办事处</w:t>
      </w:r>
      <w:r>
        <w:rPr>
          <w:rFonts w:hint="eastAsia" w:ascii="仿宋" w:hAnsi="仿宋" w:eastAsia="仿宋" w:cs="仿宋"/>
          <w:kern w:val="2"/>
          <w:sz w:val="32"/>
          <w:szCs w:val="32"/>
          <w:lang w:eastAsia="zh-CN" w:bidi="ar-SA"/>
        </w:rPr>
        <w:t>）及其有关部门按照规定报告地质灾害灾情险情。其中，接到一般及以上地质灾害报告后，要立即向上级党委、政府及其主管部门报告，同时抄报上级政府应急管理、自然资源部门，最迟不得超过1小时。特殊情况下，可直接报告市应急管理局、市自然资源局。市应急管理局接到特别重大、重大、较大地质灾害报告后1小时内要速报市委、市政府、梅州市应急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报告内容。突发地质灾害以“突发事件信息专报”形式上报，内容主要包括：地质灾害险情或灾情发生时间、地点，地质灾害类型、灾害体规模，灾害造成死亡、失踪或受伤人数，影响范围、引发因素和发展趋势，已采取的对策措施等。</w:t>
      </w:r>
    </w:p>
    <w:p>
      <w:pPr>
        <w:pStyle w:val="4"/>
        <w:spacing w:line="600" w:lineRule="exact"/>
        <w:ind w:firstLine="643" w:firstLineChars="200"/>
        <w:jc w:val="both"/>
        <w:rPr>
          <w:rFonts w:hint="eastAsia" w:ascii="仿宋" w:hAnsi="仿宋" w:eastAsia="仿宋" w:cs="仿宋"/>
          <w:kern w:val="2"/>
          <w:sz w:val="32"/>
          <w:lang w:eastAsia="zh-CN" w:bidi="ar-SA"/>
        </w:rPr>
      </w:pPr>
      <w:bookmarkStart w:id="30" w:name="_Toc27288"/>
      <w:r>
        <w:rPr>
          <w:rFonts w:hint="eastAsia" w:ascii="仿宋" w:hAnsi="仿宋" w:eastAsia="仿宋" w:cs="仿宋"/>
          <w:kern w:val="2"/>
          <w:sz w:val="32"/>
          <w:lang w:eastAsia="zh-CN" w:bidi="ar-SA"/>
        </w:rPr>
        <w:t>4.1.2</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灾区监测</w:t>
      </w:r>
      <w:bookmarkEnd w:id="3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根据突发地质灾害应急救援工作需要，市自然资源局组织专业技术人员，对灾区的地质灾害类型、发展趋势提出研判意见；加密灾区监测网，加强对次生地质灾害监测预警。市气象局加强对灾区的气象监测，密切关注灾区重大天气变化。市水务局组织水情、汛情监测。灾区所在地应急（救援）指挥机构安排专业力量加强空气、水源、土壤污染监测，减轻或消除污染危害。</w:t>
      </w:r>
    </w:p>
    <w:p>
      <w:pPr>
        <w:pStyle w:val="3"/>
        <w:keepNext/>
        <w:keepLines/>
        <w:pageBreakBefore w:val="0"/>
        <w:widowControl w:val="0"/>
        <w:kinsoku/>
        <w:wordWrap/>
        <w:overflowPunct/>
        <w:topLinePunct w:val="0"/>
        <w:autoSpaceDE/>
        <w:autoSpaceDN/>
        <w:bidi w:val="0"/>
        <w:adjustRightInd/>
        <w:snapToGrid/>
        <w:spacing w:before="0" w:after="0" w:line="600" w:lineRule="atLeast"/>
        <w:ind w:firstLine="643" w:firstLineChars="200"/>
        <w:textAlignment w:val="auto"/>
        <w:rPr>
          <w:rFonts w:hint="eastAsia" w:ascii="仿宋" w:hAnsi="仿宋" w:eastAsia="仿宋" w:cs="仿宋"/>
          <w:b/>
          <w:bCs/>
          <w:color w:val="auto"/>
          <w:lang w:eastAsia="zh-CN" w:bidi="ar-SA"/>
        </w:rPr>
      </w:pPr>
      <w:bookmarkStart w:id="31" w:name="_Toc7569"/>
      <w:r>
        <w:rPr>
          <w:rFonts w:hint="eastAsia" w:ascii="仿宋" w:hAnsi="仿宋" w:eastAsia="仿宋" w:cs="仿宋"/>
          <w:b/>
          <w:bCs/>
          <w:color w:val="auto"/>
          <w:lang w:eastAsia="zh-CN" w:bidi="ar-SA"/>
        </w:rPr>
        <w:t>4.2</w:t>
      </w:r>
      <w:r>
        <w:rPr>
          <w:rFonts w:hint="eastAsia" w:ascii="仿宋" w:hAnsi="仿宋" w:eastAsia="仿宋" w:cs="仿宋"/>
          <w:b/>
          <w:bCs/>
          <w:color w:val="auto"/>
          <w:lang w:val="en-US" w:eastAsia="zh-CN" w:bidi="ar-SA"/>
        </w:rPr>
        <w:t xml:space="preserve"> </w:t>
      </w:r>
      <w:r>
        <w:rPr>
          <w:rFonts w:hint="eastAsia" w:ascii="仿宋" w:hAnsi="仿宋" w:eastAsia="仿宋" w:cs="仿宋"/>
          <w:b/>
          <w:bCs/>
          <w:color w:val="auto"/>
          <w:lang w:eastAsia="zh-CN" w:bidi="ar-SA"/>
        </w:rPr>
        <w:t>响应启动</w:t>
      </w:r>
      <w:bookmarkEnd w:id="31"/>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按照地质灾害影响范围、严重程度等，地质灾害应急响应分为I级、II级、III级和Ⅳ级四个等级。</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（1）I级响应。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发生30人以上死亡（含失踪）的地质灾害，或者发生直接威胁人数在800人以上的地质灾害险情，在国务院地质灾害应急指挥机构（以下简称国务院指挥机构）统一领导下，由省指挥部领导灾区应急救援工作。市指挥部立即组织指挥部成员和专家开展分析研判，对地质灾害影响及其发展趋势进行综合评估，根据分析研判结果，报请市政府立即启动I级响应，由市政府发布紧急动员令，向各有关单位发布启动相关应急程序的命令，并报告梅州市指挥机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政府主要领导按照上级应急指挥部要求参与指挥应急救援工作。市指挥部成员单位派员到市指挥部参与联合值守，随时报告各部门、各行业灾情信息。市政府主要领导或委托市指挥部指挥长带领工作组赶赴灾区，在上级指挥机构领导、指挥和协调下，做好各项应急救援工作，并将有关情况迅速报告市委、市政府及梅州市应急管理局。各有关部门按照各自职责及时做好现场抢险救灾、应急队伍保障、交通运输保障、医疗保障、物资保障、通讯保障、电力保障、治安保障、生活保障、安置保障、善后处置和信息报送等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（2）II级响应。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发生10人以上、30人以下死亡（含失踪）的地质灾害，或者发生直接威胁人数为400人以上、800人以下的地质灾害险情，由省指挥部领导灾区应急救援工作。市指挥部立即组织指挥部成员和专家开展分析研判，对地质灾害影响及其发展趋势进行综合评估，根据分析研判结果，市指挥部报请市人民政府立即启动II级响应，向各有关单位发布启动相关应急程序的命令。</w:t>
      </w:r>
      <w:r>
        <w:rPr>
          <w:rFonts w:hint="eastAsia" w:ascii="仿宋" w:hAnsi="仿宋" w:eastAsia="仿宋" w:cs="仿宋"/>
          <w:sz w:val="32"/>
          <w:szCs w:val="32"/>
          <w:lang w:eastAsia="zh-CN"/>
        </w:rPr>
        <w:t>并报告梅州市</w:t>
      </w:r>
      <w:r>
        <w:rPr>
          <w:rFonts w:hint="eastAsia" w:ascii="仿宋" w:hAnsi="仿宋" w:eastAsia="仿宋" w:cs="仿宋"/>
          <w:kern w:val="2"/>
          <w:sz w:val="32"/>
          <w:szCs w:val="32"/>
          <w:lang w:eastAsia="zh-CN" w:bidi="ar-SA"/>
        </w:rPr>
        <w:t>指挥机构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sz w:val="32"/>
          <w:szCs w:val="32"/>
          <w:lang w:eastAsia="zh-CN"/>
        </w:rPr>
        <w:t>市政府主要领导到市指挥部指挥中心坐镇指挥应急救援工作。</w:t>
      </w:r>
      <w:r>
        <w:rPr>
          <w:rFonts w:hint="eastAsia" w:ascii="仿宋" w:hAnsi="仿宋" w:eastAsia="仿宋" w:cs="仿宋"/>
          <w:kern w:val="2"/>
          <w:sz w:val="32"/>
          <w:szCs w:val="32"/>
          <w:lang w:eastAsia="zh-CN" w:bidi="ar-SA"/>
        </w:rPr>
        <w:t>市指挥部成员单位派员到市指挥部参与联合值守，随时报告各部门、各行业灾情信息。市指挥部指挥长或委托副指挥长带领工作组赶赴灾区，在上级指挥机构领导、指挥和协调下，做好各项应急救援工作，并将有关情况迅速报告市委、市政府及梅州市应急管理局。各有关部门按照各自职责及时做好现场抢险救灾、应急队伍保障、交通运输保障、医疗保障、物资保障、通讯保障、电力保障、治安保障、生活保障、安置保障、善后处置和信息报送等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（3）III级响应。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发生3人以上、10人以下死亡（含失踪）的地质灾害，或者发生直接威胁人数为100人以上、400人以下的地质灾害险情，在上级指挥部的支持下,由市指挥部领导灾区应急救援工作。市指挥部立即组织指挥部有关成员和专家开展分析研判，对地质灾害影响及其发展趋势进行综合评估，根据分析研判结果，由市指挥部报请市政府立即启动III级响应，向各有关单位发布启动相关应急程序的命令。</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 xml:space="preserve">市指挥部指挥长到市指挥部指挥中心坐镇指挥应急救援工作。市指挥部有关成员单位派员到市指挥部参与联合值守，随时报告灾情信息。市指挥部副指挥长带领工作组赶赴灾区，指导协调应急救援工作，并将有关情况迅速报告市委、市政府及梅州市应急管理局。各有关部门按照各自职责及时做好现场抢险救灾、应急队伍保障、交通运输保障、医疗保障、物资保障、通讯保障、电力保障、治安保障、生活保障、安置保障、善后处置和信息报送等工作。 </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（4）Ⅳ级响应。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发生3人以下死亡（含失踪）的地质灾害，或者发生直接威胁人数为10人以上、100人以下的地质灾害险情，在上级指挥部的支持下,由市指挥部领导灾区应急救援工作。市指挥部立即组织指挥部有关成员和专家开展分析研判，对地质灾害影响及其发展趋势进行综合评估，根据分析研判结果，由市指挥部副指挥长（市应急管理局局长）请示指挥长立即启动Ⅳ级响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 xml:space="preserve">市指挥部副指挥长（市应急管理局局长）到市指挥部指挥中心坐镇指挥应急救援工作。市指挥部有关成员单位派员到市指挥部参与联合值守，随时报告灾情信息。市指挥部委托办公室主任带领工作组赶赴灾区，指导协调应急救援工作，并将开展应急救援工作进展情况报告市委、市政府和梅州市应急管理部。 </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32" w:name="_Toc221"/>
      <w:r>
        <w:rPr>
          <w:rFonts w:hint="eastAsia" w:ascii="仿宋" w:hAnsi="仿宋" w:eastAsia="仿宋" w:cs="仿宋"/>
          <w:b/>
          <w:bCs/>
          <w:lang w:eastAsia="zh-CN" w:bidi="ar-SA"/>
        </w:rPr>
        <w:t>4.3</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现场处置</w:t>
      </w:r>
      <w:bookmarkEnd w:id="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地质灾害现场应急处置，由市指挥部统一组织，根据需要可成立现场应急（救援）指挥部，实行现场指挥官制度，统一指挥调度，各有关单位按照职责参与应急处置工作。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（1）搜救人员。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立即组织基层、有关单位和广大干部群众开展自救互救，同时采取交通管控等措施，市指挥部应组织协调驻兴部队、武警部队、民兵、消防救援、建筑和市政等各方面救援力量，调配大型吊车、起重机、挖掘机、生命探测仪等救援装备，抢救被掩埋人员，组织营救受灾被困人员。在现场应急（救援）指挥部统一领导协调下，现场救援队伍之间加强衔接和配合，合理划分责任区边界，遇危险及时传递警报，做好自身安全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（2）开展医疗救治和卫生防疫。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迅速协调组织应急医疗队伍赶赴现场，抢救受伤群众，必要时建立现场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加强灾区卫生防疫工作。及时对灾区水源进行监测消毒，加强饮用水卫生监督；妥善处置遇难者遗体，做好死亡动物、医疗废弃物、生活垃圾、粪便等消毒和无害化处理。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加强鼠疫、狂犬病的监测、防控和处理，及时接种疫苗；实行重大传染病和突发卫生事件每日报告制度。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（3）安置受灾群众。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开放应急避护场所，组织筹集和调运食品、饮用水、衣被、帐篷、移动厕所等各类救灾物资，解决受灾群众吃饭、饮水、穿衣、住处等问题；在受灾村镇、街道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确保其基本生活。鼓励采取投亲靠友等方式，广泛动员社会力量安置受灾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做好遇难人员的善后工作，抚慰遇难者家属；积极创造条件，组织灾区学校复课。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（4）抢修基础设施。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抢通修复因灾损毁的机场、铁路、公路、桥梁、隧道、码头、航道及通航建筑物等交通基础设施，协调运力，优先保障应急抢险救援人员、救灾物资和伤病人员的运输需要。抢修供电、供水、供气、通信、广播电视等基础设施，保障灾区群众基本生活需要和应急工作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（5）加强现场监测。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自然资源部门负责组织布设或恢复灾害现场及周边观测设施，加强灾害现场及周边地质灾害动态监测，依据监测结果进行分析研判并及时发出预报预警。气象部门应加强气象监测研判，密切关注灾区重大气象变化，发布实时气象预报预警，确保救援现场人员安全。市指挥部应安排专业力量加强空气、水源、土壤污染监测，减轻或消除污染危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（6）防御次生灾害。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加强次生灾害监测预警，防范因降雨等天气变化再次发生滑坡、崩塌、泥石流等造成新的人员伤亡或交通堵塞。组织专家对周边水库、水电站、航运枢纽、堤坝、堰塞湖等开展险情排查、评估和除险加固，必要时组织下游危险地区人员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加强危险化学品生产储存设备、输油气管道、输配电线路、非煤矿山等的受损情况组织排查，及时采取安全防范措施，做好事故防范处置工作。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（7）维护社会治安。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33" w:name="_Toc16961"/>
      <w:r>
        <w:rPr>
          <w:rFonts w:hint="eastAsia" w:ascii="仿宋" w:hAnsi="仿宋" w:eastAsia="仿宋" w:cs="仿宋"/>
          <w:kern w:val="2"/>
          <w:sz w:val="32"/>
          <w:lang w:eastAsia="zh-CN" w:bidi="ar-SA"/>
        </w:rPr>
        <w:t>4.3.1</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信息发布</w:t>
      </w:r>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（1）信息发布机构。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市指挥部要建立新闻发言人制度，按照分级响应权限做好相应级别的地质灾害信息发布相关工作。信息发布工作要确保做到及时、准确、客观、统一。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（2）信息发布内容。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发布的信息包括：地点、规模、人员伤亡和财产损失情况、救援进展情况、应急处置措施等。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kern w:val="2"/>
          <w:sz w:val="32"/>
          <w:szCs w:val="32"/>
          <w:lang w:eastAsia="zh-CN" w:bidi="ar-SA"/>
          <w14:textFill>
            <w14:solidFill>
              <w14:schemeClr w14:val="tx1"/>
            </w14:solidFill>
          </w14:textFill>
        </w:rPr>
      </w:pPr>
      <w:r>
        <w:rPr>
          <w:rFonts w:hint="eastAsia" w:ascii="仿宋" w:hAnsi="仿宋" w:eastAsia="仿宋" w:cs="仿宋"/>
          <w:color w:val="000000" w:themeColor="text1"/>
          <w:kern w:val="2"/>
          <w:sz w:val="32"/>
          <w:szCs w:val="32"/>
          <w:lang w:eastAsia="zh-CN" w:bidi="ar-SA"/>
          <w14:textFill>
            <w14:solidFill>
              <w14:schemeClr w14:val="tx1"/>
            </w14:solidFill>
          </w14:textFill>
        </w:rPr>
        <w:t>（3）信息发布的方式。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信息发布形式包括提供新闻通稿、接受记者采访、举办新闻发布会等。突发地质灾害事件信息应当及时通过互联网平台（政府网站、政务微博等）、广播电视、移动通信等媒介向公众发布。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（4）法律法规明确规定由国家、省、市有关部门发布的，从其规定。</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34" w:name="_Toc23655"/>
      <w:r>
        <w:rPr>
          <w:rFonts w:hint="eastAsia" w:ascii="仿宋" w:hAnsi="仿宋" w:eastAsia="仿宋" w:cs="仿宋"/>
          <w:kern w:val="2"/>
          <w:sz w:val="32"/>
          <w:lang w:eastAsia="zh-CN" w:bidi="ar-SA"/>
        </w:rPr>
        <w:t>4.3.2</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社会动员</w:t>
      </w:r>
      <w:bookmarkEnd w:id="34"/>
    </w:p>
    <w:p>
      <w:p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市政府或市指挥部根据地质灾害的危害程度和范围，调动社会力量参与应急处置，紧急情况下可依法征用、调用车辆、物资、人员等。</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cs="仿宋_GB2312"/>
          <w:kern w:val="2"/>
          <w:sz w:val="32"/>
          <w:lang w:eastAsia="zh-CN" w:bidi="ar-SA"/>
        </w:rPr>
      </w:pPr>
      <w:bookmarkStart w:id="35" w:name="_Toc21106"/>
      <w:r>
        <w:rPr>
          <w:rFonts w:hint="eastAsia" w:ascii="仿宋_GB2312" w:hAnsi="仿宋_GB2312" w:cs="仿宋_GB2312"/>
          <w:kern w:val="2"/>
          <w:sz w:val="32"/>
          <w:lang w:eastAsia="zh-CN" w:bidi="ar-SA"/>
        </w:rPr>
        <w:t>4.3.3</w:t>
      </w:r>
      <w:r>
        <w:rPr>
          <w:rFonts w:hint="eastAsia" w:ascii="仿宋_GB2312" w:hAnsi="仿宋_GB2312" w:cs="仿宋_GB2312"/>
          <w:kern w:val="2"/>
          <w:sz w:val="32"/>
          <w:lang w:val="en-US" w:eastAsia="zh-CN" w:bidi="ar-SA"/>
        </w:rPr>
        <w:t xml:space="preserve"> </w:t>
      </w:r>
      <w:r>
        <w:rPr>
          <w:rFonts w:hint="eastAsia" w:ascii="仿宋_GB2312" w:hAnsi="仿宋_GB2312" w:cs="仿宋_GB2312"/>
          <w:kern w:val="2"/>
          <w:sz w:val="32"/>
          <w:lang w:eastAsia="zh-CN" w:bidi="ar-SA"/>
        </w:rPr>
        <w:t>响应终止</w:t>
      </w:r>
      <w:bookmarkEnd w:id="3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地质灾害或险情得到有效处置后，经评估短期内灾害影响不再扩大或已</w:t>
      </w:r>
      <w:r>
        <w:rPr>
          <w:rFonts w:hint="eastAsia" w:ascii="仿宋" w:hAnsi="仿宋" w:eastAsia="仿宋" w:cs="仿宋"/>
          <w:color w:val="000000" w:themeColor="text1"/>
          <w:kern w:val="2"/>
          <w:sz w:val="32"/>
          <w:szCs w:val="32"/>
          <w:lang w:eastAsia="zh-CN" w:bidi="ar-SA"/>
          <w14:textFill>
            <w14:solidFill>
              <w14:schemeClr w14:val="tx1"/>
            </w14:solidFill>
          </w14:textFill>
        </w:rPr>
        <w:t>减轻，由原启动应急响应机关决定终止应急响应。</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36" w:name="_Toc17546"/>
      <w:r>
        <w:rPr>
          <w:rFonts w:hint="eastAsia" w:ascii="仿宋" w:hAnsi="仿宋" w:eastAsia="仿宋" w:cs="仿宋"/>
          <w:b/>
          <w:bCs/>
          <w:lang w:eastAsia="zh-CN" w:bidi="ar-SA"/>
        </w:rPr>
        <w:t>4.4</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后期处置</w:t>
      </w:r>
      <w:bookmarkEnd w:id="36"/>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37" w:name="_Toc19589"/>
      <w:r>
        <w:rPr>
          <w:rFonts w:hint="eastAsia" w:ascii="仿宋" w:hAnsi="仿宋" w:eastAsia="仿宋" w:cs="仿宋"/>
          <w:kern w:val="2"/>
          <w:sz w:val="32"/>
          <w:lang w:eastAsia="zh-CN" w:bidi="ar-SA"/>
        </w:rPr>
        <w:t>4.4.1</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善后处置</w:t>
      </w:r>
      <w:bookmarkEnd w:id="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地质灾害应急处置结束后，根据灾害损失情况，制定和实施自然灾害救助、补偿、抚恤、安置等善后工作方案。各相关单位按各自职责，开展现场清理、灾害监测等工作以及采取必要的安全防范措施。</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38" w:name="_Toc18686"/>
      <w:r>
        <w:rPr>
          <w:rFonts w:hint="eastAsia" w:ascii="仿宋" w:hAnsi="仿宋" w:eastAsia="仿宋" w:cs="仿宋"/>
          <w:kern w:val="2"/>
          <w:sz w:val="32"/>
          <w:lang w:eastAsia="zh-CN" w:bidi="ar-SA"/>
        </w:rPr>
        <w:t>4.4.2</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恢复与重建</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特别重大地质灾害应急处置结束后，按照国务院部署，由国务院有关部门或省人民政府组织编制灾后恢复重建规划；重大、较大、一般地质灾害，由省、梅州市、兴宁市人民政府根据实际工作需要，分别组织编制灾后恢复重建规划，统筹安排受灾地区重建工作。</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39" w:name="_Toc18630"/>
      <w:r>
        <w:rPr>
          <w:rFonts w:hint="eastAsia" w:ascii="仿宋" w:hAnsi="仿宋" w:eastAsia="仿宋" w:cs="仿宋"/>
          <w:kern w:val="2"/>
          <w:sz w:val="32"/>
          <w:lang w:eastAsia="zh-CN" w:bidi="ar-SA"/>
        </w:rPr>
        <w:t>4.4.3</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征用补偿</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地质灾害应急处置工作结束后，实施征用单位要按照《广东省突发事件应对条例》有关规定及时返还被征用的物资和装备；造成毁损的，按照国家、省的有关规定给予补偿。</w:t>
      </w:r>
    </w:p>
    <w:p>
      <w:pPr>
        <w:pStyle w:val="4"/>
        <w:spacing w:line="600" w:lineRule="exact"/>
        <w:ind w:firstLine="643" w:firstLineChars="200"/>
        <w:jc w:val="both"/>
        <w:rPr>
          <w:rFonts w:hint="eastAsia" w:ascii="仿宋" w:hAnsi="仿宋" w:eastAsia="仿宋" w:cs="仿宋"/>
          <w:kern w:val="2"/>
          <w:sz w:val="32"/>
          <w:lang w:eastAsia="zh-CN" w:bidi="ar-SA"/>
        </w:rPr>
      </w:pPr>
      <w:bookmarkStart w:id="40" w:name="_Toc4744"/>
      <w:r>
        <w:rPr>
          <w:rFonts w:hint="eastAsia" w:ascii="仿宋" w:hAnsi="仿宋" w:eastAsia="仿宋" w:cs="仿宋"/>
          <w:kern w:val="2"/>
          <w:sz w:val="32"/>
          <w:lang w:eastAsia="zh-CN" w:bidi="ar-SA"/>
        </w:rPr>
        <w:t>4.4.4</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社会救助</w:t>
      </w:r>
      <w:bookmarkEnd w:id="4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鼓励公民、法人和其他组织按照《中华人民共和国公益事业捐赠法》等有关法律法规的规定进行捐赠和援助。</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41" w:name="_Toc8167"/>
      <w:r>
        <w:rPr>
          <w:rFonts w:hint="eastAsia" w:ascii="仿宋" w:hAnsi="仿宋" w:eastAsia="仿宋" w:cs="仿宋"/>
          <w:kern w:val="2"/>
          <w:sz w:val="32"/>
          <w:lang w:eastAsia="zh-CN" w:bidi="ar-SA"/>
        </w:rPr>
        <w:t>4.4.5</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调查评估</w:t>
      </w:r>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一般及以上突发地质灾害应急结束后，参与应急救援工作的各部门、单位对应急处置工作及时进行总结，并书面报送市指挥部办公室。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eastAsia="zh-CN" w:bidi="ar-SA"/>
        </w:rPr>
      </w:pPr>
      <w:r>
        <w:rPr>
          <w:rFonts w:hint="eastAsia" w:ascii="仿宋" w:hAnsi="仿宋" w:eastAsia="仿宋" w:cs="仿宋"/>
          <w:color w:val="auto"/>
          <w:kern w:val="2"/>
          <w:sz w:val="32"/>
          <w:szCs w:val="32"/>
          <w:lang w:eastAsia="zh-CN" w:bidi="ar-SA"/>
        </w:rPr>
        <w:t>市指挥部办公室根据各应急处置参与部门、单位工作总结和专家组调查意见，编制地质灾害应急处置综合调查评估报告，按要求上报梅州市应急管理局。报告内容主要包括：地质灾害类型和规模、发灾原因、基本灾情（人员伤亡、失踪和财产损失情况）、发展趋势、应急抢险救援处置过程、应急物资和队伍调配情况、应急抢险经验及教训、已经采取的防范对策和措施、今后防治工作建议等。</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kern w:val="2"/>
          <w:sz w:val="32"/>
          <w:lang w:eastAsia="zh-CN" w:bidi="ar-SA"/>
        </w:rPr>
      </w:pPr>
      <w:bookmarkStart w:id="42" w:name="_Toc9734"/>
      <w:r>
        <w:rPr>
          <w:rFonts w:hint="eastAsia" w:ascii="仿宋" w:hAnsi="仿宋" w:eastAsia="仿宋" w:cs="仿宋"/>
          <w:kern w:val="2"/>
          <w:sz w:val="32"/>
          <w:lang w:eastAsia="zh-CN" w:bidi="ar-SA"/>
        </w:rPr>
        <w:t>4.4.6</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责任与奖惩</w:t>
      </w:r>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对在地质灾害应急抢险、救援工作中作出突出贡献的先进集体和个人给予表彰和奖励。对玩忽职守、失职、渎职的有关责任人，要依据有关规定严肃追究责任，构成犯罪的，依法追究刑事责任。</w:t>
      </w:r>
    </w:p>
    <w:p>
      <w:pPr>
        <w:pStyle w:val="4"/>
        <w:spacing w:line="600" w:lineRule="exact"/>
        <w:ind w:firstLine="643" w:firstLineChars="200"/>
        <w:jc w:val="both"/>
        <w:rPr>
          <w:rFonts w:hint="eastAsia" w:ascii="仿宋" w:hAnsi="仿宋" w:eastAsia="仿宋" w:cs="仿宋"/>
          <w:kern w:val="2"/>
          <w:sz w:val="32"/>
          <w:lang w:eastAsia="zh-CN" w:bidi="ar-SA"/>
        </w:rPr>
      </w:pPr>
      <w:bookmarkStart w:id="43" w:name="_Toc32350"/>
      <w:r>
        <w:rPr>
          <w:rFonts w:hint="eastAsia" w:ascii="仿宋" w:hAnsi="仿宋" w:eastAsia="仿宋" w:cs="仿宋"/>
          <w:kern w:val="2"/>
          <w:sz w:val="32"/>
          <w:lang w:eastAsia="zh-CN" w:bidi="ar-SA"/>
        </w:rPr>
        <w:t>4.4.7</w:t>
      </w:r>
      <w:r>
        <w:rPr>
          <w:rFonts w:hint="eastAsia" w:ascii="仿宋" w:hAnsi="仿宋" w:eastAsia="仿宋" w:cs="仿宋"/>
          <w:kern w:val="2"/>
          <w:sz w:val="32"/>
          <w:lang w:val="en-US" w:eastAsia="zh-CN" w:bidi="ar-SA"/>
        </w:rPr>
        <w:t xml:space="preserve"> </w:t>
      </w:r>
      <w:r>
        <w:rPr>
          <w:rFonts w:hint="eastAsia" w:ascii="仿宋" w:hAnsi="仿宋" w:eastAsia="仿宋" w:cs="仿宋"/>
          <w:kern w:val="2"/>
          <w:sz w:val="32"/>
          <w:lang w:eastAsia="zh-CN" w:bidi="ar-SA"/>
        </w:rPr>
        <w:t>灾害保险</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lang w:eastAsia="zh-CN"/>
        </w:rPr>
      </w:pPr>
      <w:r>
        <w:rPr>
          <w:rFonts w:hint="eastAsia" w:ascii="仿宋" w:hAnsi="仿宋" w:eastAsia="仿宋" w:cs="仿宋_GB2312"/>
          <w:sz w:val="32"/>
          <w:szCs w:val="32"/>
          <w:lang w:eastAsia="zh-CN"/>
        </w:rPr>
        <w:t>鼓励商业保险公司开办地质灾害保险，鼓励企业、团体、组织和公众积极参加地质灾害商业保险和参加互助保险，不断完善公众灾害补偿保障机制。保险机构要根据灾情主动办理受灾单位、个人的人身及财产保险理赔事项，各相关单位要为保险理赔工作提供便利。</w:t>
      </w:r>
    </w:p>
    <w:p>
      <w:pPr>
        <w:pStyle w:val="2"/>
        <w:keepNext/>
        <w:keepLines/>
        <w:spacing w:line="600" w:lineRule="exact"/>
        <w:ind w:left="0" w:firstLine="640" w:firstLineChars="200"/>
        <w:jc w:val="both"/>
        <w:rPr>
          <w:rFonts w:ascii="黑体" w:hAnsi="黑体" w:eastAsia="黑体" w:cs="Times New Roman"/>
          <w:b w:val="0"/>
          <w:bCs w:val="0"/>
          <w:kern w:val="44"/>
          <w:sz w:val="32"/>
          <w:szCs w:val="32"/>
          <w:lang w:val="en-US" w:bidi="ar-SA"/>
        </w:rPr>
      </w:pPr>
      <w:bookmarkStart w:id="44" w:name="_Toc5355"/>
      <w:r>
        <w:rPr>
          <w:rFonts w:hint="eastAsia" w:ascii="黑体" w:hAnsi="黑体" w:eastAsia="黑体" w:cs="Times New Roman"/>
          <w:b w:val="0"/>
          <w:bCs w:val="0"/>
          <w:kern w:val="44"/>
          <w:sz w:val="32"/>
          <w:szCs w:val="32"/>
          <w:lang w:val="en-US" w:bidi="ar-SA"/>
        </w:rPr>
        <w:t>5</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应急保障</w:t>
      </w:r>
      <w:bookmarkEnd w:id="44"/>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45" w:name="_Toc4985"/>
      <w:r>
        <w:rPr>
          <w:rFonts w:hint="eastAsia" w:ascii="仿宋" w:hAnsi="仿宋" w:eastAsia="仿宋" w:cs="仿宋"/>
          <w:b/>
          <w:bCs/>
          <w:lang w:eastAsia="zh-CN" w:bidi="ar-SA"/>
        </w:rPr>
        <w:t>5.1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队伍保障</w:t>
      </w:r>
      <w:bookmarkEnd w:id="4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市政府及应急管理、消防救援等部门要加强地质灾害应急救援队伍建设，经常开展专业培训和演练，提高应对地质灾害的救援能力。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城市供水、供电、输油、供气等生命线工程设施产权单位、管理或者生产经营单位要加强抢险、抢修队伍建设。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）和有条件的社区组织，应组织动员社会力量，建立基层地质灾害抢险救灾队伍，加强日常防灾减灾救灾培训和演练工作。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各有关单位要发挥共青团和红十字会作用，依托社会团体、企事业单位及社区建立地质灾害应急救援志愿者队伍，形成广泛参与应急救援的社会动员机制。</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46" w:name="_Toc11870"/>
      <w:r>
        <w:rPr>
          <w:rFonts w:hint="eastAsia" w:ascii="仿宋" w:hAnsi="仿宋" w:eastAsia="仿宋" w:cs="仿宋"/>
          <w:b/>
          <w:bCs/>
          <w:lang w:eastAsia="zh-CN" w:bidi="ar-SA"/>
        </w:rPr>
        <w:t>5.2</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资金保障</w:t>
      </w:r>
      <w:bookmarkEnd w:id="4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市政府要积极筹集资金，保障地质灾害灾区群众生活和恢复重建所需的有关资金。</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47" w:name="_Toc17010"/>
      <w:r>
        <w:rPr>
          <w:rFonts w:hint="eastAsia" w:ascii="仿宋" w:hAnsi="仿宋" w:eastAsia="仿宋" w:cs="仿宋"/>
          <w:b/>
          <w:bCs/>
          <w:lang w:eastAsia="zh-CN" w:bidi="ar-SA"/>
        </w:rPr>
        <w:t>5.3</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物资保障</w:t>
      </w:r>
      <w:bookmarkEnd w:id="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政府及有关单位要建立健全应急物资储备网络和生产、调拨及紧急配送体系，保障地质灾害灾区所需生活救助物资、救援工程装备配备、医疗器械和药品等供应。市政府及有关单位要根据有关法律法规，做好应急物资储备工作，并通过与有关生产经营企业签订协议等方式，保障应急物资、生活必需品和应急处置装备的生产、供给。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）要配备卫星电话、对讲机等必要的通信装备，并确保通信畅通有效。</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48" w:name="_Toc7840"/>
      <w:r>
        <w:rPr>
          <w:rFonts w:hint="eastAsia" w:ascii="仿宋" w:hAnsi="仿宋" w:eastAsia="仿宋" w:cs="仿宋"/>
          <w:b/>
          <w:bCs/>
          <w:lang w:eastAsia="zh-CN" w:bidi="ar-SA"/>
        </w:rPr>
        <w:t>5.4</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人员安全保障</w:t>
      </w:r>
      <w:bookmarkEnd w:id="4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各单位应根据地质灾害特点和自身应急工作职责，充分考虑应急处置过程中的参与人员受到伤害的可能性和伤害类别，建立健全紧急情况下人员安全防护机制，配备相应的专业防护装备，采取必要的安全防护措施，确保应急处置工作人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）应建立健全突发地质灾害紧急情况下的人员撤离、疏散工作机制，明确紧急撤离、疏散行动的责任人。一旦发生地质灾害，确保受地质灾害威胁的群众能及时有序撤离、疏散至应急避护场所或其他安全地带。</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49" w:name="_Toc11464"/>
      <w:r>
        <w:rPr>
          <w:rFonts w:hint="eastAsia" w:ascii="仿宋" w:hAnsi="仿宋" w:eastAsia="仿宋" w:cs="仿宋"/>
          <w:b/>
          <w:bCs/>
          <w:lang w:eastAsia="zh-CN" w:bidi="ar-SA"/>
        </w:rPr>
        <w:t>5.5</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避护场所保障</w:t>
      </w:r>
      <w:bookmarkEnd w:id="4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市政府及有关单位要充分利用广场、绿地、公园、学校、体育场馆等公共设施，因地制宜设立应急避护场所，统筹安排交通、通信、供水、供电、环保、排污、物资储备等设备设施。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学校、医院、影剧院、商场、酒店、体育场馆等人员密集场所要设置应急疏散通道，配备必要的救生避险设施，保障通道、出口的畅通。有关单位要定期检测、维护报警装置和应急救援设施，确保处于良好状态。</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0" w:name="_Toc5738"/>
      <w:r>
        <w:rPr>
          <w:rFonts w:hint="eastAsia" w:ascii="仿宋" w:hAnsi="仿宋" w:eastAsia="仿宋" w:cs="仿宋"/>
          <w:b/>
          <w:bCs/>
          <w:lang w:eastAsia="zh-CN" w:bidi="ar-SA"/>
        </w:rPr>
        <w:t>5.6</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基础设施保障</w:t>
      </w:r>
      <w:bookmarkEnd w:id="5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通信管理部门要指导、协调电信运营企业建立有线与无线相结合、基础通信网络与机动通信系统相配套的应急通信保障体系，确保地质灾害应急救援工作的通信畅通。科工商务部门应负责保障应急无线电通信业务频率的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文化广电旅游体育部门应完善广播电视传输覆盖网，建立完善应急广播体系，确保公众能及时、准确地获取政府部门发布的权威地质灾害信息。协调相关广播电视、新闻出版和公用信息网运营企业保障地质灾害应急相关信息及时准确传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水务部门应协调做好供水保障，及时抢修受损的供水设施，提高供水保障能力。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电力供应部门及时修复受损毁的电力系统和设施，保障灾区应急装备的临时供电需求和灾区电力供应。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公安、交通运输、铁路等部门应建立健全交通干线紧急运输保障体系，加强统一指挥调度，采取必要的交通管制措施，建立应急救援“绿色通道”机制。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城综部门应组织、协调相关单位和企业排查城镇燃气管道安全隐患，及时修复受损市政燃气管道、设施。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发展改革部门负责组织、协调相关单位和企业排查长输油气管道和设施，及时修复受损管道和设施,保障灾区居民基本生活和应急处置能源需求。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电信、移动、联通、</w:t>
      </w:r>
      <w:r>
        <w:rPr>
          <w:rFonts w:hint="eastAsia" w:ascii="仿宋" w:hAnsi="仿宋" w:eastAsia="仿宋" w:cs="仿宋"/>
          <w:kern w:val="2"/>
          <w:sz w:val="32"/>
          <w:szCs w:val="32"/>
          <w:lang w:val="en-US" w:eastAsia="zh-CN" w:bidi="ar-SA"/>
        </w:rPr>
        <w:t>铁塔</w:t>
      </w:r>
      <w:r>
        <w:rPr>
          <w:rFonts w:hint="eastAsia" w:ascii="仿宋" w:hAnsi="仿宋" w:eastAsia="仿宋" w:cs="仿宋"/>
          <w:kern w:val="2"/>
          <w:sz w:val="32"/>
          <w:szCs w:val="32"/>
          <w:lang w:eastAsia="zh-CN" w:bidi="ar-SA"/>
        </w:rPr>
        <w:t>部门应保障地质灾害应急处置的通信畅通。</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1" w:name="_Toc26784"/>
      <w:r>
        <w:rPr>
          <w:rFonts w:hint="eastAsia" w:ascii="仿宋" w:hAnsi="仿宋" w:eastAsia="仿宋" w:cs="仿宋"/>
          <w:b/>
          <w:bCs/>
          <w:lang w:eastAsia="zh-CN" w:bidi="ar-SA"/>
        </w:rPr>
        <w:t>5.7</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平台保障</w:t>
      </w:r>
      <w:bookmarkEnd w:id="5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应急管理部门要综合利用自动监测、通信、计算机、遥感等技术，建立健全地质灾害应急指挥系统，形成上下贯通、反应灵敏、功能完善、统一高效的地质灾害应急救援指挥平台，实现险情灾情快速响应、应急指挥决策、灾害损失快速评估与动态跟踪、灾害趋势研判快速反馈。</w:t>
      </w:r>
    </w:p>
    <w:p>
      <w:pPr>
        <w:pStyle w:val="2"/>
        <w:keepNext/>
        <w:keepLines/>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cs="Times New Roman"/>
          <w:b w:val="0"/>
          <w:bCs w:val="0"/>
          <w:kern w:val="44"/>
          <w:sz w:val="32"/>
          <w:szCs w:val="32"/>
          <w:lang w:val="en-US" w:bidi="ar-SA"/>
        </w:rPr>
      </w:pPr>
      <w:bookmarkStart w:id="52" w:name="_Toc8795"/>
      <w:r>
        <w:rPr>
          <w:rFonts w:hint="eastAsia" w:ascii="黑体" w:hAnsi="黑体" w:eastAsia="黑体" w:cs="Times New Roman"/>
          <w:b w:val="0"/>
          <w:bCs w:val="0"/>
          <w:kern w:val="44"/>
          <w:sz w:val="32"/>
          <w:szCs w:val="32"/>
          <w:lang w:val="en-US" w:bidi="ar-SA"/>
        </w:rPr>
        <w:t>6</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预案管理</w:t>
      </w:r>
      <w:bookmarkEnd w:id="52"/>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3" w:name="_Toc2820"/>
      <w:r>
        <w:rPr>
          <w:rFonts w:hint="eastAsia" w:ascii="仿宋" w:hAnsi="仿宋" w:eastAsia="仿宋" w:cs="仿宋"/>
          <w:b/>
          <w:bCs/>
          <w:lang w:eastAsia="zh-CN" w:bidi="ar-SA"/>
        </w:rPr>
        <w:t>6.1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编制与更新</w:t>
      </w:r>
      <w:bookmarkEnd w:id="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本预案由市应急管理局会同有关部门、单位组织制订，报市人民政府批准后印发实施。由市应急管理局负责解释。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预案每3年组织一次评估，视情况变化，按照有关规定予以修订完善，修订后的预案按原程序报批和备案。</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4" w:name="_Toc23214"/>
      <w:r>
        <w:rPr>
          <w:rFonts w:hint="eastAsia" w:ascii="仿宋" w:hAnsi="仿宋" w:eastAsia="仿宋" w:cs="仿宋"/>
          <w:b/>
          <w:bCs/>
          <w:lang w:eastAsia="zh-CN" w:bidi="ar-SA"/>
        </w:rPr>
        <w:t>6.2</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宣教培训</w:t>
      </w:r>
      <w:bookmarkEnd w:id="5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各相关单位应定期向公众广泛开展突发地质灾害防治知识宣传教育活动，通过媒介普及应急法律法规、应急预案和预防、避险、自救、互救、减灾等常识，增强公众的防灾减灾意识和自救互救能力。各部门和单位应加强本部门（单位）地质灾害应急管理人员、参与应急处置工作人员和应急救援队伍的培训，提高日常应急管理、现场指挥协调和专业抢险救灾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（2）教育、人力资源和社会保障、文化、广播电视、新闻媒体等单位要充分利用广播、电视、互联网、报纸等各种媒体，加大对防灾减灾救灾工作的宣传、培训力度。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（3）市应急管理局、市自然资源局、镇（街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）应有计划地组织开展相关地质灾害应急管理人员培训，提高工作人员的地质灾害识灾避险技能和先期应急处置能力。</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5" w:name="_Toc11570"/>
      <w:r>
        <w:rPr>
          <w:rFonts w:hint="eastAsia" w:ascii="仿宋" w:hAnsi="仿宋" w:eastAsia="仿宋" w:cs="仿宋"/>
          <w:b/>
          <w:bCs/>
          <w:lang w:eastAsia="zh-CN" w:bidi="ar-SA"/>
        </w:rPr>
        <w:t>6.3</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预案演练</w:t>
      </w:r>
      <w:bookmarkEnd w:id="5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Calibri" w:eastAsia="仿宋_GB2312"/>
          <w:kern w:val="2"/>
          <w:sz w:val="32"/>
          <w:szCs w:val="32"/>
          <w:lang w:eastAsia="zh-CN" w:bidi="ar-SA"/>
        </w:rPr>
      </w:pPr>
      <w:r>
        <w:rPr>
          <w:rFonts w:hint="eastAsia" w:ascii="仿宋" w:hAnsi="仿宋" w:eastAsia="仿宋" w:cs="仿宋"/>
          <w:kern w:val="2"/>
          <w:sz w:val="32"/>
          <w:szCs w:val="32"/>
          <w:lang w:eastAsia="zh-CN" w:bidi="ar-SA"/>
        </w:rPr>
        <w:t>市应急管理局按照有关规定，定期或不定期组织开展突发地质灾害综合应急演练，应急演练结束后对应急演练进行系统评估；各相关部门和单位应根据职责，有计划地组织开展本部门、本单位地质灾害响应、保障等方面的应急演练，提升地质灾害应急处置能力。</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6" w:name="_Toc5585"/>
      <w:r>
        <w:rPr>
          <w:rFonts w:hint="eastAsia" w:ascii="仿宋" w:hAnsi="仿宋" w:eastAsia="仿宋" w:cs="仿宋"/>
          <w:b/>
          <w:bCs/>
          <w:lang w:eastAsia="zh-CN" w:bidi="ar-SA"/>
        </w:rPr>
        <w:t>6.4</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预案衔接</w:t>
      </w:r>
      <w:bookmarkEnd w:id="5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eastAsia="zh-CN" w:bidi="ar-SA"/>
        </w:rPr>
        <w:t>镇（街</w:t>
      </w:r>
      <w:r>
        <w:rPr>
          <w:rFonts w:hint="eastAsia" w:ascii="仿宋" w:hAnsi="仿宋" w:eastAsia="仿宋" w:cs="仿宋"/>
          <w:kern w:val="2"/>
          <w:sz w:val="32"/>
          <w:szCs w:val="32"/>
          <w:lang w:val="en-US" w:eastAsia="zh-CN" w:bidi="ar-SA"/>
        </w:rPr>
        <w:t>道</w:t>
      </w:r>
      <w:r>
        <w:rPr>
          <w:rFonts w:hint="eastAsia" w:ascii="仿宋" w:hAnsi="仿宋" w:eastAsia="仿宋" w:cs="仿宋"/>
          <w:kern w:val="2"/>
          <w:sz w:val="32"/>
          <w:szCs w:val="32"/>
          <w:lang w:eastAsia="zh-CN" w:bidi="ar-SA"/>
        </w:rPr>
        <w:t>）应急管理部门结合当地实际编制突发地质灾害应急预案，报本级人民政府批准，抄送市委、市政府以及市应急管理局，形成上下衔接、横向协同的预案体系。</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7" w:name="_Toc3425"/>
      <w:r>
        <w:rPr>
          <w:rFonts w:hint="eastAsia" w:ascii="仿宋" w:hAnsi="仿宋" w:eastAsia="仿宋" w:cs="仿宋"/>
          <w:b/>
          <w:bCs/>
          <w:lang w:eastAsia="zh-CN" w:bidi="ar-SA"/>
        </w:rPr>
        <w:t>6.5</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预案评估和修订</w:t>
      </w:r>
      <w:bookmarkEnd w:id="5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预案实施后，市指挥部同有关部门组织预案学习、宣传和培训，并根据实际情况适时组织进行评估和修订。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市应急管理局建立定期评估制度，分析评估预案内容的针对性、实用性和可操作性，实现应急预案的动态优化和科学规范管理。</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（2）应急指挥机构及其职责发生重大调整的；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（3）面临的风险发生重大变化的；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（4）重要应急资源发生重大变化的；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（5）预案中的其他重要信息发生变化的；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（6）在突发事件实际应对和应急演练中发现问题需要作出重大调整的；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（7）应急预案制定单位认为应当修订的其他情况。</w:t>
      </w:r>
    </w:p>
    <w:p>
      <w:pPr>
        <w:pStyle w:val="2"/>
        <w:keepNext/>
        <w:keepLines/>
        <w:spacing w:line="600" w:lineRule="exact"/>
        <w:ind w:left="0" w:firstLine="640" w:firstLineChars="200"/>
        <w:jc w:val="both"/>
        <w:rPr>
          <w:rFonts w:ascii="黑体" w:hAnsi="黑体" w:eastAsia="黑体" w:cs="Times New Roman"/>
          <w:b w:val="0"/>
          <w:bCs w:val="0"/>
          <w:kern w:val="44"/>
          <w:sz w:val="32"/>
          <w:szCs w:val="32"/>
          <w:lang w:val="en-US" w:bidi="ar-SA"/>
        </w:rPr>
      </w:pPr>
      <w:bookmarkStart w:id="58" w:name="_Toc23707"/>
      <w:r>
        <w:rPr>
          <w:rFonts w:hint="eastAsia" w:ascii="黑体" w:hAnsi="黑体" w:eastAsia="黑体" w:cs="Times New Roman"/>
          <w:b w:val="0"/>
          <w:bCs w:val="0"/>
          <w:kern w:val="44"/>
          <w:sz w:val="32"/>
          <w:szCs w:val="32"/>
          <w:lang w:val="en-US" w:bidi="ar-SA"/>
        </w:rPr>
        <w:t>7</w:t>
      </w:r>
      <w:r>
        <w:rPr>
          <w:rFonts w:hint="eastAsia"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bidi="ar-SA"/>
        </w:rPr>
        <w:t>附则</w:t>
      </w:r>
      <w:bookmarkEnd w:id="58"/>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59" w:name="_Toc11936"/>
      <w:r>
        <w:rPr>
          <w:rFonts w:hint="eastAsia" w:ascii="仿宋" w:hAnsi="仿宋" w:eastAsia="仿宋" w:cs="仿宋"/>
          <w:b/>
          <w:bCs/>
          <w:lang w:eastAsia="zh-CN" w:bidi="ar-SA"/>
        </w:rPr>
        <w:t>7.1</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名词术语</w:t>
      </w:r>
      <w:bookmarkEnd w:id="5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（1）地质灾害易发区是指具备地质灾害发生的地质构造、地形地貌和气候条件，容易发生地质灾害的区域。</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（2）地质灾害危险区是指已经出现地质灾害迹象，明显可能发生地质灾害且可能造成人员伤亡和经济损失的区域或地段。</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（3）次生灾害是指由地质灾害造成的工程结构、设施和自然环境破坏而引发的灾害，如水灾、爆炸及剧毒和强腐蚀性物质泄漏等。</w:t>
      </w:r>
    </w:p>
    <w:p>
      <w:p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（4）本预案有关数量的表述中，“以上”含本数，“以下”不含本数。</w:t>
      </w:r>
    </w:p>
    <w:p>
      <w:p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（5）生命线设施是指供电、供水、排水、燃气、热力、供油系统以及通信、交通等公用设施。</w:t>
      </w:r>
    </w:p>
    <w:p>
      <w:pPr>
        <w:spacing w:line="600" w:lineRule="exact"/>
        <w:ind w:firstLine="640" w:firstLineChars="200"/>
        <w:jc w:val="both"/>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eastAsia" w:ascii="仿宋" w:hAnsi="仿宋" w:eastAsia="仿宋" w:cs="仿宋"/>
          <w:b/>
          <w:bCs/>
          <w:lang w:eastAsia="zh-CN" w:bidi="ar-SA"/>
        </w:rPr>
      </w:pPr>
      <w:bookmarkStart w:id="60" w:name="_Toc5416"/>
      <w:r>
        <w:rPr>
          <w:rFonts w:hint="eastAsia" w:ascii="仿宋" w:hAnsi="仿宋" w:eastAsia="仿宋" w:cs="仿宋"/>
          <w:b/>
          <w:bCs/>
          <w:lang w:eastAsia="zh-CN" w:bidi="ar-SA"/>
        </w:rPr>
        <w:t>7.2</w:t>
      </w:r>
      <w:r>
        <w:rPr>
          <w:rFonts w:hint="eastAsia" w:ascii="仿宋" w:hAnsi="仿宋" w:eastAsia="仿宋" w:cs="仿宋"/>
          <w:b/>
          <w:bCs/>
          <w:lang w:val="en-US" w:eastAsia="zh-CN" w:bidi="ar-SA"/>
        </w:rPr>
        <w:t xml:space="preserve"> </w:t>
      </w:r>
      <w:r>
        <w:rPr>
          <w:rFonts w:hint="eastAsia" w:ascii="仿宋" w:hAnsi="仿宋" w:eastAsia="仿宋" w:cs="仿宋"/>
          <w:b/>
          <w:bCs/>
          <w:lang w:eastAsia="zh-CN" w:bidi="ar-SA"/>
        </w:rPr>
        <w:t>预案实施时间</w:t>
      </w:r>
      <w:bookmarkEnd w:id="6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本预案自发布之日起实施。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附件：1、地质灾害分级标准</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w:t>
      </w:r>
      <w:r>
        <w:rPr>
          <w:rFonts w:hint="eastAsia" w:ascii="仿宋" w:hAnsi="仿宋" w:eastAsia="仿宋" w:cs="仿宋"/>
          <w:kern w:val="2"/>
          <w:sz w:val="32"/>
          <w:szCs w:val="32"/>
          <w:lang w:val="en-US" w:eastAsia="zh-CN" w:bidi="ar-SA"/>
        </w:rPr>
        <w:t>市</w:t>
      </w:r>
      <w:r>
        <w:rPr>
          <w:rFonts w:hint="eastAsia" w:ascii="仿宋" w:hAnsi="仿宋" w:eastAsia="仿宋" w:cs="仿宋"/>
          <w:kern w:val="2"/>
          <w:sz w:val="32"/>
          <w:szCs w:val="32"/>
          <w:lang w:eastAsia="zh-CN" w:bidi="ar-SA"/>
        </w:rPr>
        <w:t>突发地质灾害信息报告表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3、地质灾害分布情况表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4、应急避护场所一览表</w:t>
      </w:r>
    </w:p>
    <w:p>
      <w:pPr>
        <w:spacing w:line="600" w:lineRule="exact"/>
        <w:jc w:val="both"/>
        <w:rPr>
          <w:rFonts w:ascii="仿宋_GB2312" w:hAnsi="Calibri" w:eastAsia="仿宋_GB2312"/>
          <w:kern w:val="2"/>
          <w:sz w:val="32"/>
          <w:szCs w:val="32"/>
          <w:lang w:eastAsia="zh-CN" w:bidi="ar-SA"/>
        </w:rPr>
      </w:pPr>
    </w:p>
    <w:p>
      <w:pPr>
        <w:spacing w:line="600" w:lineRule="exact"/>
        <w:ind w:firstLine="640" w:firstLineChars="200"/>
        <w:jc w:val="both"/>
        <w:rPr>
          <w:rFonts w:ascii="仿宋_GB2312" w:hAnsi="Calibri" w:eastAsia="仿宋_GB2312"/>
          <w:kern w:val="2"/>
          <w:sz w:val="32"/>
          <w:szCs w:val="32"/>
          <w:lang w:eastAsia="zh-CN" w:bidi="ar-SA"/>
        </w:rPr>
      </w:pPr>
    </w:p>
    <w:p>
      <w:pPr>
        <w:spacing w:line="600" w:lineRule="exact"/>
        <w:ind w:firstLine="640" w:firstLineChars="200"/>
        <w:jc w:val="both"/>
        <w:rPr>
          <w:rFonts w:ascii="仿宋_GB2312" w:hAnsi="Calibri" w:eastAsia="仿宋_GB2312"/>
          <w:kern w:val="2"/>
          <w:sz w:val="32"/>
          <w:szCs w:val="32"/>
          <w:lang w:eastAsia="zh-CN" w:bidi="ar-SA"/>
        </w:rPr>
      </w:pPr>
    </w:p>
    <w:p>
      <w:pPr>
        <w:rPr>
          <w:rFonts w:ascii="黑体" w:hAnsi="黑体" w:eastAsia="黑体"/>
          <w:b/>
          <w:bCs/>
          <w:kern w:val="44"/>
          <w:sz w:val="32"/>
          <w:szCs w:val="32"/>
          <w:lang w:eastAsia="zh-CN" w:bidi="ar-SA"/>
        </w:rPr>
      </w:pPr>
      <w:r>
        <w:rPr>
          <w:rFonts w:hint="eastAsia" w:ascii="黑体" w:hAnsi="黑体" w:eastAsia="黑体"/>
          <w:b/>
          <w:bCs/>
          <w:kern w:val="44"/>
          <w:sz w:val="32"/>
          <w:szCs w:val="32"/>
          <w:lang w:eastAsia="zh-CN" w:bidi="ar-SA"/>
        </w:rPr>
        <w:br w:type="page"/>
      </w:r>
    </w:p>
    <w:p>
      <w:pPr>
        <w:pStyle w:val="2"/>
        <w:spacing w:beforeLines="50" w:afterLines="50" w:line="240" w:lineRule="auto"/>
        <w:rPr>
          <w:rFonts w:hint="eastAsia" w:ascii="仿宋" w:hAnsi="仿宋" w:eastAsia="仿宋" w:cs="仿宋"/>
          <w:b/>
          <w:bCs/>
          <w:lang w:eastAsia="zh-CN" w:bidi="ar-SA"/>
        </w:rPr>
      </w:pPr>
      <w:bookmarkStart w:id="61" w:name="_Toc16808"/>
      <w:r>
        <w:rPr>
          <w:rFonts w:hint="eastAsia" w:ascii="仿宋" w:hAnsi="仿宋" w:eastAsia="仿宋" w:cs="仿宋"/>
          <w:b/>
          <w:bCs/>
          <w:lang w:eastAsia="zh-CN" w:bidi="ar-SA"/>
        </w:rPr>
        <w:t xml:space="preserve">附件1 </w:t>
      </w:r>
    </w:p>
    <w:p>
      <w:pPr>
        <w:bidi w:val="0"/>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地质灾害分级标准</w:t>
      </w:r>
      <w:bookmarkEnd w:id="6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1、特别重大地质灾害（I级）</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（1）因山体崩塌、滑坡、泥石流、地面塌陷等灾害造成30人以上死亡，或直接经济损失1000万元以上的突发地质灾害。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（2）受突发地质灾害威胁，需转移人数在500人以上，或可能造成的经济损失在3000万元以上的灾害险情。</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（3）造成铁路繁忙干线、国家高速公路网线路、民航和航道长时间中断，或特别严重威胁群众生命财产安全、有特别严重社会影响的突发地质灾害。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（4）因突发地质灾害造成大江大河干流或支流被阻断，对群众生命财产安全造成特别重大影响。</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2、重大地质灾害（II级）</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（1）因山体崩塌、滑坡、泥石流、地面塌陷等灾害造成10人以上、30人以下死亡，或直接经济损失500万元以上、1000万元以下的突发地质灾害。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（2）受突发地质灾害威胁，需转移人数在200人以上、500人以下，或可能造成经济损失1000万元以上、3000万元以下的灾害险情。</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（3）造成铁路繁忙干线、国家高速公路网线路、民航和航道较长时间中断，或严重威胁群众生命财产安全、有严重社会影响的突发地质灾害。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（4）因突发地质灾害造成大江大河支流被阻断，对群众生命财产安全造成重大影响。</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3、较大地质灾害（III级）</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（1）因山体崩塌、滑坡、泥石流、地面塌陷等灾害造成3人以上、10人以下死亡，或直接经济损失100万元以上、500万元以下的突发地质灾害。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（2）受突发地质灾害威胁，需转移人数在50人以上、200人以下，或可能造成经济损失300万元以上、1000万元以下的灾害险情。</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（3）造成铁路繁忙干线、国家高速公路网线路、民航和航道短时中断，或较严重威胁群众生命财产安全、有较大社会影响的突发地质灾害。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4、一般地质灾害（Ⅳ级）</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（1）因山体崩塌、滑坡、泥石流、地面塌陷等灾害造成3人以下死亡，或直接经济损失100万元以下的突发地质灾害。</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（2）受突发地质灾害威胁，需转移人数在50人以下，或可能造成的经济损失300万元以下的灾害险情。</w:t>
      </w:r>
      <w:r>
        <w:rPr>
          <w:rFonts w:hint="eastAsia" w:ascii="仿宋" w:hAnsi="仿宋" w:eastAsia="仿宋" w:cs="仿宋"/>
          <w:kern w:val="2"/>
          <w:sz w:val="32"/>
          <w:szCs w:val="32"/>
          <w:lang w:eastAsia="zh-CN" w:bidi="ar-SA"/>
        </w:rPr>
        <w:br w:type="textWrapping"/>
      </w:r>
      <w:r>
        <w:rPr>
          <w:rFonts w:hint="eastAsia" w:ascii="仿宋" w:hAnsi="仿宋" w:eastAsia="仿宋" w:cs="仿宋"/>
          <w:kern w:val="2"/>
          <w:sz w:val="32"/>
          <w:szCs w:val="32"/>
          <w:lang w:eastAsia="zh-CN" w:bidi="ar-SA"/>
        </w:rPr>
        <w:t>　　（3）造成交通运输中断，或威胁群众生命财产安全、有一定社会影响的突发地质灾害。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lang w:eastAsia="zh-CN" w:bidi="ar-SA"/>
        </w:rPr>
      </w:pPr>
      <w:r>
        <w:rPr>
          <w:rFonts w:hint="eastAsia" w:ascii="仿宋" w:hAnsi="仿宋" w:eastAsia="仿宋" w:cs="仿宋"/>
          <w:kern w:val="2"/>
          <w:sz w:val="32"/>
          <w:szCs w:val="32"/>
          <w:lang w:eastAsia="zh-CN" w:bidi="ar-SA"/>
        </w:rPr>
        <w:t>(国家或广东省对地质灾害分级标准另有规定的，从其规定）</w:t>
      </w:r>
    </w:p>
    <w:p>
      <w:pPr>
        <w:rPr>
          <w:rFonts w:ascii="仿宋_GB2312" w:hAnsi="Calibri" w:eastAsia="仿宋_GB2312"/>
          <w:kern w:val="2"/>
          <w:sz w:val="32"/>
          <w:szCs w:val="32"/>
          <w:lang w:eastAsia="zh-CN" w:bidi="ar-SA"/>
        </w:rPr>
      </w:pPr>
    </w:p>
    <w:p>
      <w:pPr>
        <w:rPr>
          <w:rFonts w:ascii="楷体_GB2312" w:hAnsi="楷体_GB2312" w:eastAsia="楷体_GB2312" w:cs="楷体_GB2312"/>
          <w:b/>
          <w:bCs/>
          <w:lang w:eastAsia="zh-CN" w:bidi="ar-SA"/>
        </w:rPr>
      </w:pPr>
      <w:r>
        <w:rPr>
          <w:rFonts w:hint="eastAsia" w:ascii="楷体_GB2312" w:hAnsi="楷体_GB2312" w:eastAsia="楷体_GB2312" w:cs="楷体_GB2312"/>
          <w:b/>
          <w:bCs/>
          <w:lang w:eastAsia="zh-CN" w:bidi="ar-SA"/>
        </w:rPr>
        <w:br w:type="page"/>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ascii="仿宋" w:hAnsi="仿宋" w:eastAsia="仿宋" w:cs="仿宋"/>
          <w:b/>
          <w:bCs/>
          <w:lang w:eastAsia="zh-CN" w:bidi="ar-SA"/>
        </w:rPr>
      </w:pPr>
      <w:bookmarkStart w:id="62" w:name="_Toc8277"/>
      <w:r>
        <w:rPr>
          <w:rFonts w:hint="eastAsia" w:ascii="仿宋" w:hAnsi="仿宋" w:eastAsia="仿宋" w:cs="仿宋"/>
          <w:b/>
          <w:bCs/>
          <w:lang w:eastAsia="zh-CN" w:bidi="ar-SA"/>
        </w:rPr>
        <w:t>附件2</w:t>
      </w:r>
      <w:bookmarkEnd w:id="62"/>
    </w:p>
    <w:p>
      <w:pPr>
        <w:spacing w:line="600" w:lineRule="exact"/>
        <w:jc w:val="center"/>
        <w:rPr>
          <w:rFonts w:ascii="仿宋_GB2312" w:hAnsi="Calibri" w:eastAsia="仿宋_GB2312"/>
          <w:kern w:val="2"/>
          <w:sz w:val="44"/>
          <w:szCs w:val="44"/>
          <w:lang w:eastAsia="zh-CN" w:bidi="ar-SA"/>
        </w:rPr>
      </w:pPr>
    </w:p>
    <w:p>
      <w:pPr>
        <w:spacing w:line="600" w:lineRule="exact"/>
        <w:jc w:val="center"/>
        <w:rPr>
          <w:rFonts w:ascii="仿宋_GB2312" w:hAnsi="Calibri" w:eastAsia="仿宋_GB2312"/>
          <w:kern w:val="2"/>
          <w:sz w:val="44"/>
          <w:szCs w:val="44"/>
          <w:lang w:eastAsia="zh-CN" w:bidi="ar-SA"/>
        </w:rPr>
      </w:pPr>
      <w:r>
        <w:rPr>
          <w:rFonts w:hint="eastAsia" w:ascii="仿宋_GB2312" w:hAnsi="Calibri" w:eastAsia="仿宋_GB2312"/>
          <w:kern w:val="2"/>
          <w:sz w:val="44"/>
          <w:szCs w:val="44"/>
          <w:lang w:eastAsia="zh-CN" w:bidi="ar-SA"/>
        </w:rPr>
        <w:t>市突发地质灾害信息报告表</w:t>
      </w:r>
    </w:p>
    <w:p>
      <w:pPr>
        <w:spacing w:line="600" w:lineRule="exact"/>
        <w:jc w:val="both"/>
        <w:rPr>
          <w:rFonts w:ascii="仿宋_GB2312" w:hAnsi="Calibri" w:eastAsia="仿宋_GB2312"/>
          <w:kern w:val="2"/>
          <w:sz w:val="32"/>
          <w:szCs w:val="32"/>
          <w:lang w:eastAsia="zh-CN" w:bidi="ar-SA"/>
        </w:rPr>
      </w:pPr>
      <w:r>
        <w:rPr>
          <w:rFonts w:hint="eastAsia" w:ascii="仿宋_GB2312" w:hAnsi="Calibri" w:eastAsia="仿宋_GB2312"/>
          <w:kern w:val="2"/>
          <w:sz w:val="32"/>
          <w:szCs w:val="32"/>
          <w:lang w:eastAsia="zh-CN" w:bidi="ar-SA"/>
        </w:rPr>
        <w:t>报送单位（盖章）：                    报送时间：</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7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9025" w:type="dxa"/>
            <w:gridSpan w:val="2"/>
          </w:tcPr>
          <w:p>
            <w:pPr>
              <w:pStyle w:val="48"/>
              <w:tabs>
                <w:tab w:val="left" w:pos="3746"/>
                <w:tab w:val="left" w:pos="4447"/>
                <w:tab w:val="left" w:pos="5148"/>
                <w:tab w:val="left" w:pos="5849"/>
                <w:tab w:val="left" w:pos="6547"/>
              </w:tabs>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bidi="ar-SA"/>
              </w:rPr>
              <w:t>地质灾害发生时间：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9025" w:type="dxa"/>
            <w:gridSpan w:val="2"/>
          </w:tcPr>
          <w:p>
            <w:pPr>
              <w:pStyle w:val="48"/>
              <w:spacing w:before="106"/>
              <w:rPr>
                <w:rFonts w:ascii="仿宋_GB2312" w:hAnsi="仿宋_GB2312" w:eastAsia="仿宋_GB2312" w:cs="仿宋_GB2312"/>
                <w:sz w:val="28"/>
                <w:szCs w:val="28"/>
              </w:rPr>
            </w:pPr>
            <w:r>
              <w:rPr>
                <w:rFonts w:hint="eastAsia" w:ascii="仿宋_GB2312" w:hAnsi="仿宋_GB2312" w:eastAsia="仿宋_GB2312" w:cs="仿宋_GB2312"/>
                <w:sz w:val="28"/>
                <w:szCs w:val="28"/>
              </w:rPr>
              <w:t>地质灾害发生地点：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430" w:type="dxa"/>
            <w:vMerge w:val="restart"/>
          </w:tcPr>
          <w:p>
            <w:pPr>
              <w:pStyle w:val="48"/>
              <w:spacing w:before="113"/>
              <w:ind w:left="135" w:right="125"/>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地质灾害</w:t>
            </w:r>
          </w:p>
          <w:p>
            <w:pPr>
              <w:pStyle w:val="48"/>
              <w:spacing w:before="201"/>
              <w:ind w:left="135" w:right="125"/>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类型</w:t>
            </w:r>
          </w:p>
        </w:tc>
        <w:tc>
          <w:tcPr>
            <w:tcW w:w="7595" w:type="dxa"/>
          </w:tcPr>
          <w:p>
            <w:pPr>
              <w:pStyle w:val="48"/>
              <w:tabs>
                <w:tab w:val="left" w:pos="2071"/>
                <w:tab w:val="left" w:pos="3190"/>
                <w:tab w:val="left" w:pos="4589"/>
                <w:tab w:val="left" w:pos="6269"/>
              </w:tabs>
              <w:spacing w:before="104"/>
              <w:ind w:left="110"/>
              <w:rPr>
                <w:rFonts w:ascii="仿宋_GB2312" w:hAnsi="仿宋_GB2312" w:eastAsia="仿宋_GB2312" w:cs="仿宋_GB2312"/>
                <w:sz w:val="28"/>
                <w:szCs w:val="28"/>
              </w:rPr>
            </w:pPr>
            <w:r>
              <w:rPr>
                <w:rFonts w:hint="eastAsia" w:ascii="仿宋_GB2312" w:hAnsi="仿宋_GB2312" w:eastAsia="仿宋_GB2312" w:cs="仿宋_GB2312"/>
                <w:sz w:val="28"/>
                <w:szCs w:val="28"/>
              </w:rPr>
              <w:t>灾情：□崩塌</w:t>
            </w:r>
            <w:r>
              <w:rPr>
                <w:rFonts w:hint="eastAsia" w:ascii="仿宋_GB2312" w:hAnsi="仿宋_GB2312" w:eastAsia="仿宋_GB2312" w:cs="仿宋_GB2312"/>
                <w:sz w:val="28"/>
                <w:szCs w:val="28"/>
              </w:rPr>
              <w:tab/>
            </w:r>
            <w:r>
              <w:rPr>
                <w:rFonts w:hint="eastAsia" w:ascii="仿宋_GB2312" w:hAnsi="仿宋_GB2312" w:eastAsia="仿宋_GB2312" w:cs="仿宋_GB2312"/>
                <w:spacing w:val="-3"/>
                <w:sz w:val="28"/>
                <w:szCs w:val="28"/>
              </w:rPr>
              <w:t>□</w:t>
            </w:r>
            <w:r>
              <w:rPr>
                <w:rFonts w:hint="eastAsia" w:ascii="仿宋_GB2312" w:hAnsi="仿宋_GB2312" w:eastAsia="仿宋_GB2312" w:cs="仿宋_GB2312"/>
                <w:sz w:val="28"/>
                <w:szCs w:val="28"/>
              </w:rPr>
              <w:t>滑坡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□泥石流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□地面</w:t>
            </w:r>
            <w:r>
              <w:rPr>
                <w:rFonts w:hint="eastAsia" w:ascii="仿宋_GB2312" w:hAnsi="仿宋_GB2312" w:eastAsia="仿宋_GB2312" w:cs="仿宋_GB2312"/>
                <w:spacing w:val="-3"/>
                <w:sz w:val="28"/>
                <w:szCs w:val="28"/>
              </w:rPr>
              <w:t>塌</w:t>
            </w:r>
            <w:r>
              <w:rPr>
                <w:rFonts w:hint="eastAsia" w:ascii="仿宋_GB2312" w:hAnsi="仿宋_GB2312" w:eastAsia="仿宋_GB2312" w:cs="仿宋_GB2312"/>
                <w:sz w:val="28"/>
                <w:szCs w:val="28"/>
              </w:rPr>
              <w:t>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其</w:t>
            </w:r>
            <w:r>
              <w:rPr>
                <w:rFonts w:hint="eastAsia" w:ascii="仿宋_GB2312" w:hAnsi="仿宋_GB2312" w:eastAsia="仿宋_GB2312" w:cs="仿宋_GB2312"/>
                <w:sz w:val="28"/>
                <w:szCs w:val="28"/>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430" w:type="dxa"/>
            <w:vMerge w:val="continue"/>
            <w:tcBorders>
              <w:top w:val="nil"/>
            </w:tcBorders>
          </w:tcPr>
          <w:p>
            <w:pPr>
              <w:rPr>
                <w:rFonts w:ascii="仿宋_GB2312" w:hAnsi="仿宋_GB2312" w:eastAsia="仿宋_GB2312" w:cs="仿宋_GB2312"/>
                <w:sz w:val="28"/>
                <w:szCs w:val="28"/>
                <w:lang w:eastAsia="zh-CN"/>
              </w:rPr>
            </w:pPr>
          </w:p>
        </w:tc>
        <w:tc>
          <w:tcPr>
            <w:tcW w:w="7595" w:type="dxa"/>
          </w:tcPr>
          <w:p>
            <w:pPr>
              <w:pStyle w:val="48"/>
              <w:tabs>
                <w:tab w:val="left" w:pos="2071"/>
                <w:tab w:val="left" w:pos="3190"/>
                <w:tab w:val="left" w:pos="4589"/>
                <w:tab w:val="left" w:pos="6269"/>
              </w:tabs>
              <w:spacing w:before="106"/>
              <w:ind w:left="110"/>
              <w:rPr>
                <w:rFonts w:ascii="仿宋_GB2312" w:hAnsi="仿宋_GB2312" w:eastAsia="仿宋_GB2312" w:cs="仿宋_GB2312"/>
                <w:sz w:val="28"/>
                <w:szCs w:val="28"/>
              </w:rPr>
            </w:pPr>
            <w:r>
              <w:rPr>
                <w:rFonts w:hint="eastAsia" w:ascii="仿宋_GB2312" w:hAnsi="仿宋_GB2312" w:eastAsia="仿宋_GB2312" w:cs="仿宋_GB2312"/>
                <w:sz w:val="28"/>
                <w:szCs w:val="28"/>
              </w:rPr>
              <w:t>险情：□崩塌</w:t>
            </w:r>
            <w:r>
              <w:rPr>
                <w:rFonts w:hint="eastAsia" w:ascii="仿宋_GB2312" w:hAnsi="仿宋_GB2312" w:eastAsia="仿宋_GB2312" w:cs="仿宋_GB2312"/>
                <w:sz w:val="28"/>
                <w:szCs w:val="28"/>
              </w:rPr>
              <w:tab/>
            </w:r>
            <w:r>
              <w:rPr>
                <w:rFonts w:hint="eastAsia" w:ascii="仿宋_GB2312" w:hAnsi="仿宋_GB2312" w:eastAsia="仿宋_GB2312" w:cs="仿宋_GB2312"/>
                <w:spacing w:val="-3"/>
                <w:sz w:val="28"/>
                <w:szCs w:val="28"/>
              </w:rPr>
              <w:t>□</w:t>
            </w:r>
            <w:r>
              <w:rPr>
                <w:rFonts w:hint="eastAsia" w:ascii="仿宋_GB2312" w:hAnsi="仿宋_GB2312" w:eastAsia="仿宋_GB2312" w:cs="仿宋_GB2312"/>
                <w:sz w:val="28"/>
                <w:szCs w:val="28"/>
              </w:rPr>
              <w:t>滑坡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□泥石流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□地面</w:t>
            </w:r>
            <w:r>
              <w:rPr>
                <w:rFonts w:hint="eastAsia" w:ascii="仿宋_GB2312" w:hAnsi="仿宋_GB2312" w:eastAsia="仿宋_GB2312" w:cs="仿宋_GB2312"/>
                <w:spacing w:val="-3"/>
                <w:sz w:val="28"/>
                <w:szCs w:val="28"/>
              </w:rPr>
              <w:t>塌</w:t>
            </w:r>
            <w:r>
              <w:rPr>
                <w:rFonts w:hint="eastAsia" w:ascii="仿宋_GB2312" w:hAnsi="仿宋_GB2312" w:eastAsia="仿宋_GB2312" w:cs="仿宋_GB2312"/>
                <w:sz w:val="28"/>
                <w:szCs w:val="28"/>
              </w:rPr>
              <w:t>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其</w:t>
            </w:r>
            <w:r>
              <w:rPr>
                <w:rFonts w:hint="eastAsia" w:ascii="仿宋_GB2312" w:hAnsi="仿宋_GB2312" w:eastAsia="仿宋_GB2312" w:cs="仿宋_GB2312"/>
                <w:sz w:val="28"/>
                <w:szCs w:val="28"/>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9025" w:type="dxa"/>
            <w:gridSpan w:val="2"/>
          </w:tcPr>
          <w:p>
            <w:pPr>
              <w:pStyle w:val="48"/>
              <w:spacing w:before="104"/>
              <w:rPr>
                <w:rFonts w:ascii="仿宋_GB2312" w:hAnsi="仿宋_GB2312" w:eastAsia="仿宋_GB2312" w:cs="仿宋_GB2312"/>
                <w:sz w:val="28"/>
                <w:szCs w:val="28"/>
              </w:rPr>
            </w:pPr>
            <w:r>
              <w:rPr>
                <w:rFonts w:hint="eastAsia" w:ascii="仿宋_GB2312" w:hAnsi="仿宋_GB2312" w:eastAsia="仿宋_GB2312" w:cs="仿宋_GB2312"/>
                <w:sz w:val="28"/>
                <w:szCs w:val="28"/>
              </w:rPr>
              <w:t>灾害影响程度：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jc w:val="center"/>
        </w:trPr>
        <w:tc>
          <w:tcPr>
            <w:tcW w:w="1430" w:type="dxa"/>
          </w:tcPr>
          <w:p>
            <w:pPr>
              <w:pStyle w:val="48"/>
              <w:spacing w:before="101"/>
              <w:ind w:left="153"/>
              <w:rPr>
                <w:rFonts w:ascii="仿宋_GB2312" w:hAnsi="仿宋_GB2312" w:eastAsia="仿宋_GB2312" w:cs="仿宋_GB2312"/>
                <w:sz w:val="28"/>
                <w:szCs w:val="28"/>
              </w:rPr>
            </w:pPr>
            <w:r>
              <w:rPr>
                <w:rFonts w:hint="eastAsia" w:ascii="仿宋_GB2312" w:hAnsi="仿宋_GB2312" w:eastAsia="仿宋_GB2312" w:cs="仿宋_GB2312"/>
                <w:sz w:val="28"/>
                <w:szCs w:val="28"/>
              </w:rPr>
              <w:t>初步判定</w:t>
            </w:r>
          </w:p>
          <w:p>
            <w:pPr>
              <w:pStyle w:val="48"/>
              <w:spacing w:before="2" w:line="560" w:lineRule="atLeast"/>
              <w:ind w:left="573" w:right="141" w:hanging="420"/>
              <w:rPr>
                <w:rFonts w:ascii="仿宋_GB2312" w:hAnsi="仿宋_GB2312" w:eastAsia="仿宋_GB2312" w:cs="仿宋_GB2312"/>
                <w:sz w:val="28"/>
                <w:szCs w:val="28"/>
              </w:rPr>
            </w:pPr>
            <w:r>
              <w:rPr>
                <w:rFonts w:hint="eastAsia" w:ascii="仿宋_GB2312" w:hAnsi="仿宋_GB2312" w:eastAsia="仿宋_GB2312" w:cs="仿宋_GB2312"/>
                <w:sz w:val="28"/>
                <w:szCs w:val="28"/>
              </w:rPr>
              <w:t>的灾害级别</w:t>
            </w:r>
          </w:p>
        </w:tc>
        <w:tc>
          <w:tcPr>
            <w:tcW w:w="7595" w:type="dxa"/>
          </w:tcPr>
          <w:p>
            <w:pPr>
              <w:pStyle w:val="48"/>
              <w:spacing w:before="10"/>
              <w:ind w:left="0"/>
              <w:rPr>
                <w:rFonts w:ascii="仿宋_GB2312" w:hAnsi="仿宋_GB2312" w:eastAsia="仿宋_GB2312" w:cs="仿宋_GB2312"/>
                <w:sz w:val="28"/>
                <w:szCs w:val="28"/>
              </w:rPr>
            </w:pPr>
          </w:p>
          <w:p>
            <w:pPr>
              <w:pStyle w:val="48"/>
              <w:tabs>
                <w:tab w:val="left" w:pos="3610"/>
              </w:tabs>
              <w:spacing w:before="0"/>
              <w:ind w:left="110"/>
              <w:rPr>
                <w:rFonts w:ascii="仿宋_GB2312" w:hAnsi="仿宋_GB2312" w:eastAsia="仿宋_GB2312" w:cs="仿宋_GB2312"/>
                <w:sz w:val="28"/>
                <w:szCs w:val="28"/>
              </w:rPr>
            </w:pPr>
            <w:r>
              <w:rPr>
                <w:rFonts w:hint="eastAsia" w:ascii="仿宋_GB2312" w:hAnsi="仿宋_GB2312" w:eastAsia="仿宋_GB2312" w:cs="仿宋_GB2312"/>
                <w:sz w:val="28"/>
                <w:szCs w:val="28"/>
              </w:rPr>
              <w:t>□一般</w:t>
            </w:r>
            <w:r>
              <w:rPr>
                <w:rFonts w:hint="eastAsia" w:ascii="仿宋_GB2312" w:hAnsi="仿宋_GB2312" w:eastAsia="仿宋_GB2312" w:cs="仿宋_GB2312"/>
                <w:spacing w:val="-3"/>
                <w:sz w:val="28"/>
                <w:szCs w:val="28"/>
              </w:rPr>
              <w:t>地</w:t>
            </w:r>
            <w:r>
              <w:rPr>
                <w:rFonts w:hint="eastAsia" w:ascii="仿宋_GB2312" w:hAnsi="仿宋_GB2312" w:eastAsia="仿宋_GB2312" w:cs="仿宋_GB2312"/>
                <w:sz w:val="28"/>
                <w:szCs w:val="28"/>
              </w:rPr>
              <w:t>质灾</w:t>
            </w:r>
            <w:r>
              <w:rPr>
                <w:rFonts w:hint="eastAsia" w:ascii="仿宋_GB2312" w:hAnsi="仿宋_GB2312" w:eastAsia="仿宋_GB2312" w:cs="仿宋_GB2312"/>
                <w:spacing w:val="-3"/>
                <w:sz w:val="28"/>
                <w:szCs w:val="28"/>
              </w:rPr>
              <w:t>害</w:t>
            </w:r>
            <w:r>
              <w:rPr>
                <w:rFonts w:hint="eastAsia" w:ascii="仿宋_GB2312" w:hAnsi="仿宋_GB2312" w:eastAsia="仿宋_GB2312" w:cs="仿宋_GB2312"/>
                <w:sz w:val="28"/>
                <w:szCs w:val="28"/>
              </w:rPr>
              <w:t>（Ⅳ级）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□较大</w:t>
            </w:r>
            <w:r>
              <w:rPr>
                <w:rFonts w:hint="eastAsia" w:ascii="仿宋_GB2312" w:hAnsi="仿宋_GB2312" w:eastAsia="仿宋_GB2312" w:cs="仿宋_GB2312"/>
                <w:spacing w:val="-3"/>
                <w:sz w:val="28"/>
                <w:szCs w:val="28"/>
              </w:rPr>
              <w:t>地</w:t>
            </w:r>
            <w:r>
              <w:rPr>
                <w:rFonts w:hint="eastAsia" w:ascii="仿宋_GB2312" w:hAnsi="仿宋_GB2312" w:eastAsia="仿宋_GB2312" w:cs="仿宋_GB2312"/>
                <w:sz w:val="28"/>
                <w:szCs w:val="28"/>
              </w:rPr>
              <w:t>质灾害（Ⅲ级）</w:t>
            </w:r>
          </w:p>
          <w:p>
            <w:pPr>
              <w:pStyle w:val="48"/>
              <w:tabs>
                <w:tab w:val="left" w:pos="3610"/>
              </w:tabs>
              <w:spacing w:before="201"/>
              <w:ind w:left="110"/>
              <w:rPr>
                <w:rFonts w:ascii="仿宋_GB2312" w:hAnsi="仿宋_GB2312" w:eastAsia="仿宋_GB2312" w:cs="仿宋_GB2312"/>
                <w:sz w:val="28"/>
                <w:szCs w:val="28"/>
              </w:rPr>
            </w:pPr>
            <w:r>
              <w:rPr>
                <w:rFonts w:hint="eastAsia" w:ascii="仿宋_GB2312" w:hAnsi="仿宋_GB2312" w:eastAsia="仿宋_GB2312" w:cs="仿宋_GB2312"/>
                <w:sz w:val="28"/>
                <w:szCs w:val="28"/>
              </w:rPr>
              <w:t>□重大</w:t>
            </w:r>
            <w:r>
              <w:rPr>
                <w:rFonts w:hint="eastAsia" w:ascii="仿宋_GB2312" w:hAnsi="仿宋_GB2312" w:eastAsia="仿宋_GB2312" w:cs="仿宋_GB2312"/>
                <w:spacing w:val="-3"/>
                <w:sz w:val="28"/>
                <w:szCs w:val="28"/>
              </w:rPr>
              <w:t>地</w:t>
            </w:r>
            <w:r>
              <w:rPr>
                <w:rFonts w:hint="eastAsia" w:ascii="仿宋_GB2312" w:hAnsi="仿宋_GB2312" w:eastAsia="仿宋_GB2312" w:cs="仿宋_GB2312"/>
                <w:sz w:val="28"/>
                <w:szCs w:val="28"/>
              </w:rPr>
              <w:t>质灾</w:t>
            </w:r>
            <w:r>
              <w:rPr>
                <w:rFonts w:hint="eastAsia" w:ascii="仿宋_GB2312" w:hAnsi="仿宋_GB2312" w:eastAsia="仿宋_GB2312" w:cs="仿宋_GB2312"/>
                <w:spacing w:val="-3"/>
                <w:sz w:val="28"/>
                <w:szCs w:val="28"/>
              </w:rPr>
              <w:t>害</w:t>
            </w:r>
            <w:r>
              <w:rPr>
                <w:rFonts w:hint="eastAsia" w:ascii="仿宋_GB2312" w:hAnsi="仿宋_GB2312" w:eastAsia="仿宋_GB2312" w:cs="仿宋_GB2312"/>
                <w:sz w:val="28"/>
                <w:szCs w:val="28"/>
              </w:rPr>
              <w:t>（Ⅱ级）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□特别</w:t>
            </w:r>
            <w:r>
              <w:rPr>
                <w:rFonts w:hint="eastAsia" w:ascii="仿宋_GB2312" w:hAnsi="仿宋_GB2312" w:eastAsia="仿宋_GB2312" w:cs="仿宋_GB2312"/>
                <w:spacing w:val="-3"/>
                <w:sz w:val="28"/>
                <w:szCs w:val="28"/>
              </w:rPr>
              <w:t>重</w:t>
            </w:r>
            <w:r>
              <w:rPr>
                <w:rFonts w:hint="eastAsia" w:ascii="仿宋_GB2312" w:hAnsi="仿宋_GB2312" w:eastAsia="仿宋_GB2312" w:cs="仿宋_GB2312"/>
                <w:sz w:val="28"/>
                <w:szCs w:val="28"/>
              </w:rPr>
              <w:t>大地质</w:t>
            </w:r>
            <w:r>
              <w:rPr>
                <w:rFonts w:hint="eastAsia" w:ascii="仿宋_GB2312" w:hAnsi="仿宋_GB2312" w:eastAsia="仿宋_GB2312" w:cs="仿宋_GB2312"/>
                <w:spacing w:val="-3"/>
                <w:sz w:val="28"/>
                <w:szCs w:val="28"/>
              </w:rPr>
              <w:t>灾</w:t>
            </w:r>
            <w:r>
              <w:rPr>
                <w:rFonts w:hint="eastAsia" w:ascii="仿宋_GB2312" w:hAnsi="仿宋_GB2312" w:eastAsia="仿宋_GB2312" w:cs="仿宋_GB2312"/>
                <w:sz w:val="28"/>
                <w:szCs w:val="28"/>
              </w:rPr>
              <w:t>害（Ⅰ</w:t>
            </w:r>
            <w:r>
              <w:rPr>
                <w:rFonts w:hint="eastAsia" w:ascii="仿宋_GB2312" w:hAnsi="仿宋_GB2312" w:eastAsia="仿宋_GB2312" w:cs="仿宋_GB2312"/>
                <w:spacing w:val="-3"/>
                <w:sz w:val="28"/>
                <w:szCs w:val="28"/>
              </w:rPr>
              <w:t>级</w:t>
            </w:r>
            <w:r>
              <w:rPr>
                <w:rFonts w:hint="eastAsia" w:ascii="仿宋_GB2312" w:hAnsi="仿宋_GB2312" w:eastAsia="仿宋_GB2312" w:cs="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jc w:val="center"/>
        </w:trPr>
        <w:tc>
          <w:tcPr>
            <w:tcW w:w="9025" w:type="dxa"/>
            <w:gridSpan w:val="2"/>
          </w:tcPr>
          <w:p>
            <w:pPr>
              <w:pStyle w:val="48"/>
              <w:rPr>
                <w:rFonts w:ascii="仿宋_GB2312" w:hAnsi="仿宋_GB2312" w:eastAsia="仿宋_GB2312" w:cs="仿宋_GB2312"/>
                <w:sz w:val="28"/>
                <w:szCs w:val="28"/>
              </w:rPr>
            </w:pPr>
            <w:r>
              <w:rPr>
                <w:rFonts w:hint="eastAsia" w:ascii="仿宋_GB2312" w:hAnsi="仿宋_GB2312" w:eastAsia="仿宋_GB2312" w:cs="仿宋_GB2312"/>
                <w:sz w:val="28"/>
                <w:szCs w:val="28"/>
              </w:rPr>
              <w:t>成因、经过、损失和影响：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jc w:val="center"/>
        </w:trPr>
        <w:tc>
          <w:tcPr>
            <w:tcW w:w="9025" w:type="dxa"/>
            <w:gridSpan w:val="2"/>
          </w:tcPr>
          <w:p>
            <w:pPr>
              <w:pStyle w:val="48"/>
              <w:spacing w:before="156"/>
              <w:rPr>
                <w:rFonts w:ascii="仿宋_GB2312" w:hAnsi="仿宋_GB2312" w:eastAsia="仿宋_GB2312" w:cs="仿宋_GB2312"/>
                <w:sz w:val="28"/>
                <w:szCs w:val="28"/>
              </w:rPr>
            </w:pPr>
            <w:r>
              <w:rPr>
                <w:rFonts w:hint="eastAsia" w:ascii="仿宋_GB2312" w:hAnsi="仿宋_GB2312" w:eastAsia="仿宋_GB2312" w:cs="仿宋_GB2312"/>
                <w:sz w:val="28"/>
                <w:szCs w:val="28"/>
              </w:rPr>
              <w:t>已采取措施及效果：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jc w:val="center"/>
        </w:trPr>
        <w:tc>
          <w:tcPr>
            <w:tcW w:w="9025" w:type="dxa"/>
            <w:gridSpan w:val="2"/>
          </w:tcPr>
          <w:p>
            <w:pPr>
              <w:pStyle w:val="48"/>
              <w:spacing w:before="82"/>
              <w:rPr>
                <w:rFonts w:ascii="仿宋_GB2312" w:hAnsi="仿宋_GB2312" w:eastAsia="仿宋_GB2312" w:cs="仿宋_GB2312"/>
                <w:sz w:val="28"/>
                <w:szCs w:val="28"/>
              </w:rPr>
            </w:pPr>
            <w:r>
              <w:rPr>
                <w:rFonts w:hint="eastAsia" w:ascii="仿宋_GB2312" w:hAnsi="仿宋_GB2312" w:eastAsia="仿宋_GB2312" w:cs="仿宋_GB2312"/>
                <w:sz w:val="28"/>
                <w:szCs w:val="28"/>
              </w:rPr>
              <w:t>发展趋势及对策建议：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5" w:hRule="atLeast"/>
          <w:jc w:val="center"/>
        </w:trPr>
        <w:tc>
          <w:tcPr>
            <w:tcW w:w="9025" w:type="dxa"/>
            <w:gridSpan w:val="2"/>
          </w:tcPr>
          <w:p>
            <w:pPr>
              <w:pStyle w:val="48"/>
              <w:tabs>
                <w:tab w:val="left" w:pos="6303"/>
              </w:tabs>
              <w:spacing w:before="233"/>
              <w:ind w:left="0" w:right="1481"/>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现场联</w:t>
            </w:r>
            <w:r>
              <w:rPr>
                <w:rFonts w:hint="eastAsia" w:ascii="仿宋_GB2312" w:hAnsi="仿宋_GB2312" w:eastAsia="仿宋_GB2312" w:cs="仿宋_GB2312"/>
                <w:spacing w:val="-3"/>
                <w:sz w:val="28"/>
                <w:szCs w:val="28"/>
              </w:rPr>
              <w:t>络</w:t>
            </w:r>
            <w:r>
              <w:rPr>
                <w:rFonts w:hint="eastAsia" w:ascii="仿宋_GB2312" w:hAnsi="仿宋_GB2312" w:eastAsia="仿宋_GB2312" w:cs="仿宋_GB2312"/>
                <w:sz w:val="28"/>
                <w:szCs w:val="28"/>
              </w:rPr>
              <w:t>方</w:t>
            </w:r>
            <w:r>
              <w:rPr>
                <w:rFonts w:hint="eastAsia" w:ascii="仿宋_GB2312" w:hAnsi="仿宋_GB2312" w:eastAsia="仿宋_GB2312" w:cs="仿宋_GB2312"/>
                <w:spacing w:val="-3"/>
                <w:sz w:val="28"/>
                <w:szCs w:val="28"/>
              </w:rPr>
              <w:t>式</w:t>
            </w:r>
            <w:r>
              <w:rPr>
                <w:rFonts w:hint="eastAsia" w:ascii="仿宋_GB2312" w:hAnsi="仿宋_GB2312" w:eastAsia="仿宋_GB2312" w:cs="仿宋_GB2312"/>
                <w:spacing w:val="-140"/>
                <w:sz w:val="28"/>
                <w:szCs w:val="28"/>
              </w:rPr>
              <w:t>：</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一</w:t>
            </w:r>
            <w:r>
              <w:rPr>
                <w:rFonts w:hint="eastAsia" w:ascii="仿宋_GB2312" w:hAnsi="仿宋_GB2312" w:eastAsia="仿宋_GB2312" w:cs="仿宋_GB2312"/>
                <w:sz w:val="28"/>
                <w:szCs w:val="28"/>
              </w:rPr>
              <w:t>）现场</w:t>
            </w:r>
            <w:r>
              <w:rPr>
                <w:rFonts w:hint="eastAsia" w:ascii="仿宋_GB2312" w:hAnsi="仿宋_GB2312" w:eastAsia="仿宋_GB2312" w:cs="仿宋_GB2312"/>
                <w:spacing w:val="-3"/>
                <w:sz w:val="28"/>
                <w:szCs w:val="28"/>
              </w:rPr>
              <w:t>指</w:t>
            </w:r>
            <w:r>
              <w:rPr>
                <w:rFonts w:hint="eastAsia" w:ascii="仿宋_GB2312" w:hAnsi="仿宋_GB2312" w:eastAsia="仿宋_GB2312" w:cs="仿宋_GB2312"/>
                <w:sz w:val="28"/>
                <w:szCs w:val="28"/>
              </w:rPr>
              <w:t>挥官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联系</w:t>
            </w:r>
            <w:r>
              <w:rPr>
                <w:rFonts w:hint="eastAsia" w:ascii="仿宋_GB2312" w:hAnsi="仿宋_GB2312" w:eastAsia="仿宋_GB2312" w:cs="仿宋_GB2312"/>
                <w:spacing w:val="-3"/>
                <w:sz w:val="28"/>
                <w:szCs w:val="28"/>
              </w:rPr>
              <w:t>电</w:t>
            </w:r>
            <w:r>
              <w:rPr>
                <w:rFonts w:hint="eastAsia" w:ascii="仿宋_GB2312" w:hAnsi="仿宋_GB2312" w:eastAsia="仿宋_GB2312" w:cs="仿宋_GB2312"/>
                <w:sz w:val="28"/>
                <w:szCs w:val="28"/>
              </w:rPr>
              <w:t>话</w:t>
            </w:r>
          </w:p>
          <w:p>
            <w:pPr>
              <w:pStyle w:val="48"/>
              <w:tabs>
                <w:tab w:val="left" w:pos="4481"/>
              </w:tabs>
              <w:spacing w:before="141"/>
              <w:ind w:left="0" w:right="1481"/>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pacing w:val="-3"/>
                <w:sz w:val="28"/>
                <w:szCs w:val="28"/>
              </w:rPr>
              <w:t>第</w:t>
            </w:r>
            <w:r>
              <w:rPr>
                <w:rFonts w:hint="eastAsia" w:ascii="仿宋_GB2312" w:hAnsi="仿宋_GB2312" w:eastAsia="仿宋_GB2312" w:cs="仿宋_GB2312"/>
                <w:sz w:val="28"/>
                <w:szCs w:val="28"/>
              </w:rPr>
              <w:t>一联</w:t>
            </w:r>
            <w:r>
              <w:rPr>
                <w:rFonts w:hint="eastAsia" w:ascii="仿宋_GB2312" w:hAnsi="仿宋_GB2312" w:eastAsia="仿宋_GB2312" w:cs="仿宋_GB2312"/>
                <w:spacing w:val="-3"/>
                <w:sz w:val="28"/>
                <w:szCs w:val="28"/>
              </w:rPr>
              <w:t>络</w:t>
            </w:r>
            <w:r>
              <w:rPr>
                <w:rFonts w:hint="eastAsia" w:ascii="仿宋_GB2312" w:hAnsi="仿宋_GB2312" w:eastAsia="仿宋_GB2312" w:cs="仿宋_GB2312"/>
                <w:sz w:val="28"/>
                <w:szCs w:val="28"/>
              </w:rPr>
              <w:t>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联系电话</w:t>
            </w:r>
          </w:p>
          <w:p>
            <w:pPr>
              <w:pStyle w:val="48"/>
              <w:tabs>
                <w:tab w:val="left" w:pos="3641"/>
              </w:tabs>
              <w:spacing w:before="143"/>
              <w:ind w:left="0" w:right="1481"/>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第二联</w:t>
            </w:r>
            <w:r>
              <w:rPr>
                <w:rFonts w:hint="eastAsia" w:ascii="仿宋_GB2312" w:hAnsi="仿宋_GB2312" w:eastAsia="仿宋_GB2312" w:cs="仿宋_GB2312"/>
                <w:spacing w:val="-3"/>
                <w:sz w:val="28"/>
                <w:szCs w:val="28"/>
              </w:rPr>
              <w:t>络</w:t>
            </w:r>
            <w:r>
              <w:rPr>
                <w:rFonts w:hint="eastAsia" w:ascii="仿宋_GB2312" w:hAnsi="仿宋_GB2312" w:eastAsia="仿宋_GB2312" w:cs="仿宋_GB2312"/>
                <w:sz w:val="28"/>
                <w:szCs w:val="28"/>
              </w:rPr>
              <w:t>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联系电话</w:t>
            </w:r>
          </w:p>
        </w:tc>
      </w:tr>
    </w:tbl>
    <w:p>
      <w:pPr>
        <w:spacing w:line="600" w:lineRule="exact"/>
        <w:jc w:val="both"/>
        <w:rPr>
          <w:rFonts w:ascii="仿宋_GB2312" w:hAnsi="Calibri" w:eastAsia="仿宋_GB2312"/>
          <w:kern w:val="2"/>
          <w:sz w:val="32"/>
          <w:szCs w:val="32"/>
          <w:lang w:eastAsia="zh-CN" w:bidi="ar-SA"/>
        </w:rPr>
      </w:pPr>
      <w:r>
        <w:rPr>
          <w:rFonts w:hint="eastAsia" w:ascii="仿宋_GB2312" w:hAnsi="Calibri" w:eastAsia="仿宋_GB2312"/>
          <w:kern w:val="2"/>
          <w:sz w:val="32"/>
          <w:szCs w:val="32"/>
          <w:lang w:eastAsia="zh-CN" w:bidi="ar-SA"/>
        </w:rPr>
        <w:t xml:space="preserve">经办人：        </w:t>
      </w:r>
      <w:r>
        <w:rPr>
          <w:rFonts w:hint="eastAsia" w:ascii="仿宋_GB2312" w:hAnsi="Calibri" w:eastAsia="仿宋_GB2312"/>
          <w:kern w:val="2"/>
          <w:sz w:val="32"/>
          <w:szCs w:val="32"/>
          <w:lang w:eastAsia="zh-CN" w:bidi="ar-SA"/>
        </w:rPr>
        <w:tab/>
      </w:r>
      <w:r>
        <w:rPr>
          <w:rFonts w:hint="eastAsia" w:ascii="仿宋_GB2312" w:hAnsi="Calibri" w:eastAsia="仿宋_GB2312"/>
          <w:kern w:val="2"/>
          <w:sz w:val="32"/>
          <w:szCs w:val="32"/>
          <w:lang w:eastAsia="zh-CN" w:bidi="ar-SA"/>
        </w:rPr>
        <w:t xml:space="preserve">联系电话：        </w:t>
      </w:r>
      <w:r>
        <w:rPr>
          <w:rFonts w:hint="eastAsia" w:ascii="仿宋_GB2312" w:hAnsi="Calibri" w:eastAsia="仿宋_GB2312"/>
          <w:kern w:val="2"/>
          <w:sz w:val="32"/>
          <w:szCs w:val="32"/>
          <w:lang w:eastAsia="zh-CN" w:bidi="ar-SA"/>
        </w:rPr>
        <w:tab/>
      </w:r>
      <w:r>
        <w:rPr>
          <w:rFonts w:hint="eastAsia" w:ascii="仿宋_GB2312" w:hAnsi="Calibri" w:eastAsia="仿宋_GB2312"/>
          <w:kern w:val="2"/>
          <w:sz w:val="32"/>
          <w:szCs w:val="32"/>
          <w:lang w:eastAsia="zh-CN" w:bidi="ar-SA"/>
        </w:rPr>
        <w:t>审核人：</w:t>
      </w:r>
    </w:p>
    <w:p>
      <w:pPr>
        <w:spacing w:line="600" w:lineRule="exact"/>
        <w:jc w:val="both"/>
        <w:rPr>
          <w:rFonts w:ascii="仿宋_GB2312" w:hAnsi="Calibri" w:eastAsia="仿宋_GB2312"/>
          <w:kern w:val="2"/>
          <w:sz w:val="32"/>
          <w:szCs w:val="32"/>
          <w:lang w:eastAsia="zh-CN" w:bidi="ar-SA"/>
        </w:rPr>
        <w:sectPr>
          <w:footerReference r:id="rId8" w:type="default"/>
          <w:footerReference r:id="rId9" w:type="even"/>
          <w:pgSz w:w="11900" w:h="16840"/>
          <w:pgMar w:top="1361" w:right="1474" w:bottom="1361" w:left="1474" w:header="0" w:footer="1134" w:gutter="0"/>
          <w:pgNumType w:fmt="decimal" w:start="1"/>
          <w:cols w:space="0" w:num="1"/>
          <w:rtlGutter w:val="0"/>
          <w:docGrid w:linePitch="360" w:charSpace="0"/>
        </w:sectPr>
      </w:pPr>
    </w:p>
    <w:p>
      <w:pPr>
        <w:pStyle w:val="2"/>
        <w:spacing w:beforeLines="50" w:afterLines="50" w:line="240" w:lineRule="auto"/>
        <w:rPr>
          <w:rFonts w:hint="eastAsia" w:ascii="仿宋" w:hAnsi="仿宋" w:eastAsia="仿宋" w:cs="仿宋"/>
          <w:b/>
          <w:bCs/>
          <w:lang w:eastAsia="zh-CN" w:bidi="ar-SA"/>
        </w:rPr>
      </w:pPr>
      <w:bookmarkStart w:id="63" w:name="_Toc23211"/>
      <w:r>
        <w:rPr>
          <w:rFonts w:hint="eastAsia" w:ascii="仿宋" w:hAnsi="仿宋" w:eastAsia="仿宋" w:cs="仿宋"/>
          <w:b/>
          <w:lang w:eastAsia="zh-CN" w:bidi="ar-SA"/>
        </w:rPr>
        <w:t>附件3</w:t>
      </w:r>
      <w:bookmarkEnd w:id="63"/>
    </w:p>
    <w:p>
      <w:pPr>
        <w:spacing w:line="600" w:lineRule="exact"/>
        <w:jc w:val="center"/>
        <w:rPr>
          <w:rFonts w:hint="eastAsia" w:ascii="华文中宋" w:hAnsi="华文中宋" w:eastAsia="华文中宋" w:cs="华文中宋"/>
          <w:b/>
          <w:bCs/>
          <w:kern w:val="2"/>
          <w:sz w:val="44"/>
          <w:szCs w:val="44"/>
          <w:lang w:eastAsia="zh-CN" w:bidi="ar-SA"/>
        </w:rPr>
      </w:pPr>
      <w:r>
        <w:rPr>
          <w:rFonts w:hint="eastAsia" w:ascii="华文中宋" w:hAnsi="华文中宋" w:eastAsia="华文中宋" w:cs="华文中宋"/>
          <w:b/>
          <w:bCs/>
          <w:kern w:val="2"/>
          <w:sz w:val="44"/>
          <w:szCs w:val="44"/>
          <w:lang w:eastAsia="zh-CN" w:bidi="ar-SA"/>
        </w:rPr>
        <w:t>地质灾害分布情况表</w:t>
      </w:r>
    </w:p>
    <w:tbl>
      <w:tblPr>
        <w:tblStyle w:val="15"/>
        <w:tblW w:w="14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484"/>
        <w:gridCol w:w="727"/>
        <w:gridCol w:w="773"/>
        <w:gridCol w:w="704"/>
        <w:gridCol w:w="1558"/>
        <w:gridCol w:w="1558"/>
        <w:gridCol w:w="727"/>
        <w:gridCol w:w="888"/>
        <w:gridCol w:w="762"/>
        <w:gridCol w:w="1719"/>
        <w:gridCol w:w="1442"/>
        <w:gridCol w:w="727"/>
        <w:gridCol w:w="773"/>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blHeader/>
        </w:trPr>
        <w:tc>
          <w:tcPr>
            <w:tcW w:w="475"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序号</w:t>
            </w:r>
          </w:p>
        </w:tc>
        <w:tc>
          <w:tcPr>
            <w:tcW w:w="48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村</w:t>
            </w: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组</w:t>
            </w: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威胁人口(人)</w:t>
            </w:r>
          </w:p>
        </w:tc>
        <w:tc>
          <w:tcPr>
            <w:tcW w:w="70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威胁财产    (万元)</w:t>
            </w: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村级责任人及联系方式</w:t>
            </w: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村级监测员及联系方式</w:t>
            </w: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 xml:space="preserve">灾害类型 </w:t>
            </w:r>
          </w:p>
        </w:tc>
        <w:tc>
          <w:tcPr>
            <w:tcW w:w="88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规模</w:t>
            </w:r>
          </w:p>
        </w:tc>
        <w:tc>
          <w:tcPr>
            <w:tcW w:w="762"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潜在危害</w:t>
            </w:r>
          </w:p>
        </w:tc>
        <w:tc>
          <w:tcPr>
            <w:tcW w:w="1719"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地质环境条件</w:t>
            </w:r>
          </w:p>
        </w:tc>
        <w:tc>
          <w:tcPr>
            <w:tcW w:w="1442"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变形特征及历史活动情况</w:t>
            </w: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预定报警方法</w:t>
            </w: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预定避灾地点</w:t>
            </w:r>
          </w:p>
        </w:tc>
        <w:tc>
          <w:tcPr>
            <w:tcW w:w="751"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b/>
                <w:bCs/>
                <w:kern w:val="2"/>
                <w:lang w:val="en-US" w:bidi="ar-SA"/>
              </w:rPr>
            </w:pPr>
            <w:r>
              <w:rPr>
                <w:rFonts w:hint="eastAsia" w:ascii="仿宋_GB2312" w:hAnsi="仿宋_GB2312" w:eastAsia="仿宋_GB2312" w:cs="仿宋_GB2312"/>
                <w:b/>
                <w:bCs/>
                <w:kern w:val="2"/>
                <w:lang w:val="en-US" w:bidi="ar-SA"/>
              </w:rPr>
              <w:t>预定疏散路线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75" w:type="dxa"/>
            <w:vAlign w:val="center"/>
          </w:tcPr>
          <w:p>
            <w:pPr>
              <w:pStyle w:val="48"/>
              <w:tabs>
                <w:tab w:val="left" w:pos="3746"/>
                <w:tab w:val="left" w:pos="4447"/>
                <w:tab w:val="left" w:pos="5148"/>
                <w:tab w:val="left" w:pos="5849"/>
                <w:tab w:val="left" w:pos="6547"/>
              </w:tabs>
              <w:ind w:left="0"/>
              <w:jc w:val="center"/>
              <w:rPr>
                <w:rFonts w:hint="eastAsia" w:ascii="仿宋_GB2312" w:hAnsi="仿宋_GB2312" w:eastAsia="仿宋_GB2312" w:cs="仿宋_GB2312"/>
                <w:kern w:val="2"/>
                <w:lang w:val="en-US" w:eastAsia="zh-CN" w:bidi="ar-SA"/>
              </w:rPr>
            </w:pPr>
            <w:r>
              <w:rPr>
                <w:rFonts w:hint="eastAsia" w:ascii="仿宋_GB2312" w:hAnsi="仿宋_GB2312" w:eastAsia="仿宋_GB2312" w:cs="仿宋_GB2312"/>
                <w:kern w:val="2"/>
                <w:lang w:val="en-US" w:eastAsia="zh-CN" w:bidi="ar-SA"/>
              </w:rPr>
              <w:t>1</w:t>
            </w:r>
          </w:p>
        </w:tc>
        <w:tc>
          <w:tcPr>
            <w:tcW w:w="48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0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88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62"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719" w:type="dxa"/>
            <w:vAlign w:val="center"/>
          </w:tcPr>
          <w:p>
            <w:pPr>
              <w:widowControl/>
              <w:jc w:val="center"/>
              <w:textAlignment w:val="center"/>
              <w:rPr>
                <w:rFonts w:ascii="仿宋_GB2312" w:hAnsi="仿宋_GB2312" w:eastAsia="仿宋_GB2312" w:cs="仿宋_GB2312"/>
                <w:kern w:val="2"/>
                <w:lang w:eastAsia="zh-CN" w:bidi="ar-SA"/>
              </w:rPr>
            </w:pPr>
          </w:p>
        </w:tc>
        <w:tc>
          <w:tcPr>
            <w:tcW w:w="1442" w:type="dxa"/>
            <w:vAlign w:val="center"/>
          </w:tcPr>
          <w:p>
            <w:pPr>
              <w:widowControl/>
              <w:jc w:val="center"/>
              <w:textAlignment w:val="center"/>
              <w:rPr>
                <w:rFonts w:ascii="仿宋_GB2312" w:hAnsi="仿宋_GB2312" w:eastAsia="仿宋_GB2312" w:cs="仿宋_GB2312"/>
                <w:kern w:val="2"/>
                <w:lang w:eastAsia="zh-CN"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51"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75" w:type="dxa"/>
            <w:vAlign w:val="center"/>
          </w:tcPr>
          <w:p>
            <w:pPr>
              <w:pStyle w:val="48"/>
              <w:tabs>
                <w:tab w:val="left" w:pos="3746"/>
                <w:tab w:val="left" w:pos="4447"/>
                <w:tab w:val="left" w:pos="5148"/>
                <w:tab w:val="left" w:pos="5849"/>
                <w:tab w:val="left" w:pos="6547"/>
              </w:tabs>
              <w:ind w:left="0"/>
              <w:jc w:val="center"/>
              <w:rPr>
                <w:rFonts w:hint="eastAsia" w:ascii="仿宋_GB2312" w:hAnsi="仿宋_GB2312" w:eastAsia="仿宋_GB2312" w:cs="仿宋_GB2312"/>
                <w:kern w:val="2"/>
                <w:lang w:val="en-US" w:eastAsia="zh-CN" w:bidi="ar-SA"/>
              </w:rPr>
            </w:pPr>
            <w:r>
              <w:rPr>
                <w:rFonts w:hint="eastAsia" w:ascii="仿宋_GB2312" w:hAnsi="仿宋_GB2312" w:eastAsia="仿宋_GB2312" w:cs="仿宋_GB2312"/>
                <w:kern w:val="2"/>
                <w:lang w:val="en-US" w:eastAsia="zh-CN" w:bidi="ar-SA"/>
              </w:rPr>
              <w:t>2</w:t>
            </w:r>
          </w:p>
        </w:tc>
        <w:tc>
          <w:tcPr>
            <w:tcW w:w="48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0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88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62"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719" w:type="dxa"/>
            <w:vAlign w:val="center"/>
          </w:tcPr>
          <w:p>
            <w:pPr>
              <w:widowControl/>
              <w:jc w:val="center"/>
              <w:textAlignment w:val="center"/>
              <w:rPr>
                <w:rFonts w:ascii="仿宋_GB2312" w:hAnsi="仿宋_GB2312" w:eastAsia="仿宋_GB2312" w:cs="仿宋_GB2312"/>
                <w:kern w:val="2"/>
                <w:lang w:eastAsia="zh-CN" w:bidi="ar-SA"/>
              </w:rPr>
            </w:pPr>
          </w:p>
        </w:tc>
        <w:tc>
          <w:tcPr>
            <w:tcW w:w="1442" w:type="dxa"/>
            <w:vAlign w:val="center"/>
          </w:tcPr>
          <w:p>
            <w:pPr>
              <w:widowControl/>
              <w:jc w:val="center"/>
              <w:textAlignment w:val="center"/>
              <w:rPr>
                <w:rFonts w:ascii="仿宋_GB2312" w:hAnsi="仿宋_GB2312" w:eastAsia="仿宋_GB2312" w:cs="仿宋_GB2312"/>
                <w:kern w:val="2"/>
                <w:lang w:eastAsia="zh-CN"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51"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75" w:type="dxa"/>
            <w:vAlign w:val="center"/>
          </w:tcPr>
          <w:p>
            <w:pPr>
              <w:pStyle w:val="48"/>
              <w:tabs>
                <w:tab w:val="left" w:pos="3746"/>
                <w:tab w:val="left" w:pos="4447"/>
                <w:tab w:val="left" w:pos="5148"/>
                <w:tab w:val="left" w:pos="5849"/>
                <w:tab w:val="left" w:pos="6547"/>
              </w:tabs>
              <w:ind w:left="0"/>
              <w:jc w:val="center"/>
              <w:rPr>
                <w:rFonts w:hint="eastAsia" w:ascii="仿宋_GB2312" w:hAnsi="仿宋_GB2312" w:eastAsia="仿宋_GB2312" w:cs="仿宋_GB2312"/>
                <w:kern w:val="2"/>
                <w:lang w:val="en-US" w:eastAsia="zh-CN" w:bidi="ar-SA"/>
              </w:rPr>
            </w:pPr>
            <w:r>
              <w:rPr>
                <w:rFonts w:hint="eastAsia" w:ascii="仿宋_GB2312" w:hAnsi="仿宋_GB2312" w:eastAsia="仿宋_GB2312" w:cs="仿宋_GB2312"/>
                <w:kern w:val="2"/>
                <w:lang w:val="en-US" w:eastAsia="zh-CN" w:bidi="ar-SA"/>
              </w:rPr>
              <w:t>3</w:t>
            </w:r>
          </w:p>
        </w:tc>
        <w:tc>
          <w:tcPr>
            <w:tcW w:w="48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04"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55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888"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62"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1719" w:type="dxa"/>
            <w:vAlign w:val="center"/>
          </w:tcPr>
          <w:p>
            <w:pPr>
              <w:widowControl/>
              <w:jc w:val="center"/>
              <w:textAlignment w:val="center"/>
              <w:rPr>
                <w:rFonts w:ascii="仿宋_GB2312" w:hAnsi="仿宋_GB2312" w:eastAsia="仿宋_GB2312" w:cs="仿宋_GB2312"/>
                <w:kern w:val="2"/>
                <w:lang w:eastAsia="zh-CN" w:bidi="ar-SA"/>
              </w:rPr>
            </w:pPr>
          </w:p>
        </w:tc>
        <w:tc>
          <w:tcPr>
            <w:tcW w:w="1442" w:type="dxa"/>
            <w:vAlign w:val="center"/>
          </w:tcPr>
          <w:p>
            <w:pPr>
              <w:widowControl/>
              <w:jc w:val="center"/>
              <w:textAlignment w:val="center"/>
              <w:rPr>
                <w:rFonts w:ascii="仿宋_GB2312" w:hAnsi="仿宋_GB2312" w:eastAsia="仿宋_GB2312" w:cs="仿宋_GB2312"/>
                <w:kern w:val="2"/>
                <w:lang w:eastAsia="zh-CN" w:bidi="ar-SA"/>
              </w:rPr>
            </w:pPr>
          </w:p>
        </w:tc>
        <w:tc>
          <w:tcPr>
            <w:tcW w:w="727"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73"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c>
          <w:tcPr>
            <w:tcW w:w="751" w:type="dxa"/>
            <w:vAlign w:val="center"/>
          </w:tcPr>
          <w:p>
            <w:pPr>
              <w:pStyle w:val="48"/>
              <w:tabs>
                <w:tab w:val="left" w:pos="3746"/>
                <w:tab w:val="left" w:pos="4447"/>
                <w:tab w:val="left" w:pos="5148"/>
                <w:tab w:val="left" w:pos="5849"/>
                <w:tab w:val="left" w:pos="6547"/>
              </w:tabs>
              <w:ind w:left="0"/>
              <w:jc w:val="center"/>
              <w:rPr>
                <w:rFonts w:ascii="仿宋_GB2312" w:hAnsi="仿宋_GB2312" w:eastAsia="仿宋_GB2312" w:cs="仿宋_GB2312"/>
                <w:kern w:val="2"/>
                <w:lang w:val="en-US" w:bidi="ar-SA"/>
              </w:rPr>
            </w:pPr>
          </w:p>
        </w:tc>
      </w:tr>
    </w:tbl>
    <w:p>
      <w:pPr>
        <w:rPr>
          <w:rFonts w:ascii="楷体_GB2312" w:hAnsi="楷体_GB2312" w:eastAsia="楷体_GB2312" w:cs="楷体_GB2312"/>
          <w:b/>
          <w:bCs/>
          <w:lang w:eastAsia="zh-CN" w:bidi="ar-SA"/>
        </w:rPr>
      </w:pPr>
      <w:r>
        <w:rPr>
          <w:rFonts w:hint="eastAsia" w:ascii="楷体_GB2312" w:hAnsi="楷体_GB2312" w:eastAsia="楷体_GB2312" w:cs="楷体_GB2312"/>
          <w:b/>
          <w:bCs/>
          <w:lang w:eastAsia="zh-CN" w:bidi="ar-SA"/>
        </w:rPr>
        <w:br w:type="page"/>
      </w:r>
    </w:p>
    <w:p>
      <w:pPr>
        <w:pStyle w:val="2"/>
        <w:spacing w:beforeLines="50" w:afterLines="50" w:line="240" w:lineRule="auto"/>
        <w:rPr>
          <w:rFonts w:hint="eastAsia" w:ascii="仿宋" w:hAnsi="仿宋" w:eastAsia="仿宋" w:cs="仿宋"/>
          <w:b/>
          <w:bCs/>
          <w:lang w:eastAsia="zh-CN" w:bidi="ar-SA"/>
        </w:rPr>
      </w:pPr>
      <w:bookmarkStart w:id="64" w:name="_Toc8322"/>
      <w:r>
        <w:rPr>
          <w:rFonts w:hint="eastAsia" w:ascii="仿宋" w:hAnsi="仿宋" w:eastAsia="仿宋" w:cs="仿宋"/>
          <w:b/>
          <w:bCs/>
          <w:lang w:eastAsia="zh-CN" w:bidi="ar-SA"/>
        </w:rPr>
        <w:t>附件4</w:t>
      </w:r>
      <w:bookmarkEnd w:id="64"/>
    </w:p>
    <w:p>
      <w:pPr>
        <w:spacing w:line="600" w:lineRule="exact"/>
        <w:jc w:val="center"/>
        <w:rPr>
          <w:rFonts w:hint="eastAsia" w:ascii="华文中宋" w:hAnsi="华文中宋" w:eastAsia="华文中宋" w:cs="华文中宋"/>
          <w:b/>
          <w:bCs/>
          <w:color w:val="000000" w:themeColor="text1"/>
          <w:sz w:val="44"/>
          <w:szCs w:val="44"/>
          <w:lang w:eastAsia="zh-CN"/>
          <w14:textFill>
            <w14:solidFill>
              <w14:schemeClr w14:val="tx1"/>
            </w14:solidFill>
          </w14:textFill>
        </w:rPr>
      </w:pPr>
      <w:r>
        <w:rPr>
          <w:rFonts w:hint="eastAsia" w:ascii="华文中宋" w:hAnsi="华文中宋" w:eastAsia="华文中宋" w:cs="华文中宋"/>
          <w:b/>
          <w:bCs/>
          <w:color w:val="000000" w:themeColor="text1"/>
          <w:sz w:val="44"/>
          <w:szCs w:val="44"/>
          <w:lang w:eastAsia="zh-CN"/>
          <w14:textFill>
            <w14:solidFill>
              <w14:schemeClr w14:val="tx1"/>
            </w14:solidFill>
          </w14:textFill>
        </w:rPr>
        <w:t>应急避护场所一览表</w:t>
      </w:r>
    </w:p>
    <w:tbl>
      <w:tblPr>
        <w:tblStyle w:val="14"/>
        <w:tblW w:w="14366" w:type="dxa"/>
        <w:tblInd w:w="93" w:type="dxa"/>
        <w:tblLayout w:type="fixed"/>
        <w:tblCellMar>
          <w:top w:w="0" w:type="dxa"/>
          <w:left w:w="108" w:type="dxa"/>
          <w:bottom w:w="0" w:type="dxa"/>
          <w:right w:w="108" w:type="dxa"/>
        </w:tblCellMar>
      </w:tblPr>
      <w:tblGrid>
        <w:gridCol w:w="510"/>
        <w:gridCol w:w="1406"/>
        <w:gridCol w:w="1039"/>
        <w:gridCol w:w="1073"/>
        <w:gridCol w:w="1015"/>
        <w:gridCol w:w="1581"/>
        <w:gridCol w:w="1592"/>
        <w:gridCol w:w="889"/>
        <w:gridCol w:w="796"/>
        <w:gridCol w:w="958"/>
        <w:gridCol w:w="946"/>
        <w:gridCol w:w="854"/>
        <w:gridCol w:w="1707"/>
      </w:tblGrid>
      <w:tr>
        <w:tblPrEx>
          <w:tblCellMar>
            <w:top w:w="0" w:type="dxa"/>
            <w:left w:w="108" w:type="dxa"/>
            <w:bottom w:w="0" w:type="dxa"/>
            <w:right w:w="108" w:type="dxa"/>
          </w:tblCellMar>
        </w:tblPrEx>
        <w:trPr>
          <w:trHeight w:val="919" w:hRule="atLeast"/>
          <w:tblHead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序号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避护场所名称</w:t>
            </w:r>
          </w:p>
        </w:tc>
        <w:tc>
          <w:tcPr>
            <w:tcW w:w="1039"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所在镇（街）</w:t>
            </w:r>
          </w:p>
        </w:tc>
        <w:tc>
          <w:tcPr>
            <w:tcW w:w="107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场地</w:t>
            </w:r>
          </w:p>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属性</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场地</w:t>
            </w:r>
          </w:p>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类型</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地址</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基本情况</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建设</w:t>
            </w:r>
          </w:p>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年份</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面积</w:t>
            </w:r>
          </w:p>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（m</w:t>
            </w:r>
            <w:r>
              <w:rPr>
                <w:rFonts w:hint="eastAsia" w:ascii="仿宋_GB2312" w:hAnsi="仿宋_GB2312" w:eastAsia="仿宋_GB2312" w:cs="仿宋_GB2312"/>
                <w:b/>
                <w:bCs/>
                <w:kern w:val="2"/>
                <w:vertAlign w:val="superscript"/>
                <w:lang w:eastAsia="zh-CN" w:bidi="ar-SA"/>
              </w:rPr>
              <w:t>2</w:t>
            </w:r>
            <w:r>
              <w:rPr>
                <w:rFonts w:hint="eastAsia" w:ascii="仿宋_GB2312" w:hAnsi="仿宋_GB2312" w:eastAsia="仿宋_GB2312" w:cs="仿宋_GB2312"/>
                <w:b/>
                <w:bCs/>
                <w:kern w:val="2"/>
                <w:lang w:eastAsia="zh-CN" w:bidi="ar-SA"/>
              </w:rPr>
              <w:t>）</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可容纳安置人数（人）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日常管理单位</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主管</w:t>
            </w:r>
          </w:p>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部门</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责任人及</w:t>
            </w:r>
          </w:p>
          <w:p>
            <w:pPr>
              <w:widowControl/>
              <w:jc w:val="center"/>
              <w:textAlignment w:val="center"/>
              <w:rPr>
                <w:rFonts w:ascii="仿宋_GB2312" w:hAnsi="仿宋_GB2312" w:eastAsia="仿宋_GB2312" w:cs="仿宋_GB2312"/>
                <w:b/>
                <w:bCs/>
                <w:kern w:val="2"/>
                <w:lang w:eastAsia="zh-CN" w:bidi="ar-SA"/>
              </w:rPr>
            </w:pPr>
            <w:r>
              <w:rPr>
                <w:rFonts w:hint="eastAsia" w:ascii="仿宋_GB2312" w:hAnsi="仿宋_GB2312" w:eastAsia="仿宋_GB2312" w:cs="仿宋_GB2312"/>
                <w:b/>
                <w:bCs/>
                <w:kern w:val="2"/>
                <w:lang w:eastAsia="zh-CN" w:bidi="ar-SA"/>
              </w:rPr>
              <w:t>联系电话</w:t>
            </w:r>
          </w:p>
        </w:tc>
      </w:tr>
      <w:tr>
        <w:tblPrEx>
          <w:tblCellMar>
            <w:top w:w="0" w:type="dxa"/>
            <w:left w:w="108" w:type="dxa"/>
            <w:bottom w:w="0" w:type="dxa"/>
            <w:right w:w="108" w:type="dxa"/>
          </w:tblCellMar>
        </w:tblPrEx>
        <w:trPr>
          <w:trHeight w:val="160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r>
              <w:rPr>
                <w:rFonts w:hint="eastAsia" w:ascii="仿宋_GB2312" w:hAnsi="仿宋_GB2312" w:eastAsia="仿宋_GB2312" w:cs="仿宋_GB2312"/>
                <w:kern w:val="2"/>
                <w:lang w:eastAsia="zh-CN" w:bidi="ar-SA"/>
              </w:rPr>
              <w:t>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39"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r>
      <w:tr>
        <w:trPr>
          <w:trHeight w:val="160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r>
              <w:rPr>
                <w:rFonts w:hint="eastAsia" w:ascii="仿宋_GB2312" w:hAnsi="仿宋_GB2312" w:eastAsia="仿宋_GB2312" w:cs="仿宋_GB2312"/>
                <w:kern w:val="2"/>
                <w:lang w:eastAsia="zh-CN" w:bidi="ar-SA"/>
              </w:rPr>
              <w:t>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39"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r>
      <w:tr>
        <w:trPr>
          <w:trHeight w:val="160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r>
              <w:rPr>
                <w:rFonts w:hint="eastAsia" w:ascii="仿宋_GB2312" w:hAnsi="仿宋_GB2312" w:eastAsia="仿宋_GB2312" w:cs="仿宋_GB2312"/>
                <w:kern w:val="2"/>
                <w:lang w:eastAsia="zh-CN" w:bidi="ar-SA"/>
              </w:rPr>
              <w:t>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39"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2"/>
                <w:lang w:eastAsia="zh-CN" w:bidi="ar-SA"/>
              </w:rPr>
            </w:pPr>
          </w:p>
        </w:tc>
      </w:tr>
    </w:tbl>
    <w:p>
      <w:pPr>
        <w:spacing w:line="600" w:lineRule="exact"/>
        <w:jc w:val="both"/>
        <w:rPr>
          <w:rFonts w:ascii="仿宋_GB2312" w:hAnsi="Calibri" w:eastAsia="仿宋_GB2312"/>
          <w:kern w:val="2"/>
          <w:sz w:val="32"/>
          <w:szCs w:val="32"/>
          <w:lang w:eastAsia="zh-CN" w:bidi="ar-SA"/>
        </w:rPr>
      </w:pPr>
    </w:p>
    <w:sectPr>
      <w:headerReference r:id="rId10" w:type="default"/>
      <w:footerReference r:id="rId12" w:type="default"/>
      <w:headerReference r:id="rId11" w:type="even"/>
      <w:footerReference r:id="rId13" w:type="even"/>
      <w:type w:val="continuous"/>
      <w:pgSz w:w="16840" w:h="11900" w:orient="landscape"/>
      <w:pgMar w:top="1474" w:right="1361" w:bottom="1474" w:left="1361" w:header="0" w:footer="1134"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XFS">
    <w:altName w:val="宋体"/>
    <w:panose1 w:val="00000000000000000000"/>
    <w:charset w:val="86"/>
    <w:family w:val="swiss"/>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18"/>
      </w:rPr>
      <mc:AlternateContent>
        <mc:Choice Requires="wps">
          <w:drawing>
            <wp:anchor distT="0" distB="0" distL="114300" distR="114300" simplePos="0" relativeHeight="251660288" behindDoc="0" locked="0" layoutInCell="1" allowOverlap="1">
              <wp:simplePos x="0" y="0"/>
              <wp:positionH relativeFrom="margin">
                <wp:posOffset>2517775</wp:posOffset>
              </wp:positionH>
              <wp:positionV relativeFrom="paragraph">
                <wp:posOffset>-192405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eastAsia="宋体"/>
                              <w:lang w:eastAsia="zh-CN"/>
                            </w:rPr>
                          </w:pPr>
                          <w:r>
                            <w:rPr>
                              <w:rFonts w:hint="eastAsia" w:ascii="宋体" w:hAnsi="宋体" w:eastAsia="宋体" w:cs="宋体"/>
                              <w:sz w:val="28"/>
                              <w:szCs w:val="28"/>
                              <w:lang w:eastAsia="zh-CN"/>
                            </w:rPr>
                            <w:t>—</w:t>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left:198.25pt;margin-top:-15.15pt;height:144pt;width:144pt;mso-position-horizontal-relative:margin;mso-wrap-style:none;z-index:251660288;mso-width-relative:page;mso-height-relative:page;" filled="f" stroked="f" coordsize="21600,21600" o:gfxdata="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N1iE2QAAAAsBAAAPAAAAAAAAAAEAIAAA&#10;ACIAAABkcnMvZG93bnJldi54bWxQSwECFAAUAAAACACHTuJA0kBJ9tIBAACiAwAADgAAAAAAAAAB&#10;ACAAAAAoAQAAZHJzL2Uyb0RvYy54bWxQSwUGAAAAAAYABgBZAQAAbAUAAAAA&#10;">
              <v:fill on="f" focussize="0,0"/>
              <v:stroke on="f" weight="0.5pt"/>
              <v:imagedata o:title=""/>
              <o:lock v:ext="edit" aspectratio="f"/>
              <v:textbox inset="0mm,0mm,0mm,0mm" style="mso-fit-shape-to-text:t;">
                <w:txbxContent>
                  <w:p>
                    <w:pPr>
                      <w:pStyle w:val="9"/>
                      <w:rPr>
                        <w:rFonts w:eastAsia="宋体"/>
                        <w:lang w:eastAsia="zh-CN"/>
                      </w:rPr>
                    </w:pPr>
                    <w:r>
                      <w:rPr>
                        <w:rFonts w:hint="eastAsia" w:ascii="宋体" w:hAnsi="宋体" w:eastAsia="宋体" w:cs="宋体"/>
                        <w:sz w:val="28"/>
                        <w:szCs w:val="28"/>
                        <w:lang w:eastAsia="zh-CN"/>
                      </w:rPr>
                      <w:t>—</w:t>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18"/>
      </w:rPr>
      <mc:AlternateContent>
        <mc:Choice Requires="wps">
          <w:drawing>
            <wp:anchor distT="0" distB="0" distL="114300" distR="114300" simplePos="0" relativeHeight="251659264" behindDoc="0" locked="0" layoutInCell="1" allowOverlap="1">
              <wp:simplePos x="0" y="0"/>
              <wp:positionH relativeFrom="margin">
                <wp:posOffset>2653030</wp:posOffset>
              </wp:positionH>
              <wp:positionV relativeFrom="paragraph">
                <wp:posOffset>-175895</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文本框 7" o:spid="_x0000_s1026" o:spt="202" type="#_x0000_t202" style="position:absolute;left:0pt;margin-left:208.9pt;margin-top:-13.85pt;height:144pt;width:144pt;mso-position-horizontal-relative:margin;mso-wrap-style:none;z-index:251659264;mso-width-relative:page;mso-height-relative:page;" filled="f" stroked="f" coordsize="21600,21600" o:gfxdata="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W7I2AAAAAsBAAAPAAAAAAAAAAEAIAAAACIA&#10;AABkcnMvZG93bnJldi54bWxQSwECFAAUAAAACACHTuJA5eDWXdABAACiAwAADgAAAAAAAAABACAA&#10;AAAnAQAAZHJzL2Uyb0RvYy54bWxQSwUGAAAAAAYABgBZAQAAaQ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10"/>
                        <w:szCs w:val="10"/>
                        <w:lang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posOffset>4100195</wp:posOffset>
              </wp:positionH>
              <wp:positionV relativeFrom="paragraph">
                <wp:posOffset>-41275</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10"/>
                              <w:szCs w:val="10"/>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10"/>
                              <w:szCs w:val="10"/>
                            </w:rPr>
                            <w:t xml:space="preserve"> </w:t>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文本框 4" o:spid="_x0000_s1026" o:spt="202" type="#_x0000_t202" style="position:absolute;left:0pt;margin-left:322.85pt;margin-top:-3.25pt;height:144pt;width:144pt;mso-position-horizontal-relative:margin;mso-wrap-style:none;z-index:251661312;mso-width-relative:page;mso-height-relative:page;" filled="f" stroked="f" coordsize="21600,21600" o:gfxdata="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8kTjYAAAACgEAAA8AAAAAAAAAAQAgAAAA&#10;IgAAAGRycy9kb3ducmV2LnhtbFBLAQIUABQAAAAIAIdO4kBnYEKp0gEAAKIDAAAOAAAAAAAAAAEA&#10;IAAAACcBAABkcnMvZTJvRG9jLnhtbFBLBQYAAAAABgAGAFkBAABr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10"/>
                        <w:szCs w:val="10"/>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10"/>
                        <w:szCs w:val="10"/>
                      </w:rPr>
                      <w:t xml:space="preserve"> </w:t>
                    </w:r>
                    <w:r>
                      <w:rPr>
                        <w:rFonts w:hint="eastAsia" w:ascii="宋体" w:hAnsi="宋体" w:eastAsia="宋体" w:cs="宋体"/>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-311150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24.5pt;height:144pt;width:144pt;mso-position-horizontal:center;mso-position-horizontal-relative:margin;mso-wrap-style:none;z-index:251662336;mso-width-relative:page;mso-height-relative:page;" filled="f" stroked="f" coordsize="21600,21600" o:gfxdata="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JVuL9QAAAAIAQAADwAAAAAAAAABACAAAAAiAAAA&#10;ZHJzL2Rvd25yZXYueG1sUEsBAhQAFAAAAAgAh07iQPWhLgTSAQAAogMAAA4AAAAAAAAAAQAgAAAA&#10;IwEAAGRycy9lMm9Eb2MueG1sUEsFBgAAAAAGAAYAWQEAAGc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81"/>
  <w:drawingGridVerticalSpacing w:val="18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TljN2NmY2U1ZTk5Yzc4NzM1MTFmYjIxNDdmNDQifQ=="/>
  </w:docVars>
  <w:rsids>
    <w:rsidRoot w:val="00172A27"/>
    <w:rsid w:val="0000226A"/>
    <w:rsid w:val="000031ED"/>
    <w:rsid w:val="000176EC"/>
    <w:rsid w:val="000215A7"/>
    <w:rsid w:val="00023314"/>
    <w:rsid w:val="000255E9"/>
    <w:rsid w:val="00037E53"/>
    <w:rsid w:val="00046743"/>
    <w:rsid w:val="000471A5"/>
    <w:rsid w:val="00067BDF"/>
    <w:rsid w:val="00076767"/>
    <w:rsid w:val="00095244"/>
    <w:rsid w:val="00095608"/>
    <w:rsid w:val="000B5557"/>
    <w:rsid w:val="0012316C"/>
    <w:rsid w:val="001273D1"/>
    <w:rsid w:val="0013271F"/>
    <w:rsid w:val="001362B5"/>
    <w:rsid w:val="0015093C"/>
    <w:rsid w:val="00157809"/>
    <w:rsid w:val="00160511"/>
    <w:rsid w:val="00163395"/>
    <w:rsid w:val="00167AAC"/>
    <w:rsid w:val="00172A27"/>
    <w:rsid w:val="001913F8"/>
    <w:rsid w:val="001B778D"/>
    <w:rsid w:val="001C1368"/>
    <w:rsid w:val="001C46CC"/>
    <w:rsid w:val="001D7245"/>
    <w:rsid w:val="001E01AC"/>
    <w:rsid w:val="001E6671"/>
    <w:rsid w:val="001F56FD"/>
    <w:rsid w:val="002239E1"/>
    <w:rsid w:val="002429E4"/>
    <w:rsid w:val="00250280"/>
    <w:rsid w:val="002702A7"/>
    <w:rsid w:val="002909AC"/>
    <w:rsid w:val="002A78F9"/>
    <w:rsid w:val="002B687B"/>
    <w:rsid w:val="002C781E"/>
    <w:rsid w:val="002D2976"/>
    <w:rsid w:val="00313AEB"/>
    <w:rsid w:val="00316C96"/>
    <w:rsid w:val="00321C2B"/>
    <w:rsid w:val="0033080B"/>
    <w:rsid w:val="00337EB7"/>
    <w:rsid w:val="003535DA"/>
    <w:rsid w:val="0037687E"/>
    <w:rsid w:val="003814E2"/>
    <w:rsid w:val="00384EA7"/>
    <w:rsid w:val="003948DB"/>
    <w:rsid w:val="003C77AD"/>
    <w:rsid w:val="00400017"/>
    <w:rsid w:val="004077A1"/>
    <w:rsid w:val="0041472F"/>
    <w:rsid w:val="00424FF1"/>
    <w:rsid w:val="00436856"/>
    <w:rsid w:val="004529A2"/>
    <w:rsid w:val="004720A6"/>
    <w:rsid w:val="00477444"/>
    <w:rsid w:val="004B3EFC"/>
    <w:rsid w:val="004B4910"/>
    <w:rsid w:val="004C3B80"/>
    <w:rsid w:val="004C495C"/>
    <w:rsid w:val="004D243E"/>
    <w:rsid w:val="004E18DE"/>
    <w:rsid w:val="004E587E"/>
    <w:rsid w:val="004E5E00"/>
    <w:rsid w:val="004E73D4"/>
    <w:rsid w:val="004F6190"/>
    <w:rsid w:val="005072C1"/>
    <w:rsid w:val="0051253D"/>
    <w:rsid w:val="00516224"/>
    <w:rsid w:val="00517106"/>
    <w:rsid w:val="00523CBA"/>
    <w:rsid w:val="00534310"/>
    <w:rsid w:val="00542EF0"/>
    <w:rsid w:val="0055147D"/>
    <w:rsid w:val="00555C20"/>
    <w:rsid w:val="00560737"/>
    <w:rsid w:val="005805AB"/>
    <w:rsid w:val="00582C71"/>
    <w:rsid w:val="005952FE"/>
    <w:rsid w:val="005A072B"/>
    <w:rsid w:val="005B7BF4"/>
    <w:rsid w:val="005C4E75"/>
    <w:rsid w:val="005F3631"/>
    <w:rsid w:val="00614562"/>
    <w:rsid w:val="00654987"/>
    <w:rsid w:val="00662275"/>
    <w:rsid w:val="006A1378"/>
    <w:rsid w:val="006A2E13"/>
    <w:rsid w:val="006C03B2"/>
    <w:rsid w:val="006C40C1"/>
    <w:rsid w:val="006D32FB"/>
    <w:rsid w:val="006E014A"/>
    <w:rsid w:val="006E4193"/>
    <w:rsid w:val="006F60B8"/>
    <w:rsid w:val="0071373B"/>
    <w:rsid w:val="00717249"/>
    <w:rsid w:val="00723DE7"/>
    <w:rsid w:val="00724762"/>
    <w:rsid w:val="00740FCE"/>
    <w:rsid w:val="00753BCA"/>
    <w:rsid w:val="007560F4"/>
    <w:rsid w:val="007A47AF"/>
    <w:rsid w:val="007D4470"/>
    <w:rsid w:val="007F730B"/>
    <w:rsid w:val="00813FAA"/>
    <w:rsid w:val="0083188B"/>
    <w:rsid w:val="008343E9"/>
    <w:rsid w:val="0087037D"/>
    <w:rsid w:val="00887B0F"/>
    <w:rsid w:val="008A77D3"/>
    <w:rsid w:val="008B13F1"/>
    <w:rsid w:val="008C46F0"/>
    <w:rsid w:val="0090254E"/>
    <w:rsid w:val="00917D57"/>
    <w:rsid w:val="00933E4C"/>
    <w:rsid w:val="009456CD"/>
    <w:rsid w:val="00967E0F"/>
    <w:rsid w:val="009743B1"/>
    <w:rsid w:val="00977201"/>
    <w:rsid w:val="00985D6C"/>
    <w:rsid w:val="00991997"/>
    <w:rsid w:val="009A16FE"/>
    <w:rsid w:val="009A3E3E"/>
    <w:rsid w:val="009A504F"/>
    <w:rsid w:val="009C5E2A"/>
    <w:rsid w:val="009F079C"/>
    <w:rsid w:val="009F0BA7"/>
    <w:rsid w:val="00A06CA8"/>
    <w:rsid w:val="00A35DF7"/>
    <w:rsid w:val="00A40633"/>
    <w:rsid w:val="00A57C35"/>
    <w:rsid w:val="00A82310"/>
    <w:rsid w:val="00A85AC5"/>
    <w:rsid w:val="00A86FB0"/>
    <w:rsid w:val="00A93AC1"/>
    <w:rsid w:val="00AA0AC7"/>
    <w:rsid w:val="00AB18E2"/>
    <w:rsid w:val="00B015D9"/>
    <w:rsid w:val="00B140E5"/>
    <w:rsid w:val="00B24946"/>
    <w:rsid w:val="00B51C4E"/>
    <w:rsid w:val="00B626E4"/>
    <w:rsid w:val="00B82A1C"/>
    <w:rsid w:val="00B83182"/>
    <w:rsid w:val="00B91DBC"/>
    <w:rsid w:val="00B92AF2"/>
    <w:rsid w:val="00BB02CB"/>
    <w:rsid w:val="00BC61C9"/>
    <w:rsid w:val="00C30618"/>
    <w:rsid w:val="00C30F33"/>
    <w:rsid w:val="00C40E72"/>
    <w:rsid w:val="00C42CC8"/>
    <w:rsid w:val="00C43193"/>
    <w:rsid w:val="00C5098B"/>
    <w:rsid w:val="00C66175"/>
    <w:rsid w:val="00C71C17"/>
    <w:rsid w:val="00C7239D"/>
    <w:rsid w:val="00C811C5"/>
    <w:rsid w:val="00CB3AD8"/>
    <w:rsid w:val="00CB60AF"/>
    <w:rsid w:val="00CC0FB1"/>
    <w:rsid w:val="00CE46BC"/>
    <w:rsid w:val="00CF22D9"/>
    <w:rsid w:val="00D072BB"/>
    <w:rsid w:val="00D14DEB"/>
    <w:rsid w:val="00D22A99"/>
    <w:rsid w:val="00D34FB0"/>
    <w:rsid w:val="00D351BE"/>
    <w:rsid w:val="00D40363"/>
    <w:rsid w:val="00D44071"/>
    <w:rsid w:val="00D44426"/>
    <w:rsid w:val="00D7193C"/>
    <w:rsid w:val="00D80D30"/>
    <w:rsid w:val="00D81AE6"/>
    <w:rsid w:val="00D90FF4"/>
    <w:rsid w:val="00DA3A2F"/>
    <w:rsid w:val="00DC562E"/>
    <w:rsid w:val="00DC5EC3"/>
    <w:rsid w:val="00DD0E3B"/>
    <w:rsid w:val="00DD640B"/>
    <w:rsid w:val="00DF1889"/>
    <w:rsid w:val="00DF4AD0"/>
    <w:rsid w:val="00E23116"/>
    <w:rsid w:val="00E53035"/>
    <w:rsid w:val="00E64336"/>
    <w:rsid w:val="00E679E2"/>
    <w:rsid w:val="00E70A51"/>
    <w:rsid w:val="00E771F7"/>
    <w:rsid w:val="00E92E36"/>
    <w:rsid w:val="00E94A51"/>
    <w:rsid w:val="00E96F9C"/>
    <w:rsid w:val="00E97B3A"/>
    <w:rsid w:val="00EB5E39"/>
    <w:rsid w:val="00EC4D43"/>
    <w:rsid w:val="00EC5443"/>
    <w:rsid w:val="00ED5829"/>
    <w:rsid w:val="00EE5DE8"/>
    <w:rsid w:val="00EF417B"/>
    <w:rsid w:val="00F00637"/>
    <w:rsid w:val="00F07D32"/>
    <w:rsid w:val="00F124DE"/>
    <w:rsid w:val="00F24548"/>
    <w:rsid w:val="00F46382"/>
    <w:rsid w:val="00F51503"/>
    <w:rsid w:val="00F54F88"/>
    <w:rsid w:val="00F62534"/>
    <w:rsid w:val="00F66A72"/>
    <w:rsid w:val="00F70BF0"/>
    <w:rsid w:val="00F715F4"/>
    <w:rsid w:val="00F77EF9"/>
    <w:rsid w:val="00F82748"/>
    <w:rsid w:val="00F850AD"/>
    <w:rsid w:val="00F93F04"/>
    <w:rsid w:val="00F94A2A"/>
    <w:rsid w:val="00FA29CD"/>
    <w:rsid w:val="00FC59FB"/>
    <w:rsid w:val="00FD4B5E"/>
    <w:rsid w:val="00FE3641"/>
    <w:rsid w:val="00FF7B74"/>
    <w:rsid w:val="015A2C9F"/>
    <w:rsid w:val="01756E1D"/>
    <w:rsid w:val="02AF706E"/>
    <w:rsid w:val="02CC4534"/>
    <w:rsid w:val="03221939"/>
    <w:rsid w:val="03423E53"/>
    <w:rsid w:val="035D5FFD"/>
    <w:rsid w:val="051866D8"/>
    <w:rsid w:val="069D61AD"/>
    <w:rsid w:val="06BF5082"/>
    <w:rsid w:val="06E920DB"/>
    <w:rsid w:val="07221090"/>
    <w:rsid w:val="07E0478C"/>
    <w:rsid w:val="08B337FB"/>
    <w:rsid w:val="08D423D7"/>
    <w:rsid w:val="08E97328"/>
    <w:rsid w:val="0A427511"/>
    <w:rsid w:val="0AD814B2"/>
    <w:rsid w:val="0C6C085E"/>
    <w:rsid w:val="0C712A14"/>
    <w:rsid w:val="0D323785"/>
    <w:rsid w:val="0FF41247"/>
    <w:rsid w:val="106B68C8"/>
    <w:rsid w:val="11333889"/>
    <w:rsid w:val="113D1AEA"/>
    <w:rsid w:val="11AF3EF1"/>
    <w:rsid w:val="123F2DB0"/>
    <w:rsid w:val="12D7302B"/>
    <w:rsid w:val="13361A4E"/>
    <w:rsid w:val="133F45E9"/>
    <w:rsid w:val="15A81AD6"/>
    <w:rsid w:val="16027F80"/>
    <w:rsid w:val="16747734"/>
    <w:rsid w:val="18381BC6"/>
    <w:rsid w:val="192E1B78"/>
    <w:rsid w:val="193714A6"/>
    <w:rsid w:val="19691C8D"/>
    <w:rsid w:val="19DE207D"/>
    <w:rsid w:val="1A002777"/>
    <w:rsid w:val="1B7156DA"/>
    <w:rsid w:val="1BD65942"/>
    <w:rsid w:val="1C6B35F1"/>
    <w:rsid w:val="1C87135C"/>
    <w:rsid w:val="1DA30D14"/>
    <w:rsid w:val="1E7413C7"/>
    <w:rsid w:val="1F8B0228"/>
    <w:rsid w:val="1FFF7DB6"/>
    <w:rsid w:val="20F65A25"/>
    <w:rsid w:val="218C4A90"/>
    <w:rsid w:val="222704FE"/>
    <w:rsid w:val="22F14AFF"/>
    <w:rsid w:val="23061160"/>
    <w:rsid w:val="23B54101"/>
    <w:rsid w:val="23C819F8"/>
    <w:rsid w:val="24911329"/>
    <w:rsid w:val="25330099"/>
    <w:rsid w:val="271A123B"/>
    <w:rsid w:val="271D167A"/>
    <w:rsid w:val="27717F64"/>
    <w:rsid w:val="27C748D4"/>
    <w:rsid w:val="280301CC"/>
    <w:rsid w:val="29442AB2"/>
    <w:rsid w:val="294F2D83"/>
    <w:rsid w:val="296E2519"/>
    <w:rsid w:val="297B1F40"/>
    <w:rsid w:val="299F6F19"/>
    <w:rsid w:val="29EA0CE6"/>
    <w:rsid w:val="2A283962"/>
    <w:rsid w:val="2A414078"/>
    <w:rsid w:val="2A4F1EDE"/>
    <w:rsid w:val="2AC51233"/>
    <w:rsid w:val="2BDF56DB"/>
    <w:rsid w:val="2BFF210C"/>
    <w:rsid w:val="2D57639B"/>
    <w:rsid w:val="2D9037FB"/>
    <w:rsid w:val="2EA00B2C"/>
    <w:rsid w:val="2F9F03BC"/>
    <w:rsid w:val="30065C8A"/>
    <w:rsid w:val="30280B54"/>
    <w:rsid w:val="307D02CA"/>
    <w:rsid w:val="30E92735"/>
    <w:rsid w:val="310E7DFD"/>
    <w:rsid w:val="316E7B6E"/>
    <w:rsid w:val="31E911EB"/>
    <w:rsid w:val="32336E72"/>
    <w:rsid w:val="325D11EF"/>
    <w:rsid w:val="32B90842"/>
    <w:rsid w:val="3343009C"/>
    <w:rsid w:val="33AC15FA"/>
    <w:rsid w:val="34AE2748"/>
    <w:rsid w:val="34F40E57"/>
    <w:rsid w:val="3517196F"/>
    <w:rsid w:val="35BE1DB1"/>
    <w:rsid w:val="36B95D91"/>
    <w:rsid w:val="370817D8"/>
    <w:rsid w:val="37533EFA"/>
    <w:rsid w:val="38350883"/>
    <w:rsid w:val="3A3C641E"/>
    <w:rsid w:val="3A8E1F51"/>
    <w:rsid w:val="3A917C8D"/>
    <w:rsid w:val="3B466DF8"/>
    <w:rsid w:val="3BF31147"/>
    <w:rsid w:val="3CB7061B"/>
    <w:rsid w:val="3CE52EC8"/>
    <w:rsid w:val="3DCD4265"/>
    <w:rsid w:val="3DE32ECB"/>
    <w:rsid w:val="3E171AC2"/>
    <w:rsid w:val="3E320A56"/>
    <w:rsid w:val="3E7B08F2"/>
    <w:rsid w:val="3EC71E0E"/>
    <w:rsid w:val="40203FEB"/>
    <w:rsid w:val="409C5FD4"/>
    <w:rsid w:val="41545C32"/>
    <w:rsid w:val="42D162C5"/>
    <w:rsid w:val="42F86503"/>
    <w:rsid w:val="457A505F"/>
    <w:rsid w:val="459E375B"/>
    <w:rsid w:val="466E02BF"/>
    <w:rsid w:val="46C82560"/>
    <w:rsid w:val="475B141C"/>
    <w:rsid w:val="47853192"/>
    <w:rsid w:val="48CF5EC0"/>
    <w:rsid w:val="49606820"/>
    <w:rsid w:val="4A1F3381"/>
    <w:rsid w:val="4B975EB8"/>
    <w:rsid w:val="4BDE2BEC"/>
    <w:rsid w:val="4C157A91"/>
    <w:rsid w:val="4CC91DCB"/>
    <w:rsid w:val="4CEC38AB"/>
    <w:rsid w:val="4CF80624"/>
    <w:rsid w:val="4D4E311E"/>
    <w:rsid w:val="4DBA3009"/>
    <w:rsid w:val="4E173DF9"/>
    <w:rsid w:val="4F15231A"/>
    <w:rsid w:val="4F26464D"/>
    <w:rsid w:val="5017109C"/>
    <w:rsid w:val="508D2454"/>
    <w:rsid w:val="5102029B"/>
    <w:rsid w:val="511C0855"/>
    <w:rsid w:val="5184417D"/>
    <w:rsid w:val="519217DD"/>
    <w:rsid w:val="52124001"/>
    <w:rsid w:val="52197785"/>
    <w:rsid w:val="530D2DFE"/>
    <w:rsid w:val="536E413C"/>
    <w:rsid w:val="53816D64"/>
    <w:rsid w:val="53BD7BCB"/>
    <w:rsid w:val="53F94360"/>
    <w:rsid w:val="54B85748"/>
    <w:rsid w:val="56424C36"/>
    <w:rsid w:val="566F4317"/>
    <w:rsid w:val="567226B7"/>
    <w:rsid w:val="567E18EF"/>
    <w:rsid w:val="56CE725E"/>
    <w:rsid w:val="56F74136"/>
    <w:rsid w:val="57A858BF"/>
    <w:rsid w:val="57C8366E"/>
    <w:rsid w:val="57EA0A14"/>
    <w:rsid w:val="58157729"/>
    <w:rsid w:val="58935CA4"/>
    <w:rsid w:val="58B57B5E"/>
    <w:rsid w:val="599D7A88"/>
    <w:rsid w:val="59DD570D"/>
    <w:rsid w:val="5A0E33A3"/>
    <w:rsid w:val="5A824E92"/>
    <w:rsid w:val="5B86709C"/>
    <w:rsid w:val="5B9534B5"/>
    <w:rsid w:val="5BCB0C40"/>
    <w:rsid w:val="5C12285B"/>
    <w:rsid w:val="5C8207EE"/>
    <w:rsid w:val="5CB16B20"/>
    <w:rsid w:val="5D121A6B"/>
    <w:rsid w:val="5DF01B66"/>
    <w:rsid w:val="5E0C1592"/>
    <w:rsid w:val="5EDD7C8D"/>
    <w:rsid w:val="5F656994"/>
    <w:rsid w:val="604524B8"/>
    <w:rsid w:val="617F6F17"/>
    <w:rsid w:val="61D444F7"/>
    <w:rsid w:val="61D46342"/>
    <w:rsid w:val="61DF73E6"/>
    <w:rsid w:val="638C62C5"/>
    <w:rsid w:val="63A07F81"/>
    <w:rsid w:val="63C86BF3"/>
    <w:rsid w:val="63E757A5"/>
    <w:rsid w:val="643E64E8"/>
    <w:rsid w:val="644D0100"/>
    <w:rsid w:val="653E6BFD"/>
    <w:rsid w:val="66BF27EE"/>
    <w:rsid w:val="66E43193"/>
    <w:rsid w:val="68582A9D"/>
    <w:rsid w:val="69574913"/>
    <w:rsid w:val="699B69D3"/>
    <w:rsid w:val="69AC6D06"/>
    <w:rsid w:val="6AC064E3"/>
    <w:rsid w:val="6AE31697"/>
    <w:rsid w:val="6AFD7F78"/>
    <w:rsid w:val="6C893912"/>
    <w:rsid w:val="6D61082F"/>
    <w:rsid w:val="6DAA025E"/>
    <w:rsid w:val="6DD82E0E"/>
    <w:rsid w:val="6F6B4637"/>
    <w:rsid w:val="7155558B"/>
    <w:rsid w:val="72284D1B"/>
    <w:rsid w:val="72333065"/>
    <w:rsid w:val="72476DF4"/>
    <w:rsid w:val="745D6D51"/>
    <w:rsid w:val="746F33BE"/>
    <w:rsid w:val="749C3071"/>
    <w:rsid w:val="75FF6FD1"/>
    <w:rsid w:val="761A4658"/>
    <w:rsid w:val="768F16E6"/>
    <w:rsid w:val="7AC6012B"/>
    <w:rsid w:val="7C0E7A1A"/>
    <w:rsid w:val="7CD006A6"/>
    <w:rsid w:val="7D294665"/>
    <w:rsid w:val="7D7850A1"/>
    <w:rsid w:val="7F3F3DBA"/>
    <w:rsid w:val="7FB351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qFormat/>
    <w:uiPriority w:val="1"/>
    <w:pPr>
      <w:ind w:left="4724" w:hanging="544"/>
      <w:outlineLvl w:val="0"/>
    </w:pPr>
    <w:rPr>
      <w:rFonts w:ascii="仿宋" w:hAnsi="仿宋" w:eastAsia="仿宋" w:cs="仿宋"/>
      <w:sz w:val="36"/>
      <w:szCs w:val="36"/>
      <w:lang w:val="zh-CN" w:eastAsia="zh-CN" w:bidi="zh-CN"/>
    </w:rPr>
  </w:style>
  <w:style w:type="paragraph" w:styleId="3">
    <w:name w:val="heading 2"/>
    <w:basedOn w:val="1"/>
    <w:next w:val="1"/>
    <w:qFormat/>
    <w:uiPriority w:val="0"/>
    <w:pPr>
      <w:keepNext/>
      <w:keepLines/>
      <w:spacing w:before="240" w:after="240" w:line="360" w:lineRule="auto"/>
      <w:outlineLvl w:val="1"/>
    </w:pPr>
    <w:rPr>
      <w:rFonts w:ascii="Arial" w:hAnsi="Arial" w:eastAsia="黑体"/>
      <w:sz w:val="32"/>
      <w:szCs w:val="32"/>
    </w:rPr>
  </w:style>
  <w:style w:type="paragraph" w:styleId="4">
    <w:name w:val="heading 3"/>
    <w:basedOn w:val="1"/>
    <w:next w:val="1"/>
    <w:unhideWhenUsed/>
    <w:qFormat/>
    <w:uiPriority w:val="0"/>
    <w:pPr>
      <w:keepNext/>
      <w:keepLines/>
      <w:outlineLvl w:val="2"/>
    </w:pPr>
    <w:rPr>
      <w:rFonts w:eastAsia="仿宋_GB2312"/>
      <w:b/>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style>
  <w:style w:type="paragraph" w:styleId="6">
    <w:name w:val="Body Text"/>
    <w:basedOn w:val="1"/>
    <w:qFormat/>
    <w:uiPriority w:val="1"/>
    <w:pPr>
      <w:spacing w:before="5"/>
    </w:pPr>
    <w:rPr>
      <w:rFonts w:ascii="仿宋" w:hAnsi="仿宋" w:eastAsia="仿宋" w:cs="仿宋"/>
      <w:sz w:val="28"/>
      <w:szCs w:val="28"/>
      <w:lang w:val="zh-CN" w:eastAsia="zh-CN" w:bidi="zh-CN"/>
    </w:rPr>
  </w:style>
  <w:style w:type="paragraph" w:styleId="7">
    <w:name w:val="toc 3"/>
    <w:basedOn w:val="1"/>
    <w:next w:val="1"/>
    <w:qFormat/>
    <w:uiPriority w:val="39"/>
    <w:pPr>
      <w:ind w:left="840" w:leftChars="400"/>
    </w:pPr>
  </w:style>
  <w:style w:type="paragraph" w:styleId="8">
    <w:name w:val="Balloon Text"/>
    <w:basedOn w:val="1"/>
    <w:link w:val="59"/>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unhideWhenUsed/>
    <w:qFormat/>
    <w:uiPriority w:val="99"/>
    <w:pPr>
      <w:widowControl/>
      <w:spacing w:before="100" w:beforeAutospacing="1" w:after="100" w:afterAutospacing="1"/>
    </w:pPr>
    <w:rPr>
      <w:rFonts w:ascii="宋体" w:hAnsi="宋体" w:eastAsia="宋体" w:cs="宋体"/>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FollowedHyperlink"/>
    <w:basedOn w:val="16"/>
    <w:qFormat/>
    <w:uiPriority w:val="0"/>
    <w:rPr>
      <w:color w:val="333333"/>
      <w:u w:val="none"/>
    </w:rPr>
  </w:style>
  <w:style w:type="character" w:styleId="19">
    <w:name w:val="Hyperlink"/>
    <w:basedOn w:val="16"/>
    <w:qFormat/>
    <w:uiPriority w:val="99"/>
    <w:rPr>
      <w:color w:val="333333"/>
      <w:u w:val="none"/>
    </w:rPr>
  </w:style>
  <w:style w:type="character" w:styleId="20">
    <w:name w:val="HTML Code"/>
    <w:basedOn w:val="16"/>
    <w:qFormat/>
    <w:uiPriority w:val="0"/>
    <w:rPr>
      <w:rFonts w:ascii="Courier New" w:hAnsi="Courier New"/>
      <w:sz w:val="20"/>
    </w:rPr>
  </w:style>
  <w:style w:type="character" w:styleId="21">
    <w:name w:val="annotation reference"/>
    <w:basedOn w:val="16"/>
    <w:qFormat/>
    <w:uiPriority w:val="0"/>
    <w:rPr>
      <w:sz w:val="21"/>
      <w:szCs w:val="21"/>
    </w:rPr>
  </w:style>
  <w:style w:type="character" w:customStyle="1" w:styleId="22">
    <w:name w:val="Body text|1_"/>
    <w:basedOn w:val="16"/>
    <w:link w:val="23"/>
    <w:qFormat/>
    <w:uiPriority w:val="0"/>
    <w:rPr>
      <w:rFonts w:ascii="宋体" w:hAnsi="宋体" w:eastAsia="宋体" w:cs="宋体"/>
      <w:sz w:val="28"/>
      <w:szCs w:val="28"/>
      <w:u w:val="none"/>
      <w:shd w:val="clear" w:color="auto" w:fill="auto"/>
      <w:lang w:val="zh-TW" w:eastAsia="zh-TW" w:bidi="zh-TW"/>
    </w:rPr>
  </w:style>
  <w:style w:type="paragraph" w:customStyle="1" w:styleId="23">
    <w:name w:val="Body text|1"/>
    <w:basedOn w:val="1"/>
    <w:link w:val="22"/>
    <w:qFormat/>
    <w:uiPriority w:val="0"/>
    <w:pPr>
      <w:spacing w:line="425" w:lineRule="auto"/>
      <w:ind w:firstLine="400"/>
    </w:pPr>
    <w:rPr>
      <w:rFonts w:ascii="宋体" w:hAnsi="宋体" w:eastAsia="宋体" w:cs="宋体"/>
      <w:sz w:val="28"/>
      <w:szCs w:val="28"/>
      <w:lang w:val="zh-TW" w:eastAsia="zh-TW" w:bidi="zh-TW"/>
    </w:rPr>
  </w:style>
  <w:style w:type="character" w:customStyle="1" w:styleId="24">
    <w:name w:val="Heading #1|1_"/>
    <w:basedOn w:val="16"/>
    <w:link w:val="25"/>
    <w:qFormat/>
    <w:uiPriority w:val="0"/>
    <w:rPr>
      <w:rFonts w:ascii="宋体" w:hAnsi="宋体" w:eastAsia="宋体" w:cs="宋体"/>
      <w:sz w:val="40"/>
      <w:szCs w:val="40"/>
      <w:u w:val="none"/>
      <w:shd w:val="clear" w:color="auto" w:fill="auto"/>
      <w:lang w:val="zh-TW" w:eastAsia="zh-TW" w:bidi="zh-TW"/>
    </w:rPr>
  </w:style>
  <w:style w:type="paragraph" w:customStyle="1" w:styleId="25">
    <w:name w:val="Heading #1|1"/>
    <w:basedOn w:val="1"/>
    <w:link w:val="24"/>
    <w:qFormat/>
    <w:uiPriority w:val="0"/>
    <w:pPr>
      <w:spacing w:after="540" w:line="518" w:lineRule="exact"/>
      <w:jc w:val="center"/>
      <w:outlineLvl w:val="0"/>
    </w:pPr>
    <w:rPr>
      <w:rFonts w:ascii="宋体" w:hAnsi="宋体" w:eastAsia="宋体" w:cs="宋体"/>
      <w:sz w:val="40"/>
      <w:szCs w:val="40"/>
      <w:lang w:val="zh-TW" w:eastAsia="zh-TW" w:bidi="zh-TW"/>
    </w:rPr>
  </w:style>
  <w:style w:type="character" w:customStyle="1" w:styleId="26">
    <w:name w:val="Body text|2_"/>
    <w:basedOn w:val="16"/>
    <w:link w:val="27"/>
    <w:qFormat/>
    <w:uiPriority w:val="0"/>
    <w:rPr>
      <w:rFonts w:ascii="宋体" w:hAnsi="宋体" w:eastAsia="宋体" w:cs="宋体"/>
      <w:sz w:val="17"/>
      <w:szCs w:val="17"/>
      <w:u w:val="none"/>
      <w:shd w:val="clear" w:color="auto" w:fill="auto"/>
    </w:rPr>
  </w:style>
  <w:style w:type="paragraph" w:customStyle="1" w:styleId="27">
    <w:name w:val="Body text|2"/>
    <w:basedOn w:val="1"/>
    <w:link w:val="26"/>
    <w:qFormat/>
    <w:uiPriority w:val="0"/>
    <w:pPr>
      <w:spacing w:after="160" w:line="331" w:lineRule="exact"/>
      <w:jc w:val="center"/>
    </w:pPr>
    <w:rPr>
      <w:rFonts w:ascii="宋体" w:hAnsi="宋体" w:eastAsia="宋体" w:cs="宋体"/>
      <w:sz w:val="17"/>
      <w:szCs w:val="17"/>
    </w:rPr>
  </w:style>
  <w:style w:type="character" w:customStyle="1" w:styleId="28">
    <w:name w:val="Body text|3_"/>
    <w:basedOn w:val="16"/>
    <w:link w:val="29"/>
    <w:qFormat/>
    <w:uiPriority w:val="0"/>
    <w:rPr>
      <w:sz w:val="30"/>
      <w:szCs w:val="30"/>
      <w:u w:val="none"/>
      <w:shd w:val="clear" w:color="auto" w:fill="auto"/>
      <w:lang w:val="zh-TW" w:eastAsia="zh-TW" w:bidi="zh-TW"/>
    </w:rPr>
  </w:style>
  <w:style w:type="paragraph" w:customStyle="1" w:styleId="29">
    <w:name w:val="Body text|3"/>
    <w:basedOn w:val="1"/>
    <w:link w:val="28"/>
    <w:qFormat/>
    <w:uiPriority w:val="0"/>
    <w:pPr>
      <w:spacing w:after="360"/>
      <w:jc w:val="center"/>
    </w:pPr>
    <w:rPr>
      <w:sz w:val="30"/>
      <w:szCs w:val="30"/>
      <w:lang w:val="zh-TW" w:eastAsia="zh-TW" w:bidi="zh-TW"/>
    </w:rPr>
  </w:style>
  <w:style w:type="character" w:customStyle="1" w:styleId="30">
    <w:name w:val="Header or footer|2_"/>
    <w:basedOn w:val="16"/>
    <w:link w:val="31"/>
    <w:qFormat/>
    <w:uiPriority w:val="0"/>
    <w:rPr>
      <w:sz w:val="20"/>
      <w:szCs w:val="20"/>
      <w:u w:val="none"/>
      <w:shd w:val="clear" w:color="auto" w:fill="auto"/>
    </w:rPr>
  </w:style>
  <w:style w:type="paragraph" w:customStyle="1" w:styleId="31">
    <w:name w:val="Header or footer|2"/>
    <w:basedOn w:val="1"/>
    <w:link w:val="30"/>
    <w:qFormat/>
    <w:uiPriority w:val="0"/>
    <w:rPr>
      <w:sz w:val="20"/>
      <w:szCs w:val="20"/>
    </w:rPr>
  </w:style>
  <w:style w:type="character" w:customStyle="1" w:styleId="32">
    <w:name w:val="Header or footer|1_"/>
    <w:basedOn w:val="16"/>
    <w:link w:val="33"/>
    <w:qFormat/>
    <w:uiPriority w:val="0"/>
    <w:rPr>
      <w:sz w:val="22"/>
      <w:szCs w:val="22"/>
      <w:u w:val="none"/>
      <w:shd w:val="clear" w:color="auto" w:fill="auto"/>
      <w:lang w:val="zh-TW" w:eastAsia="zh-TW" w:bidi="zh-TW"/>
    </w:rPr>
  </w:style>
  <w:style w:type="paragraph" w:customStyle="1" w:styleId="33">
    <w:name w:val="Header or footer|1"/>
    <w:basedOn w:val="1"/>
    <w:link w:val="32"/>
    <w:qFormat/>
    <w:uiPriority w:val="0"/>
    <w:rPr>
      <w:sz w:val="22"/>
      <w:szCs w:val="22"/>
      <w:lang w:val="zh-TW" w:eastAsia="zh-TW" w:bidi="zh-TW"/>
    </w:rPr>
  </w:style>
  <w:style w:type="character" w:customStyle="1" w:styleId="34">
    <w:name w:val="Picture caption|1_"/>
    <w:basedOn w:val="16"/>
    <w:link w:val="35"/>
    <w:qFormat/>
    <w:uiPriority w:val="0"/>
    <w:rPr>
      <w:rFonts w:ascii="宋体" w:hAnsi="宋体" w:eastAsia="宋体" w:cs="宋体"/>
      <w:sz w:val="40"/>
      <w:szCs w:val="40"/>
      <w:u w:val="none"/>
      <w:shd w:val="clear" w:color="auto" w:fill="auto"/>
      <w:lang w:val="zh-TW" w:eastAsia="zh-TW" w:bidi="zh-TW"/>
    </w:rPr>
  </w:style>
  <w:style w:type="paragraph" w:customStyle="1" w:styleId="35">
    <w:name w:val="Picture caption|1"/>
    <w:basedOn w:val="1"/>
    <w:link w:val="34"/>
    <w:qFormat/>
    <w:uiPriority w:val="0"/>
    <w:pPr>
      <w:jc w:val="center"/>
    </w:pPr>
    <w:rPr>
      <w:rFonts w:ascii="宋体" w:hAnsi="宋体" w:eastAsia="宋体" w:cs="宋体"/>
      <w:sz w:val="40"/>
      <w:szCs w:val="40"/>
      <w:lang w:val="zh-TW" w:eastAsia="zh-TW" w:bidi="zh-TW"/>
    </w:rPr>
  </w:style>
  <w:style w:type="character" w:customStyle="1" w:styleId="36">
    <w:name w:val="Body text|4_"/>
    <w:basedOn w:val="16"/>
    <w:link w:val="37"/>
    <w:qFormat/>
    <w:uiPriority w:val="0"/>
    <w:rPr>
      <w:sz w:val="22"/>
      <w:szCs w:val="22"/>
      <w:u w:val="none"/>
      <w:shd w:val="clear" w:color="auto" w:fill="auto"/>
      <w:lang w:val="zh-TW" w:eastAsia="zh-TW" w:bidi="zh-TW"/>
    </w:rPr>
  </w:style>
  <w:style w:type="paragraph" w:customStyle="1" w:styleId="37">
    <w:name w:val="Body text|4"/>
    <w:basedOn w:val="1"/>
    <w:link w:val="36"/>
    <w:qFormat/>
    <w:uiPriority w:val="0"/>
    <w:rPr>
      <w:sz w:val="22"/>
      <w:szCs w:val="22"/>
      <w:lang w:val="zh-TW" w:eastAsia="zh-TW" w:bidi="zh-TW"/>
    </w:rPr>
  </w:style>
  <w:style w:type="paragraph" w:customStyle="1" w:styleId="38">
    <w:name w:val="WPSOffice手动目录 1"/>
    <w:qFormat/>
    <w:uiPriority w:val="0"/>
    <w:rPr>
      <w:rFonts w:ascii="Calibri" w:hAnsi="Calibri" w:eastAsia="宋体" w:cs="Times New Roman"/>
      <w:lang w:val="en-US" w:eastAsia="zh-CN" w:bidi="ar-SA"/>
    </w:rPr>
  </w:style>
  <w:style w:type="paragraph" w:customStyle="1" w:styleId="39">
    <w:name w:val="WPSOffice手动目录 2"/>
    <w:qFormat/>
    <w:uiPriority w:val="0"/>
    <w:pPr>
      <w:ind w:left="200" w:leftChars="200"/>
    </w:pPr>
    <w:rPr>
      <w:rFonts w:ascii="Calibri" w:hAnsi="Calibri" w:eastAsia="宋体" w:cs="Times New Roman"/>
      <w:lang w:val="en-US" w:eastAsia="zh-CN" w:bidi="ar-SA"/>
    </w:rPr>
  </w:style>
  <w:style w:type="character" w:customStyle="1" w:styleId="40">
    <w:name w:val="active"/>
    <w:basedOn w:val="16"/>
    <w:qFormat/>
    <w:uiPriority w:val="0"/>
    <w:rPr>
      <w:color w:val="333333"/>
    </w:rPr>
  </w:style>
  <w:style w:type="character" w:customStyle="1" w:styleId="41">
    <w:name w:val="calendar-head__next-year-btn"/>
    <w:basedOn w:val="16"/>
    <w:qFormat/>
    <w:uiPriority w:val="0"/>
  </w:style>
  <w:style w:type="character" w:customStyle="1" w:styleId="42">
    <w:name w:val="hover2"/>
    <w:basedOn w:val="16"/>
    <w:qFormat/>
    <w:uiPriority w:val="0"/>
    <w:rPr>
      <w:color w:val="2F6EA2"/>
    </w:rPr>
  </w:style>
  <w:style w:type="character" w:customStyle="1" w:styleId="43">
    <w:name w:val="calendar-head__prev-range-btn"/>
    <w:basedOn w:val="16"/>
    <w:qFormat/>
    <w:uiPriority w:val="0"/>
    <w:rPr>
      <w:vanish/>
    </w:rPr>
  </w:style>
  <w:style w:type="character" w:customStyle="1" w:styleId="44">
    <w:name w:val="calendar-head__next-range-btn"/>
    <w:basedOn w:val="16"/>
    <w:qFormat/>
    <w:uiPriority w:val="0"/>
    <w:rPr>
      <w:vanish/>
    </w:rPr>
  </w:style>
  <w:style w:type="character" w:customStyle="1" w:styleId="45">
    <w:name w:val="calendar-head__year-range"/>
    <w:basedOn w:val="16"/>
    <w:qFormat/>
    <w:uiPriority w:val="0"/>
    <w:rPr>
      <w:vanish/>
    </w:rPr>
  </w:style>
  <w:style w:type="character" w:customStyle="1" w:styleId="46">
    <w:name w:val="calendar-head__text-display"/>
    <w:basedOn w:val="16"/>
    <w:qFormat/>
    <w:uiPriority w:val="0"/>
    <w:rPr>
      <w:vanish/>
    </w:rPr>
  </w:style>
  <w:style w:type="character" w:customStyle="1" w:styleId="47">
    <w:name w:val="calendar-head__next-month-btn"/>
    <w:basedOn w:val="16"/>
    <w:qFormat/>
    <w:uiPriority w:val="0"/>
  </w:style>
  <w:style w:type="paragraph" w:customStyle="1" w:styleId="48">
    <w:name w:val="Table Paragraph"/>
    <w:basedOn w:val="1"/>
    <w:qFormat/>
    <w:uiPriority w:val="1"/>
    <w:pPr>
      <w:spacing w:before="103"/>
      <w:ind w:left="107"/>
    </w:pPr>
    <w:rPr>
      <w:rFonts w:ascii="仿宋" w:hAnsi="仿宋" w:eastAsia="仿宋" w:cs="仿宋"/>
      <w:lang w:val="zh-CN" w:eastAsia="zh-CN" w:bidi="zh-CN"/>
    </w:rPr>
  </w:style>
  <w:style w:type="character" w:customStyle="1" w:styleId="49">
    <w:name w:val="font161"/>
    <w:basedOn w:val="16"/>
    <w:qFormat/>
    <w:uiPriority w:val="0"/>
    <w:rPr>
      <w:rFonts w:hint="eastAsia" w:ascii="宋体" w:hAnsi="宋体" w:eastAsia="宋体" w:cs="宋体"/>
      <w:b/>
      <w:bCs/>
      <w:color w:val="000000"/>
      <w:sz w:val="18"/>
      <w:szCs w:val="18"/>
      <w:u w:val="none"/>
    </w:rPr>
  </w:style>
  <w:style w:type="character" w:customStyle="1" w:styleId="50">
    <w:name w:val="font61"/>
    <w:basedOn w:val="16"/>
    <w:qFormat/>
    <w:uiPriority w:val="0"/>
    <w:rPr>
      <w:rFonts w:hint="default" w:ascii="Times New Roman" w:hAnsi="Times New Roman" w:cs="Times New Roman"/>
      <w:b/>
      <w:bCs/>
      <w:color w:val="000000"/>
      <w:sz w:val="18"/>
      <w:szCs w:val="18"/>
      <w:u w:val="none"/>
    </w:rPr>
  </w:style>
  <w:style w:type="character" w:customStyle="1" w:styleId="51">
    <w:name w:val="font81"/>
    <w:basedOn w:val="16"/>
    <w:qFormat/>
    <w:uiPriority w:val="0"/>
    <w:rPr>
      <w:rFonts w:hint="eastAsia" w:ascii="宋体" w:hAnsi="宋体" w:eastAsia="宋体" w:cs="宋体"/>
      <w:color w:val="000000"/>
      <w:sz w:val="16"/>
      <w:szCs w:val="16"/>
      <w:u w:val="none"/>
    </w:rPr>
  </w:style>
  <w:style w:type="character" w:customStyle="1" w:styleId="52">
    <w:name w:val="font101"/>
    <w:basedOn w:val="16"/>
    <w:qFormat/>
    <w:uiPriority w:val="0"/>
    <w:rPr>
      <w:rFonts w:hint="default" w:ascii="Times New Roman" w:hAnsi="Times New Roman" w:cs="Times New Roman"/>
      <w:color w:val="FF0000"/>
      <w:sz w:val="16"/>
      <w:szCs w:val="16"/>
      <w:u w:val="none"/>
    </w:rPr>
  </w:style>
  <w:style w:type="character" w:customStyle="1" w:styleId="53">
    <w:name w:val="font51"/>
    <w:basedOn w:val="16"/>
    <w:qFormat/>
    <w:uiPriority w:val="0"/>
    <w:rPr>
      <w:rFonts w:hint="default" w:ascii="Times New Roman" w:hAnsi="Times New Roman" w:cs="Times New Roman"/>
      <w:color w:val="000000"/>
      <w:sz w:val="16"/>
      <w:szCs w:val="16"/>
      <w:u w:val="none"/>
    </w:rPr>
  </w:style>
  <w:style w:type="character" w:customStyle="1" w:styleId="54">
    <w:name w:val="font201"/>
    <w:basedOn w:val="16"/>
    <w:qFormat/>
    <w:uiPriority w:val="0"/>
    <w:rPr>
      <w:rFonts w:hint="default" w:ascii="Times New Roman" w:hAnsi="Times New Roman" w:cs="Times New Roman"/>
      <w:color w:val="000000"/>
      <w:sz w:val="16"/>
      <w:szCs w:val="16"/>
      <w:u w:val="none"/>
      <w:vertAlign w:val="superscript"/>
    </w:rPr>
  </w:style>
  <w:style w:type="character" w:customStyle="1" w:styleId="55">
    <w:name w:val="font121"/>
    <w:basedOn w:val="16"/>
    <w:qFormat/>
    <w:uiPriority w:val="0"/>
    <w:rPr>
      <w:rFonts w:hint="eastAsia" w:ascii="宋体" w:hAnsi="宋体" w:eastAsia="宋体" w:cs="宋体"/>
      <w:color w:val="FF0000"/>
      <w:sz w:val="16"/>
      <w:szCs w:val="16"/>
      <w:u w:val="none"/>
    </w:rPr>
  </w:style>
  <w:style w:type="character" w:customStyle="1" w:styleId="56">
    <w:name w:val="font141"/>
    <w:basedOn w:val="16"/>
    <w:qFormat/>
    <w:uiPriority w:val="0"/>
    <w:rPr>
      <w:rFonts w:hint="eastAsia" w:ascii="宋体" w:hAnsi="宋体" w:eastAsia="宋体" w:cs="宋体"/>
      <w:color w:val="000000"/>
      <w:sz w:val="16"/>
      <w:szCs w:val="16"/>
      <w:u w:val="none"/>
    </w:rPr>
  </w:style>
  <w:style w:type="character" w:customStyle="1" w:styleId="57">
    <w:name w:val="font41"/>
    <w:basedOn w:val="16"/>
    <w:qFormat/>
    <w:uiPriority w:val="0"/>
    <w:rPr>
      <w:rFonts w:hint="default" w:ascii="Times New Roman" w:hAnsi="Times New Roman" w:cs="Times New Roman"/>
      <w:color w:val="000000"/>
      <w:sz w:val="16"/>
      <w:szCs w:val="16"/>
      <w:u w:val="none"/>
    </w:rPr>
  </w:style>
  <w:style w:type="character" w:customStyle="1" w:styleId="58">
    <w:name w:val="font221"/>
    <w:basedOn w:val="16"/>
    <w:qFormat/>
    <w:uiPriority w:val="0"/>
    <w:rPr>
      <w:rFonts w:hint="default" w:ascii="Times New Roman" w:hAnsi="Times New Roman" w:cs="Times New Roman"/>
      <w:color w:val="000000"/>
      <w:sz w:val="16"/>
      <w:szCs w:val="16"/>
      <w:u w:val="none"/>
      <w:vertAlign w:val="superscript"/>
    </w:rPr>
  </w:style>
  <w:style w:type="character" w:customStyle="1" w:styleId="59">
    <w:name w:val="批注框文本 Char"/>
    <w:basedOn w:val="16"/>
    <w:link w:val="8"/>
    <w:qFormat/>
    <w:uiPriority w:val="0"/>
    <w:rPr>
      <w:rFonts w:eastAsia="Times New Roman"/>
      <w:color w:val="000000"/>
      <w:sz w:val="18"/>
      <w:szCs w:val="18"/>
      <w:lang w:eastAsia="en-US" w:bidi="en-US"/>
    </w:rPr>
  </w:style>
  <w:style w:type="paragraph" w:customStyle="1" w:styleId="60">
    <w:name w:val="Default"/>
    <w:unhideWhenUsed/>
    <w:qFormat/>
    <w:uiPriority w:val="99"/>
    <w:pPr>
      <w:widowControl w:val="0"/>
      <w:autoSpaceDE w:val="0"/>
      <w:autoSpaceDN w:val="0"/>
      <w:adjustRightInd w:val="0"/>
    </w:pPr>
    <w:rPr>
      <w:rFonts w:hint="eastAsia" w:ascii="WXFS" w:hAnsi="WXFS" w:eastAsia="WXFS"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19336</Words>
  <Characters>19653</Characters>
  <Lines>165</Lines>
  <Paragraphs>46</Paragraphs>
  <TotalTime>3</TotalTime>
  <ScaleCrop>false</ScaleCrop>
  <LinksUpToDate>false</LinksUpToDate>
  <CharactersWithSpaces>20009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2021-11-02T03:31:00Z</dcterms:created>
  <dc:creator>Administrator</dc:creator>
  <cp:lastModifiedBy>戴面具的魔王</cp:lastModifiedBy>
  <cp:lastPrinted>2021-12-28T08:35:00Z</cp:lastPrinted>
  <dcterms:modified xsi:type="dcterms:W3CDTF">2022-11-11T02:52:30Z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949783708C464B4BAF0E0AFE2799C25D</vt:lpwstr>
  </property>
</Properties>
</file>