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黑体" w:eastAsia="黑体"/>
          <w:color w:val="auto"/>
          <w:sz w:val="32"/>
          <w:szCs w:val="32"/>
          <w:shd w:val="clear" w:color="auto" w:fill="auto"/>
        </w:rPr>
      </w:pPr>
      <w:r>
        <w:rPr>
          <w:rFonts w:hint="eastAsia" w:ascii="黑体" w:eastAsia="黑体"/>
          <w:color w:val="auto"/>
          <w:sz w:val="32"/>
          <w:szCs w:val="32"/>
          <w:shd w:val="clear" w:color="auto" w:fill="auto"/>
        </w:rPr>
        <w:t>附件</w:t>
      </w:r>
    </w:p>
    <w:p>
      <w:pPr>
        <w:spacing w:line="540" w:lineRule="exact"/>
        <w:jc w:val="center"/>
        <w:rPr>
          <w:rFonts w:hint="eastAsia" w:ascii="长城大标宋体" w:eastAsia="长城大标宋体"/>
          <w:b/>
          <w:color w:val="auto"/>
          <w:sz w:val="44"/>
          <w:szCs w:val="44"/>
          <w:shd w:val="clear" w:color="auto" w:fill="auto"/>
        </w:rPr>
      </w:pPr>
    </w:p>
    <w:p>
      <w:pPr>
        <w:spacing w:line="540" w:lineRule="exact"/>
        <w:jc w:val="center"/>
        <w:rPr>
          <w:rFonts w:hint="eastAsia" w:ascii="长城大标宋体" w:eastAsia="长城大标宋体"/>
          <w:b/>
          <w:sz w:val="44"/>
          <w:szCs w:val="44"/>
        </w:rPr>
      </w:pPr>
      <w:r>
        <w:rPr>
          <w:rFonts w:hint="eastAsia" w:ascii="长城大标宋体" w:eastAsia="长城大标宋体"/>
          <w:b/>
          <w:sz w:val="44"/>
          <w:szCs w:val="44"/>
        </w:rPr>
        <w:t>兴宁市202</w:t>
      </w:r>
      <w:r>
        <w:rPr>
          <w:rFonts w:hint="eastAsia" w:ascii="长城大标宋体" w:eastAsia="长城大标宋体"/>
          <w:b/>
          <w:sz w:val="44"/>
          <w:szCs w:val="44"/>
          <w:lang w:val="en-US" w:eastAsia="zh-CN"/>
        </w:rPr>
        <w:t>3</w:t>
      </w:r>
      <w:r>
        <w:rPr>
          <w:rFonts w:hint="eastAsia" w:ascii="长城大标宋体" w:eastAsia="长城大标宋体"/>
          <w:b/>
          <w:sz w:val="44"/>
          <w:szCs w:val="44"/>
        </w:rPr>
        <w:t>年度国有建设用地供应计划</w:t>
      </w:r>
    </w:p>
    <w:p>
      <w:pPr>
        <w:spacing w:line="540" w:lineRule="exact"/>
        <w:jc w:val="center"/>
        <w:rPr>
          <w:rFonts w:hint="eastAsia" w:ascii="仿宋_GB2312" w:eastAsia="仿宋_GB2312"/>
          <w:spacing w:val="-20"/>
          <w:sz w:val="44"/>
          <w:szCs w:val="44"/>
        </w:rPr>
      </w:pPr>
    </w:p>
    <w:p>
      <w:pPr>
        <w:spacing w:line="540" w:lineRule="exact"/>
        <w:jc w:val="center"/>
        <w:rPr>
          <w:rFonts w:hint="eastAsia" w:ascii="仿宋_GB2312" w:eastAsia="仿宋_GB2312"/>
          <w:b/>
          <w:spacing w:val="-20"/>
          <w:sz w:val="32"/>
          <w:szCs w:val="32"/>
        </w:rPr>
      </w:pPr>
      <w:r>
        <w:rPr>
          <w:rFonts w:hint="eastAsia" w:ascii="仿宋_GB2312" w:eastAsia="仿宋_GB2312"/>
          <w:b/>
          <w:spacing w:val="-20"/>
          <w:sz w:val="32"/>
          <w:szCs w:val="32"/>
        </w:rPr>
        <w:t>兴宁市自然资源局</w:t>
      </w:r>
    </w:p>
    <w:p>
      <w:pPr>
        <w:spacing w:line="540" w:lineRule="exact"/>
        <w:ind w:firstLine="643" w:firstLineChars="200"/>
        <w:rPr>
          <w:rFonts w:hint="eastAsia" w:ascii="仿宋_GB2312" w:eastAsia="仿宋_GB2312"/>
          <w:b/>
          <w:sz w:val="32"/>
          <w:szCs w:val="32"/>
        </w:rPr>
      </w:pPr>
    </w:p>
    <w:p>
      <w:pPr>
        <w:spacing w:line="540" w:lineRule="exact"/>
        <w:ind w:firstLine="640" w:firstLineChars="200"/>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根据《中华人民共和国土地管理法实施条例》《广东省自然资源厅关于做好2023年国有建设用地供应计划编制和发布的通知》（粤自然资权益〔2022〕2741号）</w:t>
      </w:r>
      <w:r>
        <w:rPr>
          <w:rFonts w:hint="default" w:ascii="Times New Roman" w:hAnsi="Times New Roman" w:eastAsia="仿宋_GB2312" w:cs="Times New Roman"/>
          <w:color w:val="auto"/>
          <w:kern w:val="0"/>
          <w:sz w:val="32"/>
          <w:szCs w:val="32"/>
          <w:shd w:val="clear" w:color="auto" w:fill="auto"/>
          <w:lang w:eastAsia="zh-CN"/>
        </w:rPr>
        <w:t>要求</w:t>
      </w:r>
      <w:r>
        <w:rPr>
          <w:rFonts w:hint="default" w:ascii="Times New Roman" w:hAnsi="Times New Roman" w:eastAsia="仿宋_GB2312" w:cs="Times New Roman"/>
          <w:color w:val="auto"/>
          <w:kern w:val="0"/>
          <w:sz w:val="32"/>
          <w:szCs w:val="32"/>
          <w:shd w:val="clear" w:color="auto" w:fill="auto"/>
        </w:rPr>
        <w:t>，结合兴宁市土地利用总体规划、兴宁市城乡规划等，我局拟订</w:t>
      </w:r>
      <w:r>
        <w:rPr>
          <w:rFonts w:hint="eastAsia" w:ascii="Times New Roman" w:hAnsi="Times New Roman" w:eastAsia="仿宋_GB2312" w:cs="Times New Roman"/>
          <w:color w:val="auto"/>
          <w:kern w:val="0"/>
          <w:sz w:val="32"/>
          <w:szCs w:val="32"/>
          <w:shd w:val="clear" w:color="auto" w:fill="auto"/>
          <w:lang w:val="en-US" w:eastAsia="zh-CN"/>
        </w:rPr>
        <w:t>了本计划</w:t>
      </w:r>
      <w:r>
        <w:rPr>
          <w:rFonts w:hint="eastAsia" w:ascii="Times New Roman" w:hAnsi="Times New Roman" w:eastAsia="仿宋_GB2312" w:cs="Times New Roman"/>
          <w:color w:val="auto"/>
          <w:kern w:val="0"/>
          <w:sz w:val="32"/>
          <w:szCs w:val="32"/>
          <w:shd w:val="clear" w:color="auto" w:fill="auto"/>
          <w:lang w:eastAsia="zh-CN"/>
        </w:rPr>
        <w:t>，</w:t>
      </w:r>
      <w:r>
        <w:rPr>
          <w:rFonts w:hint="eastAsia" w:ascii="Times New Roman" w:hAnsi="Times New Roman" w:eastAsia="仿宋_GB2312" w:cs="Times New Roman"/>
          <w:color w:val="auto"/>
          <w:kern w:val="0"/>
          <w:sz w:val="32"/>
          <w:szCs w:val="32"/>
          <w:shd w:val="clear" w:color="auto" w:fill="auto"/>
          <w:lang w:val="en-US" w:eastAsia="zh-CN"/>
        </w:rPr>
        <w:t>具体内容如下</w:t>
      </w:r>
      <w:r>
        <w:rPr>
          <w:rFonts w:hint="default" w:ascii="Times New Roman" w:hAnsi="Times New Roman" w:eastAsia="仿宋_GB2312" w:cs="Times New Roman"/>
          <w:color w:val="auto"/>
          <w:kern w:val="0"/>
          <w:sz w:val="32"/>
          <w:szCs w:val="32"/>
          <w:shd w:val="clear" w:color="auto" w:fill="auto"/>
        </w:rPr>
        <w:t>：</w:t>
      </w:r>
    </w:p>
    <w:p>
      <w:pPr>
        <w:spacing w:line="540" w:lineRule="exact"/>
        <w:ind w:firstLine="643" w:firstLineChars="200"/>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一、计划的目的、意义和编制依据</w:t>
      </w:r>
    </w:p>
    <w:p>
      <w:pPr>
        <w:widowControl/>
        <w:shd w:val="clear" w:color="auto" w:fill="FFFFFF"/>
        <w:spacing w:line="580" w:lineRule="exact"/>
        <w:ind w:firstLine="640" w:firstLineChars="200"/>
        <w:jc w:val="left"/>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为有效实施土地利用总体规划和土地利用年度计划，科学安排国有建设用地供应，加强和改善土地宏观调控，促进我市经济和社会平稳可持续发展，依据《国有建设用地供应计划编制规范》（国土资发〔2010〕117号）要求，按照节约集约用地的原则，结合土地利用总体规划、城市总体规划、产业发展规划的相关要求以及土地市场发展状况，在参考近五年实际土地供应情况基础上，制定本计划。</w:t>
      </w:r>
    </w:p>
    <w:p>
      <w:pPr>
        <w:spacing w:line="480" w:lineRule="exact"/>
        <w:ind w:firstLine="645"/>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二、指导思想和基本原则</w:t>
      </w:r>
    </w:p>
    <w:p>
      <w:pPr>
        <w:spacing w:line="540" w:lineRule="exact"/>
        <w:ind w:firstLine="643" w:firstLineChars="200"/>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（一）指导思想。</w:t>
      </w:r>
      <w:bookmarkStart w:id="0" w:name="_GoBack"/>
      <w:bookmarkEnd w:id="0"/>
    </w:p>
    <w:p>
      <w:pPr>
        <w:widowControl/>
        <w:shd w:val="clear" w:color="auto" w:fill="FFFFFF"/>
        <w:spacing w:line="580" w:lineRule="exact"/>
        <w:ind w:firstLine="640" w:firstLineChars="200"/>
        <w:jc w:val="left"/>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全面贯彻党的</w:t>
      </w:r>
      <w:r>
        <w:rPr>
          <w:rFonts w:hint="default" w:ascii="Times New Roman" w:hAnsi="Times New Roman" w:eastAsia="仿宋_GB2312" w:cs="Times New Roman"/>
          <w:color w:val="auto"/>
          <w:kern w:val="0"/>
          <w:sz w:val="32"/>
          <w:szCs w:val="32"/>
          <w:shd w:val="clear" w:color="auto" w:fill="auto"/>
          <w:lang w:val="en-US" w:eastAsia="zh-CN"/>
        </w:rPr>
        <w:t>二十大</w:t>
      </w:r>
      <w:r>
        <w:rPr>
          <w:rFonts w:hint="default" w:ascii="Times New Roman" w:hAnsi="Times New Roman" w:eastAsia="仿宋_GB2312" w:cs="Times New Roman"/>
          <w:color w:val="auto"/>
          <w:kern w:val="0"/>
          <w:sz w:val="32"/>
          <w:szCs w:val="32"/>
          <w:shd w:val="clear" w:color="auto" w:fill="auto"/>
        </w:rPr>
        <w:t>精神，紧紧围绕市委、市政府中心工作，合理调配各类用地供应指标，控制土地供应总量，促进土地节约集约利用，优先保障重点项目及民生工程等用地需求，为兴宁市经济社会可持续发展提供用地保障。</w:t>
      </w:r>
    </w:p>
    <w:p>
      <w:pPr>
        <w:spacing w:line="540" w:lineRule="exact"/>
        <w:ind w:firstLine="643" w:firstLineChars="200"/>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（二）基本原则。</w:t>
      </w:r>
    </w:p>
    <w:p>
      <w:pPr>
        <w:widowControl/>
        <w:shd w:val="clear" w:color="auto" w:fill="FFFFFF"/>
        <w:spacing w:line="580" w:lineRule="exact"/>
        <w:ind w:firstLine="480"/>
        <w:jc w:val="left"/>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 xml:space="preserve"> 1. 发挥宏观调控作用，坚持计划控制引导，统一有序、规范供应。认真贯彻国家宏观调控政策措施，通过确定国有建设用地的供应总量、用途结构、空间分布和供应时序，调节投资的规模、优化投资的产业和区域结构、保证投资发展的平稳速度。</w:t>
      </w:r>
    </w:p>
    <w:p>
      <w:pPr>
        <w:widowControl/>
        <w:shd w:val="clear" w:color="auto" w:fill="FFFFFF"/>
        <w:spacing w:line="580" w:lineRule="exact"/>
        <w:ind w:firstLine="480"/>
        <w:jc w:val="left"/>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 xml:space="preserve"> 2. 充分保障产业转型升级和城市扩容提质用地需求。优先保障202</w:t>
      </w:r>
      <w:r>
        <w:rPr>
          <w:rFonts w:hint="default" w:ascii="Times New Roman" w:hAnsi="Times New Roman" w:eastAsia="仿宋_GB2312" w:cs="Times New Roman"/>
          <w:color w:val="auto"/>
          <w:kern w:val="0"/>
          <w:sz w:val="32"/>
          <w:szCs w:val="32"/>
          <w:shd w:val="clear" w:color="auto" w:fill="auto"/>
          <w:lang w:val="en-US" w:eastAsia="zh-CN"/>
        </w:rPr>
        <w:t>3</w:t>
      </w:r>
      <w:r>
        <w:rPr>
          <w:rFonts w:hint="default" w:ascii="Times New Roman" w:hAnsi="Times New Roman" w:eastAsia="仿宋_GB2312" w:cs="Times New Roman"/>
          <w:color w:val="auto"/>
          <w:kern w:val="0"/>
          <w:sz w:val="32"/>
          <w:szCs w:val="32"/>
          <w:shd w:val="clear" w:color="auto" w:fill="auto"/>
        </w:rPr>
        <w:t>年重点项目、民生项目、重大基础设施项目、现代化服务业项目、战略性新兴产业项目，着力保障经济社会发展的合理要求，加快促进民生改善、城市发展承载力提升、产业结构调整和经济增长方式转变、房地产市场平稳健康发展。</w:t>
      </w:r>
    </w:p>
    <w:p>
      <w:pPr>
        <w:widowControl/>
        <w:shd w:val="clear" w:color="auto" w:fill="FFFFFF"/>
        <w:spacing w:line="580" w:lineRule="exact"/>
        <w:ind w:firstLine="480"/>
        <w:jc w:val="left"/>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 xml:space="preserve"> 3. 促进土地节约集约有效利用，提高产业用地效益。加大对批而未供土地消化力度和存量土地挖潜力度，优先供应存量建设用地。</w:t>
      </w:r>
    </w:p>
    <w:p>
      <w:pPr>
        <w:widowControl/>
        <w:shd w:val="clear" w:color="auto" w:fill="FFFFFF"/>
        <w:spacing w:line="580" w:lineRule="exact"/>
        <w:ind w:firstLine="480"/>
        <w:jc w:val="left"/>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 xml:space="preserve"> 4</w:t>
      </w:r>
      <w:r>
        <w:rPr>
          <w:rFonts w:hint="default" w:ascii="Times New Roman" w:hAnsi="Times New Roman" w:eastAsia="仿宋_GB2312" w:cs="Times New Roman"/>
          <w:color w:val="auto"/>
          <w:kern w:val="0"/>
          <w:sz w:val="32"/>
          <w:szCs w:val="32"/>
          <w:shd w:val="clear" w:color="auto" w:fill="auto"/>
          <w:lang w:val="en-US" w:eastAsia="zh-CN"/>
        </w:rPr>
        <w:t xml:space="preserve">. </w:t>
      </w:r>
      <w:r>
        <w:rPr>
          <w:rFonts w:hint="default" w:ascii="Times New Roman" w:hAnsi="Times New Roman" w:eastAsia="仿宋_GB2312" w:cs="Times New Roman"/>
          <w:color w:val="auto"/>
          <w:kern w:val="0"/>
          <w:sz w:val="32"/>
          <w:szCs w:val="32"/>
          <w:shd w:val="clear" w:color="auto" w:fill="auto"/>
        </w:rPr>
        <w:t>严格执行土地供应政策。规范土地供应方式，积极探索土地出让方式的优化完善，严格使用标准，促进市场配置资源基础性作用的发挥。</w:t>
      </w:r>
    </w:p>
    <w:p>
      <w:pPr>
        <w:spacing w:line="540" w:lineRule="exact"/>
        <w:ind w:firstLine="643" w:firstLineChars="200"/>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三、供应计划</w:t>
      </w:r>
    </w:p>
    <w:p>
      <w:pPr>
        <w:spacing w:line="540" w:lineRule="exact"/>
        <w:ind w:firstLine="643" w:firstLineChars="200"/>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（一）用地供应总量。</w:t>
      </w:r>
    </w:p>
    <w:p>
      <w:pPr>
        <w:widowControl/>
        <w:shd w:val="clear" w:color="auto" w:fill="FFFFFF"/>
        <w:spacing w:line="580" w:lineRule="exact"/>
        <w:ind w:firstLine="480"/>
        <w:jc w:val="left"/>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兴宁市202</w:t>
      </w:r>
      <w:r>
        <w:rPr>
          <w:rFonts w:hint="default" w:ascii="Times New Roman" w:hAnsi="Times New Roman" w:eastAsia="仿宋_GB2312" w:cs="Times New Roman"/>
          <w:color w:val="auto"/>
          <w:kern w:val="0"/>
          <w:sz w:val="32"/>
          <w:szCs w:val="32"/>
          <w:shd w:val="clear" w:color="auto" w:fill="auto"/>
          <w:lang w:val="en-US" w:eastAsia="zh-CN"/>
        </w:rPr>
        <w:t>3</w:t>
      </w:r>
      <w:r>
        <w:rPr>
          <w:rFonts w:hint="default" w:ascii="Times New Roman" w:hAnsi="Times New Roman" w:eastAsia="仿宋_GB2312" w:cs="Times New Roman"/>
          <w:color w:val="auto"/>
          <w:kern w:val="0"/>
          <w:sz w:val="32"/>
          <w:szCs w:val="32"/>
          <w:shd w:val="clear" w:color="auto" w:fill="auto"/>
        </w:rPr>
        <w:t>年度国有建设用地供应计划安排供应总量为</w:t>
      </w:r>
      <w:r>
        <w:rPr>
          <w:rFonts w:hint="eastAsia" w:eastAsia="仿宋_GB2312" w:cs="Times New Roman"/>
          <w:color w:val="auto"/>
          <w:kern w:val="0"/>
          <w:sz w:val="32"/>
          <w:szCs w:val="32"/>
          <w:shd w:val="clear" w:color="auto" w:fill="auto"/>
          <w:lang w:val="en-US" w:eastAsia="zh-CN"/>
        </w:rPr>
        <w:t>799.97</w:t>
      </w:r>
      <w:r>
        <w:rPr>
          <w:rFonts w:hint="default" w:ascii="Times New Roman" w:hAnsi="Times New Roman" w:eastAsia="仿宋_GB2312" w:cs="Times New Roman"/>
          <w:color w:val="auto"/>
          <w:kern w:val="0"/>
          <w:sz w:val="32"/>
          <w:szCs w:val="32"/>
          <w:shd w:val="clear" w:color="auto" w:fill="auto"/>
        </w:rPr>
        <w:t>亩。</w:t>
      </w:r>
    </w:p>
    <w:p>
      <w:pPr>
        <w:widowControl/>
        <w:shd w:val="clear" w:color="auto" w:fill="FFFFFF"/>
        <w:spacing w:line="580" w:lineRule="exact"/>
        <w:ind w:firstLine="480"/>
        <w:jc w:val="left"/>
        <w:rPr>
          <w:rFonts w:hint="default" w:ascii="Times New Roman" w:hAnsi="Times New Roman" w:eastAsia="仿宋_GB2312" w:cs="Times New Roman"/>
          <w:color w:val="auto"/>
          <w:kern w:val="0"/>
          <w:sz w:val="28"/>
          <w:szCs w:val="28"/>
          <w:shd w:val="clear" w:color="auto" w:fill="auto"/>
        </w:rPr>
      </w:pPr>
      <w:r>
        <w:rPr>
          <w:rFonts w:hint="default" w:ascii="Times New Roman" w:hAnsi="Times New Roman" w:eastAsia="仿宋_GB2312" w:cs="Times New Roman"/>
          <w:b/>
          <w:color w:val="auto"/>
          <w:sz w:val="32"/>
          <w:szCs w:val="32"/>
          <w:shd w:val="clear" w:color="auto" w:fill="auto"/>
        </w:rPr>
        <w:t>（二）用地供应结构。</w:t>
      </w:r>
    </w:p>
    <w:p>
      <w:pPr>
        <w:widowControl/>
        <w:shd w:val="clear" w:color="auto" w:fill="FFFFFF"/>
        <w:spacing w:line="580" w:lineRule="exact"/>
        <w:ind w:firstLine="480"/>
        <w:jc w:val="left"/>
        <w:rPr>
          <w:rFonts w:hint="default" w:ascii="Times New Roman" w:hAnsi="Times New Roman" w:eastAsia="仿宋_GB2312" w:cs="Times New Roman"/>
          <w:color w:val="auto"/>
          <w:kern w:val="0"/>
          <w:sz w:val="32"/>
          <w:szCs w:val="32"/>
          <w:highlight w:val="none"/>
          <w:shd w:val="clear" w:color="auto" w:fill="auto"/>
        </w:rPr>
      </w:pPr>
      <w:r>
        <w:rPr>
          <w:rFonts w:hint="default" w:ascii="Times New Roman" w:hAnsi="Times New Roman" w:eastAsia="仿宋_GB2312" w:cs="Times New Roman"/>
          <w:color w:val="auto"/>
          <w:kern w:val="0"/>
          <w:sz w:val="32"/>
          <w:szCs w:val="32"/>
          <w:highlight w:val="none"/>
          <w:shd w:val="clear" w:color="auto" w:fill="auto"/>
        </w:rPr>
        <w:t>兴宁市202</w:t>
      </w:r>
      <w:r>
        <w:rPr>
          <w:rFonts w:hint="default" w:ascii="Times New Roman" w:hAnsi="Times New Roman" w:eastAsia="仿宋_GB2312" w:cs="Times New Roman"/>
          <w:color w:val="auto"/>
          <w:kern w:val="0"/>
          <w:sz w:val="32"/>
          <w:szCs w:val="32"/>
          <w:highlight w:val="none"/>
          <w:shd w:val="clear" w:color="auto" w:fill="auto"/>
          <w:lang w:val="en-US" w:eastAsia="zh-CN"/>
        </w:rPr>
        <w:t>3</w:t>
      </w:r>
      <w:r>
        <w:rPr>
          <w:rFonts w:hint="default" w:ascii="Times New Roman" w:hAnsi="Times New Roman" w:eastAsia="仿宋_GB2312" w:cs="Times New Roman"/>
          <w:color w:val="auto"/>
          <w:kern w:val="0"/>
          <w:sz w:val="32"/>
          <w:szCs w:val="32"/>
          <w:highlight w:val="none"/>
          <w:shd w:val="clear" w:color="auto" w:fill="auto"/>
        </w:rPr>
        <w:t>年国有建设用地供应计划，其中：商服用地</w:t>
      </w:r>
      <w:r>
        <w:rPr>
          <w:rFonts w:hint="default" w:ascii="Times New Roman" w:hAnsi="Times New Roman" w:eastAsia="仿宋_GB2312" w:cs="Times New Roman"/>
          <w:color w:val="auto"/>
          <w:kern w:val="0"/>
          <w:sz w:val="32"/>
          <w:szCs w:val="32"/>
          <w:highlight w:val="none"/>
          <w:shd w:val="clear" w:color="auto" w:fill="auto"/>
          <w:lang w:val="en-US" w:eastAsia="zh-CN"/>
        </w:rPr>
        <w:t>146.0</w:t>
      </w:r>
      <w:r>
        <w:rPr>
          <w:rFonts w:hint="eastAsia" w:eastAsia="仿宋_GB2312" w:cs="Times New Roman"/>
          <w:color w:val="auto"/>
          <w:kern w:val="0"/>
          <w:sz w:val="32"/>
          <w:szCs w:val="32"/>
          <w:highlight w:val="none"/>
          <w:shd w:val="clear" w:color="auto" w:fill="auto"/>
          <w:lang w:val="en-US" w:eastAsia="zh-CN"/>
        </w:rPr>
        <w:t>1</w:t>
      </w:r>
      <w:r>
        <w:rPr>
          <w:rFonts w:hint="default" w:ascii="Times New Roman" w:hAnsi="Times New Roman" w:eastAsia="仿宋_GB2312" w:cs="Times New Roman"/>
          <w:color w:val="auto"/>
          <w:kern w:val="0"/>
          <w:sz w:val="32"/>
          <w:szCs w:val="32"/>
          <w:highlight w:val="none"/>
          <w:shd w:val="clear" w:color="auto" w:fill="auto"/>
        </w:rPr>
        <w:t>亩，占供应总量的</w:t>
      </w:r>
      <w:r>
        <w:rPr>
          <w:rFonts w:hint="default" w:ascii="Times New Roman" w:hAnsi="Times New Roman" w:eastAsia="仿宋_GB2312" w:cs="Times New Roman"/>
          <w:color w:val="auto"/>
          <w:kern w:val="0"/>
          <w:sz w:val="32"/>
          <w:szCs w:val="32"/>
          <w:highlight w:val="none"/>
          <w:shd w:val="clear" w:color="auto" w:fill="auto"/>
          <w:lang w:val="en-US" w:eastAsia="zh-CN"/>
        </w:rPr>
        <w:t>18.</w:t>
      </w:r>
      <w:r>
        <w:rPr>
          <w:rFonts w:hint="eastAsia" w:eastAsia="仿宋_GB2312" w:cs="Times New Roman"/>
          <w:color w:val="auto"/>
          <w:kern w:val="0"/>
          <w:sz w:val="32"/>
          <w:szCs w:val="32"/>
          <w:highlight w:val="none"/>
          <w:shd w:val="clear" w:color="auto" w:fill="auto"/>
          <w:lang w:val="en-US" w:eastAsia="zh-CN"/>
        </w:rPr>
        <w:t>25</w:t>
      </w:r>
      <w:r>
        <w:rPr>
          <w:rFonts w:hint="default" w:ascii="Times New Roman" w:hAnsi="Times New Roman" w:eastAsia="仿宋_GB2312" w:cs="Times New Roman"/>
          <w:color w:val="auto"/>
          <w:kern w:val="0"/>
          <w:sz w:val="32"/>
          <w:szCs w:val="32"/>
          <w:highlight w:val="none"/>
          <w:shd w:val="clear" w:color="auto" w:fill="auto"/>
        </w:rPr>
        <w:t>%；工矿仓储用地</w:t>
      </w:r>
      <w:r>
        <w:rPr>
          <w:rFonts w:hint="eastAsia" w:eastAsia="仿宋_GB2312" w:cs="Times New Roman"/>
          <w:color w:val="auto"/>
          <w:kern w:val="0"/>
          <w:sz w:val="32"/>
          <w:szCs w:val="32"/>
          <w:highlight w:val="none"/>
          <w:shd w:val="clear" w:color="auto" w:fill="auto"/>
          <w:lang w:val="en-US" w:eastAsia="zh-CN"/>
        </w:rPr>
        <w:t>239</w:t>
      </w:r>
      <w:r>
        <w:rPr>
          <w:rFonts w:hint="default" w:ascii="Times New Roman" w:hAnsi="Times New Roman" w:eastAsia="仿宋_GB2312" w:cs="Times New Roman"/>
          <w:color w:val="auto"/>
          <w:kern w:val="0"/>
          <w:sz w:val="32"/>
          <w:szCs w:val="32"/>
          <w:highlight w:val="none"/>
          <w:shd w:val="clear" w:color="auto" w:fill="auto"/>
        </w:rPr>
        <w:t>亩，占供应总量的</w:t>
      </w:r>
      <w:r>
        <w:rPr>
          <w:rFonts w:hint="eastAsia" w:eastAsia="仿宋_GB2312" w:cs="Times New Roman"/>
          <w:color w:val="auto"/>
          <w:kern w:val="0"/>
          <w:sz w:val="32"/>
          <w:szCs w:val="32"/>
          <w:highlight w:val="none"/>
          <w:shd w:val="clear" w:color="auto" w:fill="auto"/>
          <w:lang w:val="en-US" w:eastAsia="zh-CN"/>
        </w:rPr>
        <w:t>29.88</w:t>
      </w:r>
      <w:r>
        <w:rPr>
          <w:rFonts w:hint="default" w:ascii="Times New Roman" w:hAnsi="Times New Roman" w:eastAsia="仿宋_GB2312" w:cs="Times New Roman"/>
          <w:color w:val="auto"/>
          <w:kern w:val="0"/>
          <w:sz w:val="32"/>
          <w:szCs w:val="32"/>
          <w:highlight w:val="none"/>
          <w:shd w:val="clear" w:color="auto" w:fill="auto"/>
        </w:rPr>
        <w:t>%；公共管理与服务用地</w:t>
      </w:r>
      <w:r>
        <w:rPr>
          <w:rFonts w:hint="eastAsia" w:eastAsia="仿宋_GB2312" w:cs="Times New Roman"/>
          <w:color w:val="auto"/>
          <w:kern w:val="0"/>
          <w:sz w:val="32"/>
          <w:szCs w:val="32"/>
          <w:highlight w:val="none"/>
          <w:shd w:val="clear" w:color="auto" w:fill="auto"/>
          <w:lang w:val="en-US" w:eastAsia="zh-CN"/>
        </w:rPr>
        <w:t>44.56</w:t>
      </w:r>
      <w:r>
        <w:rPr>
          <w:rFonts w:hint="default" w:ascii="Times New Roman" w:hAnsi="Times New Roman" w:eastAsia="仿宋_GB2312" w:cs="Times New Roman"/>
          <w:color w:val="auto"/>
          <w:kern w:val="0"/>
          <w:sz w:val="32"/>
          <w:szCs w:val="32"/>
          <w:highlight w:val="none"/>
          <w:shd w:val="clear" w:color="auto" w:fill="auto"/>
        </w:rPr>
        <w:t>亩，占供应总量的</w:t>
      </w:r>
      <w:r>
        <w:rPr>
          <w:rFonts w:hint="eastAsia" w:eastAsia="仿宋_GB2312" w:cs="Times New Roman"/>
          <w:color w:val="auto"/>
          <w:kern w:val="0"/>
          <w:sz w:val="32"/>
          <w:szCs w:val="32"/>
          <w:highlight w:val="none"/>
          <w:shd w:val="clear" w:color="auto" w:fill="auto"/>
          <w:lang w:val="en-US" w:eastAsia="zh-CN"/>
        </w:rPr>
        <w:t>5.57</w:t>
      </w:r>
      <w:r>
        <w:rPr>
          <w:rFonts w:hint="default" w:ascii="Times New Roman" w:hAnsi="Times New Roman" w:eastAsia="仿宋_GB2312" w:cs="Times New Roman"/>
          <w:color w:val="auto"/>
          <w:kern w:val="0"/>
          <w:sz w:val="32"/>
          <w:szCs w:val="32"/>
          <w:highlight w:val="none"/>
          <w:shd w:val="clear" w:color="auto" w:fill="auto"/>
        </w:rPr>
        <w:t>%；住宅用地</w:t>
      </w:r>
      <w:r>
        <w:rPr>
          <w:rFonts w:hint="eastAsia" w:eastAsia="仿宋_GB2312" w:cs="Times New Roman"/>
          <w:color w:val="auto"/>
          <w:kern w:val="0"/>
          <w:sz w:val="32"/>
          <w:szCs w:val="32"/>
          <w:highlight w:val="none"/>
          <w:shd w:val="clear" w:color="auto" w:fill="auto"/>
          <w:lang w:val="en-US" w:eastAsia="zh-CN"/>
        </w:rPr>
        <w:t>370.4</w:t>
      </w:r>
      <w:r>
        <w:rPr>
          <w:rFonts w:hint="default" w:ascii="Times New Roman" w:hAnsi="Times New Roman" w:eastAsia="仿宋_GB2312" w:cs="Times New Roman"/>
          <w:color w:val="auto"/>
          <w:kern w:val="0"/>
          <w:sz w:val="32"/>
          <w:szCs w:val="32"/>
          <w:highlight w:val="none"/>
          <w:shd w:val="clear" w:color="auto" w:fill="auto"/>
        </w:rPr>
        <w:t>亩，占供应总量的</w:t>
      </w:r>
      <w:r>
        <w:rPr>
          <w:rFonts w:hint="default" w:ascii="Times New Roman" w:hAnsi="Times New Roman" w:eastAsia="仿宋_GB2312" w:cs="Times New Roman"/>
          <w:color w:val="auto"/>
          <w:kern w:val="0"/>
          <w:sz w:val="32"/>
          <w:szCs w:val="32"/>
          <w:highlight w:val="none"/>
          <w:shd w:val="clear" w:color="auto" w:fill="auto"/>
          <w:lang w:val="en-US" w:eastAsia="zh-CN"/>
        </w:rPr>
        <w:t>4</w:t>
      </w:r>
      <w:r>
        <w:rPr>
          <w:rFonts w:hint="eastAsia" w:eastAsia="仿宋_GB2312" w:cs="Times New Roman"/>
          <w:color w:val="auto"/>
          <w:kern w:val="0"/>
          <w:sz w:val="32"/>
          <w:szCs w:val="32"/>
          <w:highlight w:val="none"/>
          <w:shd w:val="clear" w:color="auto" w:fill="auto"/>
          <w:lang w:val="en-US" w:eastAsia="zh-CN"/>
        </w:rPr>
        <w:t>6.3</w:t>
      </w:r>
      <w:r>
        <w:rPr>
          <w:rFonts w:hint="default" w:ascii="Times New Roman" w:hAnsi="Times New Roman" w:eastAsia="仿宋_GB2312" w:cs="Times New Roman"/>
          <w:color w:val="auto"/>
          <w:kern w:val="0"/>
          <w:sz w:val="32"/>
          <w:szCs w:val="32"/>
          <w:highlight w:val="none"/>
          <w:shd w:val="clear" w:color="auto" w:fill="auto"/>
        </w:rPr>
        <w:t>%；暂不安排交通运输用地、特殊用地、水域及水利设施及其他用地。</w:t>
      </w:r>
    </w:p>
    <w:p>
      <w:pPr>
        <w:spacing w:line="540" w:lineRule="exact"/>
        <w:ind w:firstLine="643" w:firstLineChars="200"/>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（三）土地供应布局。</w:t>
      </w:r>
    </w:p>
    <w:p>
      <w:pPr>
        <w:ind w:firstLine="640" w:firstLineChars="200"/>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兴宁市202</w:t>
      </w:r>
      <w:r>
        <w:rPr>
          <w:rFonts w:hint="default" w:ascii="Times New Roman" w:hAnsi="Times New Roman" w:eastAsia="仿宋_GB2312" w:cs="Times New Roman"/>
          <w:color w:val="auto"/>
          <w:kern w:val="0"/>
          <w:sz w:val="32"/>
          <w:szCs w:val="32"/>
          <w:shd w:val="clear" w:color="auto" w:fill="auto"/>
          <w:lang w:val="en-US" w:eastAsia="zh-CN"/>
        </w:rPr>
        <w:t>3</w:t>
      </w:r>
      <w:r>
        <w:rPr>
          <w:rFonts w:hint="default" w:ascii="Times New Roman" w:hAnsi="Times New Roman" w:eastAsia="仿宋_GB2312" w:cs="Times New Roman"/>
          <w:color w:val="auto"/>
          <w:kern w:val="0"/>
          <w:sz w:val="32"/>
          <w:szCs w:val="32"/>
          <w:shd w:val="clear" w:color="auto" w:fill="auto"/>
        </w:rPr>
        <w:t>年国有建设用地供应计划拟供应商服用地主要分布在</w:t>
      </w:r>
      <w:r>
        <w:rPr>
          <w:rFonts w:hint="default" w:ascii="Times New Roman" w:hAnsi="Times New Roman" w:eastAsia="仿宋_GB2312" w:cs="Times New Roman"/>
          <w:color w:val="auto"/>
          <w:kern w:val="0"/>
          <w:sz w:val="32"/>
          <w:szCs w:val="32"/>
          <w:shd w:val="clear" w:color="auto" w:fill="auto"/>
          <w:lang w:val="en-US" w:eastAsia="zh-CN"/>
        </w:rPr>
        <w:t>福兴</w:t>
      </w:r>
      <w:r>
        <w:rPr>
          <w:rFonts w:hint="default" w:ascii="Times New Roman" w:hAnsi="Times New Roman" w:eastAsia="仿宋_GB2312" w:cs="Times New Roman"/>
          <w:color w:val="auto"/>
          <w:kern w:val="0"/>
          <w:sz w:val="32"/>
          <w:szCs w:val="32"/>
          <w:shd w:val="clear" w:color="auto" w:fill="auto"/>
        </w:rPr>
        <w:t>街道、</w:t>
      </w:r>
      <w:r>
        <w:rPr>
          <w:rFonts w:hint="eastAsia" w:eastAsia="仿宋_GB2312" w:cs="Times New Roman"/>
          <w:color w:val="auto"/>
          <w:kern w:val="0"/>
          <w:sz w:val="32"/>
          <w:szCs w:val="32"/>
          <w:shd w:val="clear" w:color="auto" w:fill="auto"/>
          <w:lang w:val="en-US" w:eastAsia="zh-CN"/>
        </w:rPr>
        <w:t>宁新街道、</w:t>
      </w:r>
      <w:r>
        <w:rPr>
          <w:rFonts w:hint="default" w:ascii="Times New Roman" w:hAnsi="Times New Roman" w:eastAsia="仿宋_GB2312" w:cs="Times New Roman"/>
          <w:color w:val="auto"/>
          <w:kern w:val="0"/>
          <w:sz w:val="32"/>
          <w:szCs w:val="32"/>
          <w:shd w:val="clear" w:color="auto" w:fill="auto"/>
        </w:rPr>
        <w:t>刁坊镇</w:t>
      </w:r>
      <w:r>
        <w:rPr>
          <w:rFonts w:hint="default" w:ascii="Times New Roman" w:hAnsi="Times New Roman" w:eastAsia="仿宋_GB2312" w:cs="Times New Roman"/>
          <w:color w:val="auto"/>
          <w:kern w:val="0"/>
          <w:sz w:val="32"/>
          <w:szCs w:val="32"/>
          <w:shd w:val="clear" w:color="auto" w:fill="auto"/>
          <w:lang w:eastAsia="zh-CN"/>
        </w:rPr>
        <w:t>、</w:t>
      </w:r>
      <w:r>
        <w:rPr>
          <w:rFonts w:hint="default" w:ascii="Times New Roman" w:hAnsi="Times New Roman" w:eastAsia="仿宋_GB2312" w:cs="Times New Roman"/>
          <w:color w:val="auto"/>
          <w:kern w:val="0"/>
          <w:sz w:val="32"/>
          <w:szCs w:val="32"/>
          <w:shd w:val="clear" w:color="auto" w:fill="auto"/>
        </w:rPr>
        <w:t>东莞石碣（兴宁）产业转移工业园；工业用地主要分布在东莞石碣（兴宁）产业转移工业园；住宅用地主要分布在兴田街道、</w:t>
      </w:r>
      <w:r>
        <w:rPr>
          <w:rFonts w:hint="default" w:ascii="Times New Roman" w:hAnsi="Times New Roman" w:eastAsia="仿宋_GB2312" w:cs="Times New Roman"/>
          <w:color w:val="auto"/>
          <w:kern w:val="0"/>
          <w:sz w:val="32"/>
          <w:szCs w:val="32"/>
          <w:shd w:val="clear" w:color="auto" w:fill="auto"/>
          <w:lang w:val="en-US" w:eastAsia="zh-CN"/>
        </w:rPr>
        <w:t>福兴</w:t>
      </w:r>
      <w:r>
        <w:rPr>
          <w:rFonts w:hint="default" w:ascii="Times New Roman" w:hAnsi="Times New Roman" w:eastAsia="仿宋_GB2312" w:cs="Times New Roman"/>
          <w:color w:val="auto"/>
          <w:kern w:val="0"/>
          <w:sz w:val="32"/>
          <w:szCs w:val="32"/>
          <w:shd w:val="clear" w:color="auto" w:fill="auto"/>
        </w:rPr>
        <w:t>街道、</w:t>
      </w:r>
      <w:r>
        <w:rPr>
          <w:rFonts w:hint="eastAsia" w:eastAsia="仿宋_GB2312" w:cs="Times New Roman"/>
          <w:color w:val="auto"/>
          <w:kern w:val="0"/>
          <w:sz w:val="32"/>
          <w:szCs w:val="32"/>
          <w:shd w:val="clear" w:color="auto" w:fill="auto"/>
          <w:lang w:val="en-US" w:eastAsia="zh-CN"/>
        </w:rPr>
        <w:t>宁新街道、</w:t>
      </w:r>
      <w:r>
        <w:rPr>
          <w:rFonts w:hint="default" w:ascii="Times New Roman" w:hAnsi="Times New Roman" w:eastAsia="仿宋_GB2312" w:cs="Times New Roman"/>
          <w:color w:val="auto"/>
          <w:kern w:val="0"/>
          <w:sz w:val="32"/>
          <w:szCs w:val="32"/>
          <w:shd w:val="clear" w:color="auto" w:fill="auto"/>
        </w:rPr>
        <w:t>刁坊镇；公共管理与服务用地主要分布在</w:t>
      </w:r>
      <w:r>
        <w:rPr>
          <w:rFonts w:hint="default" w:ascii="Times New Roman" w:hAnsi="Times New Roman" w:eastAsia="仿宋_GB2312" w:cs="Times New Roman"/>
          <w:color w:val="auto"/>
          <w:kern w:val="0"/>
          <w:sz w:val="32"/>
          <w:szCs w:val="32"/>
          <w:shd w:val="clear" w:color="auto" w:fill="auto"/>
          <w:lang w:val="en-US" w:eastAsia="zh-CN"/>
        </w:rPr>
        <w:t>坭陂镇</w:t>
      </w:r>
      <w:r>
        <w:rPr>
          <w:rFonts w:hint="default" w:ascii="Times New Roman" w:hAnsi="Times New Roman" w:eastAsia="仿宋_GB2312" w:cs="Times New Roman"/>
          <w:color w:val="auto"/>
          <w:kern w:val="0"/>
          <w:sz w:val="32"/>
          <w:szCs w:val="32"/>
          <w:shd w:val="clear" w:color="auto" w:fill="auto"/>
          <w:lang w:eastAsia="zh-CN"/>
        </w:rPr>
        <w:t>、</w:t>
      </w:r>
      <w:r>
        <w:rPr>
          <w:rFonts w:hint="default" w:ascii="Times New Roman" w:hAnsi="Times New Roman" w:eastAsia="仿宋_GB2312" w:cs="Times New Roman"/>
          <w:color w:val="auto"/>
          <w:kern w:val="0"/>
          <w:sz w:val="32"/>
          <w:szCs w:val="32"/>
          <w:shd w:val="clear" w:color="auto" w:fill="auto"/>
        </w:rPr>
        <w:t>东莞石碣（兴宁）产业转移工业园，重点保障</w:t>
      </w:r>
      <w:r>
        <w:rPr>
          <w:rFonts w:hint="default" w:ascii="Times New Roman" w:hAnsi="Times New Roman" w:eastAsia="仿宋_GB2312" w:cs="Times New Roman"/>
          <w:color w:val="auto"/>
          <w:kern w:val="0"/>
          <w:sz w:val="32"/>
          <w:szCs w:val="32"/>
          <w:shd w:val="clear" w:color="auto" w:fill="auto"/>
          <w:lang w:eastAsia="zh-CN"/>
        </w:rPr>
        <w:t>市重点项目、</w:t>
      </w:r>
      <w:r>
        <w:rPr>
          <w:rFonts w:hint="default" w:ascii="Times New Roman" w:hAnsi="Times New Roman" w:eastAsia="仿宋_GB2312" w:cs="Times New Roman"/>
          <w:color w:val="auto"/>
          <w:kern w:val="0"/>
          <w:sz w:val="32"/>
          <w:szCs w:val="32"/>
          <w:shd w:val="clear" w:color="auto" w:fill="auto"/>
        </w:rPr>
        <w:t>园区基础设施。</w:t>
      </w:r>
    </w:p>
    <w:p>
      <w:pPr>
        <w:spacing w:line="540" w:lineRule="exact"/>
        <w:ind w:firstLine="643" w:firstLineChars="200"/>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四、执行标准</w:t>
      </w:r>
    </w:p>
    <w:p>
      <w:pPr>
        <w:spacing w:line="540" w:lineRule="exact"/>
        <w:ind w:firstLine="643" w:firstLineChars="200"/>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b/>
          <w:color w:val="auto"/>
          <w:sz w:val="32"/>
          <w:szCs w:val="32"/>
          <w:shd w:val="clear" w:color="auto" w:fill="auto"/>
        </w:rPr>
        <w:t>（一）坚持计划控制引导，统一有序、规范供应。</w:t>
      </w:r>
      <w:r>
        <w:rPr>
          <w:rFonts w:hint="default" w:ascii="Times New Roman" w:hAnsi="Times New Roman" w:eastAsia="仿宋_GB2312" w:cs="Times New Roman"/>
          <w:color w:val="auto"/>
          <w:kern w:val="0"/>
          <w:sz w:val="32"/>
          <w:szCs w:val="32"/>
          <w:shd w:val="clear" w:color="auto" w:fill="auto"/>
        </w:rPr>
        <w:t>本年度各类建设项目用地供应，必须严格按照《兴宁市202</w:t>
      </w:r>
      <w:r>
        <w:rPr>
          <w:rFonts w:hint="default" w:ascii="Times New Roman" w:hAnsi="Times New Roman" w:eastAsia="仿宋_GB2312" w:cs="Times New Roman"/>
          <w:color w:val="auto"/>
          <w:kern w:val="0"/>
          <w:sz w:val="32"/>
          <w:szCs w:val="32"/>
          <w:shd w:val="clear" w:color="auto" w:fill="auto"/>
          <w:lang w:val="en-US" w:eastAsia="zh-CN"/>
        </w:rPr>
        <w:t>3</w:t>
      </w:r>
      <w:r>
        <w:rPr>
          <w:rFonts w:hint="default" w:ascii="Times New Roman" w:hAnsi="Times New Roman" w:eastAsia="仿宋_GB2312" w:cs="Times New Roman"/>
          <w:color w:val="auto"/>
          <w:kern w:val="0"/>
          <w:sz w:val="32"/>
          <w:szCs w:val="32"/>
          <w:shd w:val="clear" w:color="auto" w:fill="auto"/>
        </w:rPr>
        <w:t>年度国有建设用地供应计划表》确定的控制指标实施。</w:t>
      </w:r>
    </w:p>
    <w:p>
      <w:pPr>
        <w:spacing w:line="540" w:lineRule="exact"/>
        <w:ind w:firstLine="643" w:firstLineChars="200"/>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b/>
          <w:color w:val="auto"/>
          <w:sz w:val="32"/>
          <w:szCs w:val="32"/>
          <w:shd w:val="clear" w:color="auto" w:fill="auto"/>
        </w:rPr>
        <w:t>（二）认真落实住宅用地调控政策。</w:t>
      </w:r>
      <w:r>
        <w:rPr>
          <w:rFonts w:hint="default" w:ascii="Times New Roman" w:hAnsi="Times New Roman" w:eastAsia="仿宋_GB2312" w:cs="Times New Roman"/>
          <w:color w:val="auto"/>
          <w:kern w:val="0"/>
          <w:sz w:val="32"/>
          <w:szCs w:val="32"/>
          <w:shd w:val="clear" w:color="auto" w:fill="auto"/>
        </w:rPr>
        <w:t>保持土地储备开发投资合理规模，增强政府调控土地市场。</w:t>
      </w:r>
    </w:p>
    <w:p>
      <w:pPr>
        <w:spacing w:line="540" w:lineRule="exact"/>
        <w:ind w:firstLine="643" w:firstLineChars="200"/>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b/>
          <w:color w:val="auto"/>
          <w:sz w:val="32"/>
          <w:szCs w:val="32"/>
          <w:shd w:val="clear" w:color="auto" w:fill="auto"/>
        </w:rPr>
        <w:t>（三）严格土地供应方式。</w:t>
      </w:r>
      <w:r>
        <w:rPr>
          <w:rFonts w:hint="default" w:ascii="Times New Roman" w:hAnsi="Times New Roman" w:eastAsia="仿宋_GB2312" w:cs="Times New Roman"/>
          <w:color w:val="auto"/>
          <w:kern w:val="0"/>
          <w:sz w:val="32"/>
          <w:szCs w:val="32"/>
          <w:shd w:val="clear" w:color="auto" w:fill="auto"/>
        </w:rPr>
        <w:t>对商业、旅游、娱乐、商品住宅等经营性用地和新增工业用地以及同一宗地有两个以上意向用地者的，必须以招标、拍卖或者挂牌方式有偿供地，统一在土地市场公开进行。扩大有偿使用范围，积极推进经营性基础设施用地有偿使用。其他符合国家《划拨用地目录》的建设项目用地，以划拨方式供地。</w:t>
      </w:r>
    </w:p>
    <w:p>
      <w:pPr>
        <w:spacing w:line="540" w:lineRule="exact"/>
        <w:ind w:firstLine="643" w:firstLineChars="200"/>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五、保障措施</w:t>
      </w:r>
    </w:p>
    <w:p>
      <w:pPr>
        <w:spacing w:line="540" w:lineRule="exact"/>
        <w:ind w:firstLine="643" w:firstLineChars="200"/>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b/>
          <w:color w:val="auto"/>
          <w:sz w:val="32"/>
          <w:szCs w:val="32"/>
          <w:shd w:val="clear" w:color="auto" w:fill="auto"/>
        </w:rPr>
        <w:t>（一）加强协调配合。</w:t>
      </w:r>
      <w:r>
        <w:rPr>
          <w:rFonts w:hint="default" w:ascii="Times New Roman" w:hAnsi="Times New Roman" w:eastAsia="仿宋_GB2312" w:cs="Times New Roman"/>
          <w:color w:val="auto"/>
          <w:kern w:val="0"/>
          <w:sz w:val="32"/>
          <w:szCs w:val="32"/>
          <w:shd w:val="clear" w:color="auto" w:fill="auto"/>
        </w:rPr>
        <w:t>市自然资源主管部门牵头，</w:t>
      </w:r>
      <w:r>
        <w:rPr>
          <w:rFonts w:hint="eastAsia" w:ascii="Times New Roman" w:hAnsi="Times New Roman" w:eastAsia="仿宋_GB2312" w:cs="Times New Roman"/>
          <w:color w:val="auto"/>
          <w:kern w:val="0"/>
          <w:sz w:val="32"/>
          <w:szCs w:val="32"/>
          <w:shd w:val="clear" w:color="auto" w:fill="auto"/>
          <w:lang w:val="en-US" w:eastAsia="zh-CN"/>
        </w:rPr>
        <w:t>发展改革</w:t>
      </w:r>
      <w:r>
        <w:rPr>
          <w:rFonts w:hint="default" w:ascii="Times New Roman" w:hAnsi="Times New Roman" w:eastAsia="仿宋_GB2312" w:cs="Times New Roman"/>
          <w:color w:val="auto"/>
          <w:kern w:val="0"/>
          <w:sz w:val="32"/>
          <w:szCs w:val="32"/>
          <w:shd w:val="clear" w:color="auto" w:fill="auto"/>
        </w:rPr>
        <w:t>、财政、住</w:t>
      </w:r>
      <w:r>
        <w:rPr>
          <w:rFonts w:hint="eastAsia" w:ascii="Times New Roman" w:hAnsi="Times New Roman" w:eastAsia="仿宋_GB2312" w:cs="Times New Roman"/>
          <w:color w:val="auto"/>
          <w:kern w:val="0"/>
          <w:sz w:val="32"/>
          <w:szCs w:val="32"/>
          <w:shd w:val="clear" w:color="auto" w:fill="auto"/>
          <w:lang w:val="en-US" w:eastAsia="zh-CN"/>
        </w:rPr>
        <w:t>房城乡建设</w:t>
      </w:r>
      <w:r>
        <w:rPr>
          <w:rFonts w:hint="default" w:ascii="Times New Roman" w:hAnsi="Times New Roman" w:eastAsia="仿宋_GB2312" w:cs="Times New Roman"/>
          <w:color w:val="auto"/>
          <w:kern w:val="0"/>
          <w:sz w:val="32"/>
          <w:szCs w:val="32"/>
          <w:shd w:val="clear" w:color="auto" w:fill="auto"/>
        </w:rPr>
        <w:t>等相关部门要密切协调配合，共同组织做好建设项目用地各项前期准备工作，各镇</w:t>
      </w:r>
      <w:r>
        <w:rPr>
          <w:rFonts w:hint="default" w:ascii="Times New Roman" w:hAnsi="Times New Roman" w:eastAsia="仿宋_GB2312" w:cs="Times New Roman"/>
          <w:color w:val="auto"/>
          <w:kern w:val="0"/>
          <w:sz w:val="32"/>
          <w:szCs w:val="32"/>
          <w:shd w:val="clear" w:color="auto" w:fill="auto"/>
          <w:lang w:eastAsia="zh-CN"/>
        </w:rPr>
        <w:t>政府</w:t>
      </w:r>
      <w:r>
        <w:rPr>
          <w:rFonts w:hint="default" w:ascii="Times New Roman" w:hAnsi="Times New Roman" w:eastAsia="仿宋_GB2312" w:cs="Times New Roman"/>
          <w:color w:val="auto"/>
          <w:kern w:val="0"/>
          <w:sz w:val="32"/>
          <w:szCs w:val="32"/>
          <w:shd w:val="clear" w:color="auto" w:fill="auto"/>
        </w:rPr>
        <w:t>（</w:t>
      </w:r>
      <w:r>
        <w:rPr>
          <w:rFonts w:hint="default" w:ascii="Times New Roman" w:hAnsi="Times New Roman" w:eastAsia="仿宋_GB2312" w:cs="Times New Roman"/>
          <w:color w:val="auto"/>
          <w:kern w:val="0"/>
          <w:sz w:val="32"/>
          <w:szCs w:val="32"/>
          <w:shd w:val="clear" w:color="auto" w:fill="auto"/>
          <w:lang w:eastAsia="zh-CN"/>
        </w:rPr>
        <w:t>街道办</w:t>
      </w:r>
      <w:r>
        <w:rPr>
          <w:rFonts w:hint="default" w:ascii="Times New Roman" w:hAnsi="Times New Roman" w:eastAsia="仿宋_GB2312" w:cs="Times New Roman"/>
          <w:color w:val="auto"/>
          <w:kern w:val="0"/>
          <w:sz w:val="32"/>
          <w:szCs w:val="32"/>
          <w:shd w:val="clear" w:color="auto" w:fill="auto"/>
        </w:rPr>
        <w:t>）也要充分发挥职能优势，积极配合做好计划实施工作。</w:t>
      </w:r>
    </w:p>
    <w:p>
      <w:pPr>
        <w:spacing w:line="540" w:lineRule="exact"/>
        <w:ind w:firstLine="643" w:firstLineChars="200"/>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b/>
          <w:color w:val="auto"/>
          <w:sz w:val="32"/>
          <w:szCs w:val="32"/>
          <w:shd w:val="clear" w:color="auto" w:fill="auto"/>
        </w:rPr>
        <w:t>（二）强化供后监管。</w:t>
      </w:r>
      <w:r>
        <w:rPr>
          <w:rFonts w:hint="default" w:ascii="Times New Roman" w:hAnsi="Times New Roman" w:eastAsia="仿宋_GB2312" w:cs="Times New Roman"/>
          <w:color w:val="auto"/>
          <w:kern w:val="0"/>
          <w:sz w:val="32"/>
          <w:szCs w:val="32"/>
          <w:shd w:val="clear" w:color="auto" w:fill="auto"/>
        </w:rPr>
        <w:t>严格规范建设用地供应，对不具备动工开发条件的土地坚决不予供地，防止闲置土地的产生；同时要切实加强建设用地供后监管，对取得土地开工、竣工等进行巡查监控。</w:t>
      </w:r>
    </w:p>
    <w:p>
      <w:pPr>
        <w:spacing w:line="540" w:lineRule="exact"/>
        <w:ind w:firstLine="643" w:firstLineChars="200"/>
        <w:rPr>
          <w:rFonts w:hint="eastAsia" w:ascii="仿宋_GB2312" w:hAnsi="宋体" w:eastAsia="仿宋_GB2312" w:cs="宋体"/>
          <w:color w:val="auto"/>
          <w:kern w:val="0"/>
          <w:sz w:val="32"/>
          <w:szCs w:val="32"/>
          <w:shd w:val="clear" w:color="auto" w:fill="auto"/>
        </w:rPr>
      </w:pPr>
      <w:r>
        <w:rPr>
          <w:rFonts w:hint="eastAsia" w:ascii="仿宋_GB2312" w:eastAsia="仿宋_GB2312"/>
          <w:b/>
          <w:color w:val="auto"/>
          <w:sz w:val="32"/>
          <w:szCs w:val="32"/>
          <w:shd w:val="clear" w:color="auto" w:fill="auto"/>
        </w:rPr>
        <w:t>（三）规范市场行为。</w:t>
      </w:r>
      <w:r>
        <w:rPr>
          <w:rFonts w:hint="eastAsia" w:ascii="仿宋_GB2312" w:hAnsi="宋体" w:eastAsia="仿宋_GB2312" w:cs="宋体"/>
          <w:color w:val="auto"/>
          <w:kern w:val="0"/>
          <w:sz w:val="32"/>
          <w:szCs w:val="32"/>
          <w:shd w:val="clear" w:color="auto" w:fill="auto"/>
        </w:rPr>
        <w:t>严格规范执行建设用地会审制度，严格按照相关程序和规范做好供地手续，切实做到公开、公平、公正，维护土地市场秩序，促进土地市场健康发展。</w:t>
      </w:r>
    </w:p>
    <w:p>
      <w:pPr>
        <w:spacing w:line="540" w:lineRule="exact"/>
        <w:ind w:firstLine="640" w:firstLineChars="200"/>
        <w:rPr>
          <w:rFonts w:hint="eastAsia" w:ascii="仿宋_GB2312" w:hAnsi="宋体" w:eastAsia="仿宋_GB2312" w:cs="宋体"/>
          <w:color w:val="auto"/>
          <w:kern w:val="0"/>
          <w:sz w:val="32"/>
          <w:szCs w:val="32"/>
          <w:shd w:val="clear" w:color="auto" w:fill="auto"/>
        </w:rPr>
      </w:pPr>
    </w:p>
    <w:p>
      <w:pPr>
        <w:spacing w:line="540" w:lineRule="exact"/>
        <w:ind w:firstLine="640" w:firstLineChars="200"/>
        <w:rPr>
          <w:rFonts w:hint="eastAsia" w:ascii="仿宋_GB2312" w:hAnsi="宋体" w:eastAsia="仿宋_GB2312" w:cs="宋体"/>
          <w:color w:val="auto"/>
          <w:kern w:val="0"/>
          <w:sz w:val="32"/>
          <w:szCs w:val="32"/>
          <w:shd w:val="clear" w:color="auto" w:fill="auto"/>
        </w:rPr>
      </w:pPr>
    </w:p>
    <w:p>
      <w:pPr>
        <w:spacing w:line="540" w:lineRule="exact"/>
        <w:ind w:firstLine="640" w:firstLineChars="200"/>
        <w:rPr>
          <w:rFonts w:hint="eastAsia" w:ascii="仿宋_GB2312" w:hAnsi="宋体" w:eastAsia="仿宋_GB2312" w:cs="宋体"/>
          <w:color w:val="auto"/>
          <w:kern w:val="0"/>
          <w:sz w:val="32"/>
          <w:szCs w:val="32"/>
          <w:shd w:val="clear" w:color="auto" w:fill="auto"/>
        </w:rPr>
      </w:pPr>
    </w:p>
    <w:p>
      <w:pPr>
        <w:spacing w:line="540" w:lineRule="exact"/>
        <w:ind w:firstLine="640" w:firstLineChars="200"/>
        <w:rPr>
          <w:rFonts w:hint="eastAsia" w:ascii="仿宋_GB2312" w:hAnsi="宋体" w:eastAsia="仿宋_GB2312" w:cs="宋体"/>
          <w:color w:val="auto"/>
          <w:kern w:val="0"/>
          <w:sz w:val="32"/>
          <w:szCs w:val="32"/>
          <w:shd w:val="clear" w:color="auto" w:fill="auto"/>
        </w:rPr>
      </w:pPr>
    </w:p>
    <w:p>
      <w:pPr>
        <w:spacing w:line="540" w:lineRule="exact"/>
        <w:ind w:firstLine="640" w:firstLineChars="200"/>
        <w:rPr>
          <w:rFonts w:hint="eastAsia" w:ascii="仿宋_GB2312" w:hAnsi="宋体" w:eastAsia="仿宋_GB2312" w:cs="宋体"/>
          <w:color w:val="auto"/>
          <w:kern w:val="0"/>
          <w:sz w:val="32"/>
          <w:szCs w:val="32"/>
          <w:shd w:val="clear" w:color="auto" w:fill="auto"/>
        </w:rPr>
      </w:pPr>
    </w:p>
    <w:p>
      <w:pPr>
        <w:spacing w:line="540" w:lineRule="exact"/>
        <w:ind w:firstLine="640" w:firstLineChars="200"/>
        <w:rPr>
          <w:rFonts w:hint="eastAsia" w:ascii="仿宋_GB2312" w:hAnsi="宋体" w:eastAsia="仿宋_GB2312" w:cs="宋体"/>
          <w:color w:val="auto"/>
          <w:kern w:val="0"/>
          <w:sz w:val="32"/>
          <w:szCs w:val="32"/>
          <w:shd w:val="clear" w:color="auto" w:fill="auto"/>
        </w:rPr>
      </w:pPr>
    </w:p>
    <w:p>
      <w:pPr>
        <w:spacing w:line="540" w:lineRule="exact"/>
        <w:ind w:firstLine="640" w:firstLineChars="200"/>
        <w:rPr>
          <w:rFonts w:hint="eastAsia" w:ascii="仿宋_GB2312" w:hAnsi="宋体" w:eastAsia="仿宋_GB2312" w:cs="宋体"/>
          <w:color w:val="auto"/>
          <w:kern w:val="0"/>
          <w:sz w:val="32"/>
          <w:szCs w:val="32"/>
          <w:shd w:val="clear" w:color="auto" w:fill="auto"/>
        </w:rPr>
      </w:pPr>
    </w:p>
    <w:p>
      <w:pPr>
        <w:spacing w:line="540" w:lineRule="exact"/>
        <w:ind w:firstLine="640" w:firstLineChars="200"/>
        <w:rPr>
          <w:rFonts w:hint="eastAsia" w:ascii="仿宋_GB2312" w:hAnsi="宋体" w:eastAsia="仿宋_GB2312" w:cs="宋体"/>
          <w:color w:val="auto"/>
          <w:kern w:val="0"/>
          <w:sz w:val="32"/>
          <w:szCs w:val="32"/>
          <w:shd w:val="clear" w:color="auto" w:fill="auto"/>
        </w:rPr>
      </w:pPr>
    </w:p>
    <w:p>
      <w:pPr>
        <w:spacing w:line="540" w:lineRule="exact"/>
        <w:ind w:firstLine="643" w:firstLineChars="200"/>
        <w:rPr>
          <w:rFonts w:hint="eastAsia" w:ascii="仿宋_GB2312" w:eastAsia="仿宋_GB2312"/>
          <w:b/>
          <w:color w:val="auto"/>
          <w:sz w:val="32"/>
          <w:szCs w:val="32"/>
          <w:shd w:val="clear" w:color="auto" w:fill="auto"/>
        </w:rPr>
      </w:pPr>
    </w:p>
    <w:p>
      <w:pPr>
        <w:widowControl/>
        <w:shd w:val="clear" w:color="auto" w:fill="FFFFFF"/>
        <w:spacing w:line="401" w:lineRule="atLeast"/>
        <w:jc w:val="center"/>
        <w:rPr>
          <w:rFonts w:hint="eastAsia" w:ascii="方正小标宋简体" w:eastAsia="方正小标宋简体"/>
          <w:color w:val="auto"/>
          <w:sz w:val="36"/>
          <w:szCs w:val="36"/>
          <w:shd w:val="clear" w:color="auto" w:fill="auto"/>
        </w:rPr>
      </w:pPr>
      <w:r>
        <w:rPr>
          <w:rFonts w:hint="eastAsia" w:ascii="方正小标宋简体" w:eastAsia="方正小标宋简体"/>
          <w:color w:val="auto"/>
          <w:sz w:val="36"/>
          <w:szCs w:val="36"/>
          <w:shd w:val="clear" w:color="auto" w:fill="auto"/>
        </w:rPr>
        <w:t>兴宁市202</w:t>
      </w:r>
      <w:r>
        <w:rPr>
          <w:rFonts w:hint="eastAsia" w:ascii="方正小标宋简体" w:eastAsia="方正小标宋简体"/>
          <w:color w:val="auto"/>
          <w:sz w:val="36"/>
          <w:szCs w:val="36"/>
          <w:shd w:val="clear" w:color="auto" w:fill="auto"/>
          <w:lang w:val="en-US" w:eastAsia="zh-CN"/>
        </w:rPr>
        <w:t>3</w:t>
      </w:r>
      <w:r>
        <w:rPr>
          <w:rFonts w:hint="eastAsia" w:ascii="方正小标宋简体" w:eastAsia="方正小标宋简体"/>
          <w:color w:val="auto"/>
          <w:sz w:val="36"/>
          <w:szCs w:val="36"/>
          <w:shd w:val="clear" w:color="auto" w:fill="auto"/>
        </w:rPr>
        <w:t>年度国有建设用地供应计划表</w:t>
      </w:r>
    </w:p>
    <w:p>
      <w:pPr>
        <w:widowControl/>
        <w:shd w:val="clear" w:color="auto" w:fill="FFFFFF"/>
        <w:spacing w:line="401" w:lineRule="atLeast"/>
        <w:ind w:firstLine="548" w:firstLineChars="196"/>
        <w:jc w:val="right"/>
        <w:rPr>
          <w:rFonts w:hint="eastAsia" w:ascii="仿宋_GB2312" w:hAnsi="宋体" w:eastAsia="仿宋_GB2312" w:cs="宋体"/>
          <w:color w:val="auto"/>
          <w:kern w:val="0"/>
          <w:sz w:val="28"/>
          <w:szCs w:val="28"/>
          <w:shd w:val="clear" w:color="auto" w:fill="auto"/>
        </w:rPr>
      </w:pPr>
      <w:r>
        <w:rPr>
          <w:rFonts w:hint="eastAsia" w:ascii="方正仿宋简体" w:hAnsi="宋体" w:eastAsia="方正仿宋简体" w:cs="宋体"/>
          <w:color w:val="auto"/>
          <w:kern w:val="0"/>
          <w:sz w:val="28"/>
          <w:szCs w:val="28"/>
          <w:shd w:val="clear" w:color="auto" w:fill="auto"/>
        </w:rPr>
        <w:t>  </w:t>
      </w:r>
      <w:r>
        <w:rPr>
          <w:rFonts w:hint="eastAsia" w:ascii="仿宋_GB2312" w:hAnsi="宋体" w:eastAsia="仿宋_GB2312" w:cs="宋体"/>
          <w:color w:val="auto"/>
          <w:kern w:val="0"/>
          <w:sz w:val="28"/>
          <w:szCs w:val="28"/>
          <w:shd w:val="clear" w:color="auto" w:fill="auto"/>
        </w:rPr>
        <w:t> 单位：亩</w:t>
      </w:r>
    </w:p>
    <w:tbl>
      <w:tblPr>
        <w:tblStyle w:val="6"/>
        <w:tblW w:w="9259"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519"/>
        <w:gridCol w:w="1366"/>
        <w:gridCol w:w="1910"/>
        <w:gridCol w:w="4098"/>
        <w:gridCol w:w="136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7893" w:type="dxa"/>
            <w:gridSpan w:val="4"/>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firstLine="56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总供应面积合计</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仿宋_GB2312" w:eastAsia="仿宋_GB2312"/>
                <w:color w:val="auto"/>
                <w:kern w:val="0"/>
                <w:sz w:val="28"/>
                <w:szCs w:val="28"/>
                <w:shd w:val="clear" w:color="auto" w:fill="auto"/>
                <w:lang w:val="en-US" w:eastAsia="zh-CN"/>
              </w:rPr>
            </w:pPr>
            <w:r>
              <w:rPr>
                <w:rFonts w:hint="eastAsia" w:ascii="仿宋_GB2312" w:eastAsia="仿宋_GB2312"/>
                <w:color w:val="auto"/>
                <w:kern w:val="0"/>
                <w:sz w:val="28"/>
                <w:szCs w:val="28"/>
                <w:shd w:val="clear" w:color="auto" w:fill="auto"/>
                <w:lang w:val="en-US" w:eastAsia="zh-CN"/>
              </w:rPr>
              <w:t>799.97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restart"/>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其中</w:t>
            </w:r>
          </w:p>
        </w:tc>
        <w:tc>
          <w:tcPr>
            <w:tcW w:w="7374" w:type="dxa"/>
            <w:gridSpan w:val="3"/>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商服用地</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仿宋_GB2312" w:eastAsia="仿宋_GB2312"/>
                <w:color w:val="auto"/>
                <w:kern w:val="0"/>
                <w:sz w:val="28"/>
                <w:szCs w:val="28"/>
                <w:shd w:val="clear" w:color="auto" w:fill="auto"/>
                <w:lang w:val="en-US" w:eastAsia="zh-CN"/>
              </w:rPr>
            </w:pPr>
            <w:r>
              <w:rPr>
                <w:rFonts w:hint="eastAsia" w:ascii="仿宋_GB2312" w:eastAsia="仿宋_GB2312"/>
                <w:color w:val="auto"/>
                <w:kern w:val="0"/>
                <w:sz w:val="28"/>
                <w:szCs w:val="28"/>
                <w:shd w:val="clear" w:color="auto" w:fill="auto"/>
                <w:lang w:val="en-US" w:eastAsia="zh-CN"/>
              </w:rPr>
              <w:t>146.01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工矿仓储用地</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仿宋_GB2312" w:eastAsia="仿宋_GB2312"/>
                <w:color w:val="auto"/>
                <w:kern w:val="0"/>
                <w:sz w:val="28"/>
                <w:szCs w:val="28"/>
                <w:shd w:val="clear" w:color="auto" w:fill="auto"/>
                <w:lang w:val="en-US" w:eastAsia="zh-CN"/>
              </w:rPr>
            </w:pPr>
            <w:r>
              <w:rPr>
                <w:rFonts w:hint="eastAsia" w:ascii="仿宋_GB2312" w:eastAsia="仿宋_GB2312"/>
                <w:color w:val="auto"/>
                <w:kern w:val="0"/>
                <w:sz w:val="28"/>
                <w:szCs w:val="28"/>
                <w:shd w:val="clear" w:color="auto" w:fill="auto"/>
                <w:lang w:val="en-US" w:eastAsia="zh-CN"/>
              </w:rPr>
              <w:t>239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公共管理与服务用地</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仿宋_GB2312" w:eastAsia="仿宋_GB2312"/>
                <w:color w:val="auto"/>
                <w:kern w:val="0"/>
                <w:sz w:val="28"/>
                <w:szCs w:val="28"/>
                <w:shd w:val="clear" w:color="auto" w:fill="auto"/>
                <w:lang w:val="en-US" w:eastAsia="zh-CN"/>
              </w:rPr>
            </w:pPr>
            <w:r>
              <w:rPr>
                <w:rFonts w:hint="eastAsia" w:ascii="仿宋_GB2312" w:eastAsia="仿宋_GB2312"/>
                <w:color w:val="auto"/>
                <w:kern w:val="0"/>
                <w:sz w:val="28"/>
                <w:szCs w:val="28"/>
                <w:shd w:val="clear" w:color="auto" w:fill="auto"/>
                <w:lang w:val="en-US" w:eastAsia="zh-CN"/>
              </w:rPr>
              <w:t>44.56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交通运输用地</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kern w:val="0"/>
                <w:sz w:val="28"/>
                <w:szCs w:val="28"/>
                <w:shd w:val="clear" w:color="auto" w:fill="auto"/>
              </w:rPr>
            </w:pPr>
            <w:r>
              <w:rPr>
                <w:rFonts w:hint="eastAsia" w:ascii="仿宋_GB2312" w:eastAsia="仿宋_GB2312"/>
                <w:color w:val="auto"/>
                <w:kern w:val="0"/>
                <w:sz w:val="28"/>
                <w:szCs w:val="28"/>
                <w:shd w:val="clear" w:color="auto" w:fill="auto"/>
              </w:rPr>
              <w:t>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水域及水利设施用地</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kern w:val="0"/>
                <w:sz w:val="28"/>
                <w:szCs w:val="28"/>
                <w:shd w:val="clear" w:color="auto" w:fill="auto"/>
              </w:rPr>
            </w:pPr>
            <w:r>
              <w:rPr>
                <w:rFonts w:hint="eastAsia" w:ascii="仿宋_GB2312" w:eastAsia="仿宋_GB2312"/>
                <w:color w:val="auto"/>
                <w:kern w:val="0"/>
                <w:sz w:val="28"/>
                <w:szCs w:val="28"/>
                <w:shd w:val="clear" w:color="auto" w:fill="auto"/>
              </w:rPr>
              <w:t>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特殊用地</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kern w:val="0"/>
                <w:sz w:val="28"/>
                <w:szCs w:val="28"/>
                <w:shd w:val="clear" w:color="auto" w:fill="auto"/>
              </w:rPr>
            </w:pPr>
            <w:r>
              <w:rPr>
                <w:rFonts w:hint="eastAsia" w:ascii="仿宋_GB2312" w:eastAsia="仿宋_GB2312"/>
                <w:color w:val="auto"/>
                <w:kern w:val="0"/>
                <w:sz w:val="28"/>
                <w:szCs w:val="28"/>
                <w:shd w:val="clear" w:color="auto" w:fill="auto"/>
              </w:rPr>
              <w:t>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其他用地</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kern w:val="0"/>
                <w:sz w:val="28"/>
                <w:szCs w:val="28"/>
                <w:shd w:val="clear" w:color="auto" w:fill="auto"/>
              </w:rPr>
            </w:pPr>
            <w:r>
              <w:rPr>
                <w:rFonts w:hint="eastAsia" w:ascii="仿宋_GB2312" w:eastAsia="仿宋_GB2312"/>
                <w:color w:val="auto"/>
                <w:kern w:val="0"/>
                <w:sz w:val="28"/>
                <w:szCs w:val="28"/>
                <w:shd w:val="clear" w:color="auto" w:fill="auto"/>
              </w:rPr>
              <w:t>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kern w:val="0"/>
                <w:sz w:val="28"/>
                <w:szCs w:val="28"/>
                <w:shd w:val="clear" w:color="auto" w:fill="auto"/>
              </w:rPr>
            </w:pPr>
            <w:r>
              <w:rPr>
                <w:rFonts w:hint="eastAsia" w:ascii="仿宋_GB2312" w:eastAsia="仿宋_GB2312"/>
                <w:color w:val="auto"/>
                <w:sz w:val="28"/>
                <w:szCs w:val="28"/>
                <w:shd w:val="clear" w:color="auto" w:fill="auto"/>
              </w:rPr>
              <w:t>住房用地</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仿宋_GB2312" w:eastAsia="仿宋_GB2312"/>
                <w:color w:val="auto"/>
                <w:kern w:val="0"/>
                <w:sz w:val="28"/>
                <w:szCs w:val="28"/>
                <w:shd w:val="clear" w:color="auto" w:fill="auto"/>
                <w:lang w:val="en-US"/>
              </w:rPr>
            </w:pPr>
            <w:r>
              <w:rPr>
                <w:rFonts w:hint="eastAsia" w:ascii="仿宋_GB2312" w:eastAsia="仿宋_GB2312"/>
                <w:color w:val="auto"/>
                <w:kern w:val="0"/>
                <w:sz w:val="28"/>
                <w:szCs w:val="28"/>
                <w:shd w:val="clear" w:color="auto" w:fill="auto"/>
                <w:lang w:val="en-US" w:eastAsia="zh-CN"/>
              </w:rPr>
              <w:t>370.4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366" w:type="dxa"/>
            <w:vMerge w:val="restart"/>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其中</w:t>
            </w:r>
          </w:p>
        </w:tc>
        <w:tc>
          <w:tcPr>
            <w:tcW w:w="1910" w:type="dxa"/>
            <w:vMerge w:val="restart"/>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保障性安居  工程用地</w:t>
            </w:r>
          </w:p>
        </w:tc>
        <w:tc>
          <w:tcPr>
            <w:tcW w:w="409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left"/>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保障性住房用地廉租房</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kern w:val="0"/>
                <w:sz w:val="28"/>
                <w:szCs w:val="28"/>
                <w:shd w:val="clear" w:color="auto" w:fill="auto"/>
              </w:rPr>
            </w:pPr>
            <w:r>
              <w:rPr>
                <w:rFonts w:hint="eastAsia" w:ascii="仿宋_GB2312" w:eastAsia="仿宋_GB2312"/>
                <w:color w:val="auto"/>
                <w:kern w:val="0"/>
                <w:sz w:val="28"/>
                <w:szCs w:val="28"/>
                <w:shd w:val="clear" w:color="auto" w:fill="auto"/>
              </w:rPr>
              <w:t>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3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91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409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left"/>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各类棚户区改造用地</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kern w:val="0"/>
                <w:sz w:val="28"/>
                <w:szCs w:val="28"/>
                <w:shd w:val="clear" w:color="auto" w:fill="auto"/>
              </w:rPr>
            </w:pPr>
            <w:r>
              <w:rPr>
                <w:rFonts w:hint="eastAsia" w:ascii="仿宋_GB2312" w:eastAsia="仿宋_GB2312"/>
                <w:color w:val="auto"/>
                <w:kern w:val="0"/>
                <w:sz w:val="28"/>
                <w:szCs w:val="28"/>
                <w:shd w:val="clear" w:color="auto" w:fill="auto"/>
              </w:rPr>
              <w:t>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3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91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409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left"/>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公租房</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kern w:val="0"/>
                <w:sz w:val="28"/>
                <w:szCs w:val="28"/>
                <w:shd w:val="clear" w:color="auto" w:fill="auto"/>
              </w:rPr>
            </w:pPr>
            <w:r>
              <w:rPr>
                <w:rFonts w:hint="eastAsia" w:ascii="仿宋_GB2312" w:eastAsia="仿宋_GB2312"/>
                <w:color w:val="auto"/>
                <w:kern w:val="0"/>
                <w:sz w:val="28"/>
                <w:szCs w:val="28"/>
                <w:shd w:val="clear" w:color="auto" w:fill="auto"/>
              </w:rPr>
              <w:t>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3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910" w:type="dxa"/>
            <w:vMerge w:val="restart"/>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商品住房用地</w:t>
            </w:r>
          </w:p>
        </w:tc>
        <w:tc>
          <w:tcPr>
            <w:tcW w:w="409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总   量</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仿宋_GB2312" w:eastAsia="仿宋_GB2312"/>
                <w:color w:val="auto"/>
                <w:kern w:val="0"/>
                <w:sz w:val="28"/>
                <w:szCs w:val="28"/>
                <w:shd w:val="clear" w:color="auto" w:fill="auto"/>
                <w:lang w:val="en-US"/>
              </w:rPr>
            </w:pPr>
            <w:r>
              <w:rPr>
                <w:rFonts w:hint="eastAsia" w:ascii="仿宋_GB2312" w:eastAsia="仿宋_GB2312"/>
                <w:color w:val="auto"/>
                <w:kern w:val="0"/>
                <w:sz w:val="28"/>
                <w:szCs w:val="28"/>
                <w:shd w:val="clear" w:color="auto" w:fill="auto"/>
                <w:lang w:val="en-US" w:eastAsia="zh-CN"/>
              </w:rPr>
              <w:t>370.4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3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91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409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中小套型商品住房</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仿宋_GB2312" w:eastAsia="仿宋_GB2312"/>
                <w:color w:val="auto"/>
                <w:kern w:val="0"/>
                <w:sz w:val="28"/>
                <w:szCs w:val="28"/>
                <w:highlight w:val="none"/>
                <w:shd w:val="clear" w:color="auto" w:fill="auto"/>
                <w:lang w:val="en-US" w:eastAsia="zh-CN"/>
              </w:rPr>
            </w:pPr>
            <w:r>
              <w:rPr>
                <w:rFonts w:hint="eastAsia" w:ascii="仿宋_GB2312" w:eastAsia="仿宋_GB2312"/>
                <w:color w:val="auto"/>
                <w:kern w:val="0"/>
                <w:sz w:val="28"/>
                <w:szCs w:val="28"/>
                <w:highlight w:val="none"/>
                <w:shd w:val="clear" w:color="auto" w:fill="auto"/>
                <w:lang w:val="en-US" w:eastAsia="zh-CN"/>
              </w:rPr>
              <w:t>370.4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66" w:hRule="atLeast"/>
          <w:jc w:val="center"/>
        </w:trPr>
        <w:tc>
          <w:tcPr>
            <w:tcW w:w="5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保障性安居工程和中小套型商品房用地占比（%）</w:t>
            </w:r>
          </w:p>
        </w:tc>
        <w:tc>
          <w:tcPr>
            <w:tcW w:w="136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仿宋_GB2312" w:eastAsia="仿宋_GB2312"/>
                <w:color w:val="auto"/>
                <w:kern w:val="0"/>
                <w:sz w:val="28"/>
                <w:szCs w:val="28"/>
                <w:highlight w:val="none"/>
                <w:shd w:val="clear" w:color="auto" w:fill="auto"/>
                <w:lang w:val="en-US" w:eastAsia="zh-CN"/>
              </w:rPr>
            </w:pPr>
            <w:r>
              <w:rPr>
                <w:rFonts w:hint="eastAsia" w:ascii="仿宋_GB2312" w:eastAsia="仿宋_GB2312"/>
                <w:color w:val="auto"/>
                <w:kern w:val="0"/>
                <w:sz w:val="28"/>
                <w:szCs w:val="28"/>
                <w:highlight w:val="none"/>
                <w:shd w:val="clear" w:color="auto" w:fill="auto"/>
                <w:lang w:val="en-US" w:eastAsia="zh-CN"/>
              </w:rPr>
              <w:t>100</w:t>
            </w:r>
          </w:p>
        </w:tc>
      </w:tr>
    </w:tbl>
    <w:p>
      <w:pPr>
        <w:spacing w:line="540" w:lineRule="exact"/>
        <w:jc w:val="left"/>
        <w:rPr>
          <w:rFonts w:hint="eastAsia" w:ascii="仿宋_GB2312" w:eastAsia="仿宋_GB2312"/>
          <w:color w:val="auto"/>
          <w:spacing w:val="-20"/>
          <w:sz w:val="32"/>
          <w:szCs w:val="32"/>
          <w:shd w:val="clear" w:color="auto" w:fill="auto"/>
        </w:rPr>
      </w:pPr>
    </w:p>
    <w:sectPr>
      <w:headerReference r:id="rId3" w:type="default"/>
      <w:footerReference r:id="rId4" w:type="default"/>
      <w:footerReference r:id="rId5" w:type="even"/>
      <w:pgSz w:w="11906" w:h="16838"/>
      <w:pgMar w:top="2098" w:right="1474" w:bottom="1701" w:left="1588" w:header="851" w:footer="1191"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长城大标宋体">
    <w:altName w:val="宋体"/>
    <w:panose1 w:val="02010609010101010101"/>
    <w:charset w:val="86"/>
    <w:family w:val="modern"/>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5</w:t>
    </w:r>
    <w:r>
      <w:rPr>
        <w:sz w:val="28"/>
        <w:szCs w:val="28"/>
      </w:rPr>
      <w:fldChar w:fldCharType="end"/>
    </w:r>
    <w:r>
      <w:rPr>
        <w:rFonts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4</w:t>
    </w:r>
    <w:r>
      <w:rPr>
        <w:sz w:val="28"/>
        <w:szCs w:val="28"/>
      </w:rPr>
      <w:fldChar w:fldCharType="end"/>
    </w:r>
    <w:r>
      <w:rPr>
        <w:rFonts w:hint="eastAsia"/>
        <w:sz w:val="28"/>
        <w:szCs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yMTc0MjlkMzU2ZWY5YjQ1N2U3ZjNlYjhhMWYyMjMifQ=="/>
  </w:docVars>
  <w:rsids>
    <w:rsidRoot w:val="00BE1DFD"/>
    <w:rsid w:val="0000046E"/>
    <w:rsid w:val="0000237D"/>
    <w:rsid w:val="000073B5"/>
    <w:rsid w:val="00010F0D"/>
    <w:rsid w:val="000249A4"/>
    <w:rsid w:val="00026980"/>
    <w:rsid w:val="00026A56"/>
    <w:rsid w:val="000317DB"/>
    <w:rsid w:val="0004240C"/>
    <w:rsid w:val="00042EC5"/>
    <w:rsid w:val="00046CBD"/>
    <w:rsid w:val="0007477A"/>
    <w:rsid w:val="0008629D"/>
    <w:rsid w:val="00087374"/>
    <w:rsid w:val="000916A9"/>
    <w:rsid w:val="0009754C"/>
    <w:rsid w:val="000A3E8C"/>
    <w:rsid w:val="000D0483"/>
    <w:rsid w:val="000D3FD8"/>
    <w:rsid w:val="000F0C5D"/>
    <w:rsid w:val="000F41D5"/>
    <w:rsid w:val="000F784D"/>
    <w:rsid w:val="001049CC"/>
    <w:rsid w:val="00104E8A"/>
    <w:rsid w:val="00111BE2"/>
    <w:rsid w:val="00130793"/>
    <w:rsid w:val="00136EDA"/>
    <w:rsid w:val="001407EC"/>
    <w:rsid w:val="00141828"/>
    <w:rsid w:val="0014411E"/>
    <w:rsid w:val="001442F9"/>
    <w:rsid w:val="00174020"/>
    <w:rsid w:val="00181AB1"/>
    <w:rsid w:val="001A68DF"/>
    <w:rsid w:val="001B3296"/>
    <w:rsid w:val="001B4653"/>
    <w:rsid w:val="001B680B"/>
    <w:rsid w:val="001C5940"/>
    <w:rsid w:val="001E031D"/>
    <w:rsid w:val="001E5572"/>
    <w:rsid w:val="002003B2"/>
    <w:rsid w:val="0020538E"/>
    <w:rsid w:val="00212A2B"/>
    <w:rsid w:val="00232D00"/>
    <w:rsid w:val="00243E7E"/>
    <w:rsid w:val="002527D8"/>
    <w:rsid w:val="002563CE"/>
    <w:rsid w:val="002745C0"/>
    <w:rsid w:val="002778E8"/>
    <w:rsid w:val="00282123"/>
    <w:rsid w:val="00282278"/>
    <w:rsid w:val="0028637F"/>
    <w:rsid w:val="00295DBF"/>
    <w:rsid w:val="00296D09"/>
    <w:rsid w:val="003006B9"/>
    <w:rsid w:val="003033D5"/>
    <w:rsid w:val="00313128"/>
    <w:rsid w:val="00335B81"/>
    <w:rsid w:val="003625DC"/>
    <w:rsid w:val="00372888"/>
    <w:rsid w:val="00383014"/>
    <w:rsid w:val="003870FE"/>
    <w:rsid w:val="003927BB"/>
    <w:rsid w:val="003A5AC4"/>
    <w:rsid w:val="003B043C"/>
    <w:rsid w:val="003B1F84"/>
    <w:rsid w:val="003C1827"/>
    <w:rsid w:val="003D1BFE"/>
    <w:rsid w:val="003D460F"/>
    <w:rsid w:val="003D4CCE"/>
    <w:rsid w:val="003E07CC"/>
    <w:rsid w:val="003E1FB8"/>
    <w:rsid w:val="003F036C"/>
    <w:rsid w:val="00411828"/>
    <w:rsid w:val="0042297A"/>
    <w:rsid w:val="0042425C"/>
    <w:rsid w:val="00424441"/>
    <w:rsid w:val="004259FA"/>
    <w:rsid w:val="00427160"/>
    <w:rsid w:val="00430033"/>
    <w:rsid w:val="00437A6A"/>
    <w:rsid w:val="004405EB"/>
    <w:rsid w:val="004633AC"/>
    <w:rsid w:val="0046385B"/>
    <w:rsid w:val="0047185F"/>
    <w:rsid w:val="0047688E"/>
    <w:rsid w:val="00483A13"/>
    <w:rsid w:val="00486176"/>
    <w:rsid w:val="004A0277"/>
    <w:rsid w:val="004A0C9B"/>
    <w:rsid w:val="004B146D"/>
    <w:rsid w:val="004E2574"/>
    <w:rsid w:val="004F3694"/>
    <w:rsid w:val="00521B68"/>
    <w:rsid w:val="00523CDD"/>
    <w:rsid w:val="0053253A"/>
    <w:rsid w:val="00544275"/>
    <w:rsid w:val="00563341"/>
    <w:rsid w:val="00566A3C"/>
    <w:rsid w:val="00575218"/>
    <w:rsid w:val="0057719A"/>
    <w:rsid w:val="00591D8D"/>
    <w:rsid w:val="005A5A1D"/>
    <w:rsid w:val="005B2614"/>
    <w:rsid w:val="005B35EF"/>
    <w:rsid w:val="005D7E9A"/>
    <w:rsid w:val="005F56D9"/>
    <w:rsid w:val="006120A7"/>
    <w:rsid w:val="00613741"/>
    <w:rsid w:val="0062611A"/>
    <w:rsid w:val="00626FAD"/>
    <w:rsid w:val="00631906"/>
    <w:rsid w:val="00642E16"/>
    <w:rsid w:val="006620BD"/>
    <w:rsid w:val="00664CBF"/>
    <w:rsid w:val="00674228"/>
    <w:rsid w:val="00675FAE"/>
    <w:rsid w:val="00682469"/>
    <w:rsid w:val="00694AE8"/>
    <w:rsid w:val="006A559E"/>
    <w:rsid w:val="006A7172"/>
    <w:rsid w:val="006A7C05"/>
    <w:rsid w:val="006B3711"/>
    <w:rsid w:val="006D52F9"/>
    <w:rsid w:val="006E0846"/>
    <w:rsid w:val="006F2F2A"/>
    <w:rsid w:val="00705097"/>
    <w:rsid w:val="00727BAA"/>
    <w:rsid w:val="00731616"/>
    <w:rsid w:val="007317C2"/>
    <w:rsid w:val="00736C84"/>
    <w:rsid w:val="00741942"/>
    <w:rsid w:val="00767599"/>
    <w:rsid w:val="00771FB7"/>
    <w:rsid w:val="00775700"/>
    <w:rsid w:val="0077584A"/>
    <w:rsid w:val="00782AC6"/>
    <w:rsid w:val="00787DEB"/>
    <w:rsid w:val="007909E7"/>
    <w:rsid w:val="00790B10"/>
    <w:rsid w:val="00797881"/>
    <w:rsid w:val="00797986"/>
    <w:rsid w:val="007A4987"/>
    <w:rsid w:val="007B3A33"/>
    <w:rsid w:val="007B76CA"/>
    <w:rsid w:val="007C6E01"/>
    <w:rsid w:val="007D5ED7"/>
    <w:rsid w:val="007E391D"/>
    <w:rsid w:val="007F1D7E"/>
    <w:rsid w:val="008133D4"/>
    <w:rsid w:val="008144C8"/>
    <w:rsid w:val="00821740"/>
    <w:rsid w:val="00836F7D"/>
    <w:rsid w:val="00841988"/>
    <w:rsid w:val="00846CDB"/>
    <w:rsid w:val="00850ED3"/>
    <w:rsid w:val="00853D22"/>
    <w:rsid w:val="0086209B"/>
    <w:rsid w:val="008670AB"/>
    <w:rsid w:val="0087447B"/>
    <w:rsid w:val="008807B2"/>
    <w:rsid w:val="008A2526"/>
    <w:rsid w:val="008A4BA0"/>
    <w:rsid w:val="008C5946"/>
    <w:rsid w:val="008D1AEF"/>
    <w:rsid w:val="008E48E4"/>
    <w:rsid w:val="008F1CCE"/>
    <w:rsid w:val="008F782F"/>
    <w:rsid w:val="00903C6E"/>
    <w:rsid w:val="00907D0B"/>
    <w:rsid w:val="00913768"/>
    <w:rsid w:val="009164A1"/>
    <w:rsid w:val="0092004A"/>
    <w:rsid w:val="009204DB"/>
    <w:rsid w:val="009571D3"/>
    <w:rsid w:val="009713D3"/>
    <w:rsid w:val="0098644B"/>
    <w:rsid w:val="009911A2"/>
    <w:rsid w:val="0099418F"/>
    <w:rsid w:val="0099709B"/>
    <w:rsid w:val="009D4717"/>
    <w:rsid w:val="009E2628"/>
    <w:rsid w:val="009E3787"/>
    <w:rsid w:val="009E58D7"/>
    <w:rsid w:val="00A105B1"/>
    <w:rsid w:val="00A2219C"/>
    <w:rsid w:val="00A23581"/>
    <w:rsid w:val="00A24A4C"/>
    <w:rsid w:val="00A326E8"/>
    <w:rsid w:val="00A67CB3"/>
    <w:rsid w:val="00A7088F"/>
    <w:rsid w:val="00A85911"/>
    <w:rsid w:val="00A958FB"/>
    <w:rsid w:val="00A96943"/>
    <w:rsid w:val="00AA7730"/>
    <w:rsid w:val="00AB66F5"/>
    <w:rsid w:val="00AD5ED4"/>
    <w:rsid w:val="00AF11BE"/>
    <w:rsid w:val="00AF3FEE"/>
    <w:rsid w:val="00AF5165"/>
    <w:rsid w:val="00B019C4"/>
    <w:rsid w:val="00B043FF"/>
    <w:rsid w:val="00B05A02"/>
    <w:rsid w:val="00B07AA3"/>
    <w:rsid w:val="00B15B4A"/>
    <w:rsid w:val="00B2343A"/>
    <w:rsid w:val="00B32963"/>
    <w:rsid w:val="00B46B10"/>
    <w:rsid w:val="00B51422"/>
    <w:rsid w:val="00B51DF2"/>
    <w:rsid w:val="00B62C7F"/>
    <w:rsid w:val="00B63771"/>
    <w:rsid w:val="00B832BF"/>
    <w:rsid w:val="00B854B7"/>
    <w:rsid w:val="00B859AC"/>
    <w:rsid w:val="00B90BDD"/>
    <w:rsid w:val="00B91F91"/>
    <w:rsid w:val="00B944DC"/>
    <w:rsid w:val="00BA3D77"/>
    <w:rsid w:val="00BC1A04"/>
    <w:rsid w:val="00BC4CB2"/>
    <w:rsid w:val="00BC5D99"/>
    <w:rsid w:val="00BD09C4"/>
    <w:rsid w:val="00BE1DFD"/>
    <w:rsid w:val="00C16862"/>
    <w:rsid w:val="00C17863"/>
    <w:rsid w:val="00C25A88"/>
    <w:rsid w:val="00C25F97"/>
    <w:rsid w:val="00C42AA4"/>
    <w:rsid w:val="00C45BBC"/>
    <w:rsid w:val="00C54787"/>
    <w:rsid w:val="00C557D3"/>
    <w:rsid w:val="00C764ED"/>
    <w:rsid w:val="00C81AE0"/>
    <w:rsid w:val="00C81CBF"/>
    <w:rsid w:val="00CA4DB9"/>
    <w:rsid w:val="00CB05F9"/>
    <w:rsid w:val="00CB1995"/>
    <w:rsid w:val="00CB1C11"/>
    <w:rsid w:val="00CC135E"/>
    <w:rsid w:val="00CD0CC2"/>
    <w:rsid w:val="00CD3346"/>
    <w:rsid w:val="00CD73F8"/>
    <w:rsid w:val="00D01CD9"/>
    <w:rsid w:val="00D04B22"/>
    <w:rsid w:val="00D05F32"/>
    <w:rsid w:val="00D17494"/>
    <w:rsid w:val="00D32942"/>
    <w:rsid w:val="00D36B39"/>
    <w:rsid w:val="00D448CB"/>
    <w:rsid w:val="00D9612D"/>
    <w:rsid w:val="00DB654E"/>
    <w:rsid w:val="00DB6C59"/>
    <w:rsid w:val="00DC1085"/>
    <w:rsid w:val="00DC5A15"/>
    <w:rsid w:val="00DD6AF4"/>
    <w:rsid w:val="00DE1CDF"/>
    <w:rsid w:val="00DE59BA"/>
    <w:rsid w:val="00DF66F1"/>
    <w:rsid w:val="00E0079A"/>
    <w:rsid w:val="00E02668"/>
    <w:rsid w:val="00E17C07"/>
    <w:rsid w:val="00E355C5"/>
    <w:rsid w:val="00E51C0A"/>
    <w:rsid w:val="00E60A26"/>
    <w:rsid w:val="00E61FF5"/>
    <w:rsid w:val="00E67AFD"/>
    <w:rsid w:val="00E7678C"/>
    <w:rsid w:val="00E844F1"/>
    <w:rsid w:val="00E84E01"/>
    <w:rsid w:val="00E958F4"/>
    <w:rsid w:val="00EA1E12"/>
    <w:rsid w:val="00EA4B33"/>
    <w:rsid w:val="00EB586D"/>
    <w:rsid w:val="00EC0D15"/>
    <w:rsid w:val="00EC3E8C"/>
    <w:rsid w:val="00ED1A7D"/>
    <w:rsid w:val="00ED30E5"/>
    <w:rsid w:val="00EE2291"/>
    <w:rsid w:val="00EF511C"/>
    <w:rsid w:val="00EF7922"/>
    <w:rsid w:val="00F020EC"/>
    <w:rsid w:val="00F2365A"/>
    <w:rsid w:val="00F40630"/>
    <w:rsid w:val="00F40A5C"/>
    <w:rsid w:val="00F50269"/>
    <w:rsid w:val="00F507D4"/>
    <w:rsid w:val="00F553D7"/>
    <w:rsid w:val="00F62AE8"/>
    <w:rsid w:val="00F6562F"/>
    <w:rsid w:val="00F70B5C"/>
    <w:rsid w:val="00F75048"/>
    <w:rsid w:val="00F9493A"/>
    <w:rsid w:val="00F9695E"/>
    <w:rsid w:val="00F97ABF"/>
    <w:rsid w:val="00FA0C04"/>
    <w:rsid w:val="00FA1FE5"/>
    <w:rsid w:val="00FD76D0"/>
    <w:rsid w:val="00FF36B2"/>
    <w:rsid w:val="00FF7D3A"/>
    <w:rsid w:val="017207D6"/>
    <w:rsid w:val="03807986"/>
    <w:rsid w:val="22EF0843"/>
    <w:rsid w:val="29D02A55"/>
    <w:rsid w:val="2C6F701C"/>
    <w:rsid w:val="40657B48"/>
    <w:rsid w:val="4E2676EF"/>
    <w:rsid w:val="57832FDA"/>
    <w:rsid w:val="57AD5B2D"/>
    <w:rsid w:val="5D932A5A"/>
    <w:rsid w:val="684B0BD7"/>
    <w:rsid w:val="6AE0505D"/>
    <w:rsid w:val="753D5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Date"/>
    <w:basedOn w:val="1"/>
    <w:next w:val="1"/>
    <w:link w:val="9"/>
    <w:qFormat/>
    <w:uiPriority w:val="0"/>
    <w:pPr>
      <w:ind w:left="100" w:leftChars="2500"/>
    </w:pPr>
  </w:style>
  <w:style w:type="paragraph" w:styleId="3">
    <w:name w:val="Balloon Text"/>
    <w:basedOn w:val="1"/>
    <w:semiHidden/>
    <w:qFormat/>
    <w:uiPriority w:val="0"/>
    <w:rPr>
      <w:sz w:val="18"/>
      <w:szCs w:val="18"/>
    </w:rPr>
  </w:style>
  <w:style w:type="paragraph" w:styleId="4">
    <w:name w:val="footer"/>
    <w:basedOn w:val="1"/>
    <w:link w:val="8"/>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link w:val="4"/>
    <w:qFormat/>
    <w:uiPriority w:val="99"/>
    <w:rPr>
      <w:kern w:val="2"/>
      <w:sz w:val="18"/>
      <w:szCs w:val="18"/>
    </w:rPr>
  </w:style>
  <w:style w:type="character" w:customStyle="1" w:styleId="9">
    <w:name w:val="日期 Char"/>
    <w:link w:val="2"/>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x\Application%20Data\Microsoft\Templates\Doc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Doc1</Template>
  <Company>1</Company>
  <Pages>6</Pages>
  <Words>1839</Words>
  <Characters>1946</Characters>
  <Lines>14</Lines>
  <Paragraphs>4</Paragraphs>
  <TotalTime>6</TotalTime>
  <ScaleCrop>false</ScaleCrop>
  <LinksUpToDate>false</LinksUpToDate>
  <CharactersWithSpaces>1962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2021-04-06T02:44:00Z</dcterms:created>
  <dc:creator>tx</dc:creator>
  <cp:lastModifiedBy>J</cp:lastModifiedBy>
  <cp:lastPrinted>2023-03-23T05:18:00Z</cp:lastPrinted>
  <dcterms:modified xsi:type="dcterms:W3CDTF">2023-06-14T02:52:53Z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650B733DEE614FFA9E43478A408D0D55</vt:lpwstr>
  </property>
</Properties>
</file>