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both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ind w:left="880" w:hanging="880" w:hanging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关于直接适用</w:t>
      </w:r>
      <w:r>
        <w:rPr>
          <w:rFonts w:hint="eastAsia"/>
          <w:sz w:val="44"/>
          <w:szCs w:val="44"/>
          <w:lang w:val="en-US" w:eastAsia="zh-CN"/>
        </w:rPr>
        <w:t>《</w:t>
      </w:r>
      <w:r>
        <w:rPr>
          <w:rFonts w:hint="eastAsia"/>
          <w:sz w:val="44"/>
          <w:szCs w:val="44"/>
          <w:lang w:eastAsia="zh-CN"/>
        </w:rPr>
        <w:t>广东省交通运输厅关于</w:t>
      </w:r>
    </w:p>
    <w:p>
      <w:pPr>
        <w:ind w:left="880" w:hanging="880" w:hanging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交通运输行政处罚自由裁量权的</w:t>
      </w:r>
    </w:p>
    <w:p>
      <w:pPr>
        <w:ind w:left="880" w:hanging="880" w:hangingChars="200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实施办法及裁量标准》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的公告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为规范我市交通运输行政执法行为，我局的行政处罚自由裁量权的实施标准即日起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直接适用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《广东省交通运输厅关于印发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&lt;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广东省交通运输厅关于交通运输行政处罚自由裁量权的实施办法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&gt;及裁量标准的通知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》规定的标准，不再另外制定行政处罚自由裁量权实施标准。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附件：广东省交通运输厅关于交通运输行政处罚自由裁量权的实施办法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及裁量标准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兴宁市交通运输局</w:t>
      </w:r>
    </w:p>
    <w:p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2023年11月15日</w:t>
      </w:r>
    </w:p>
    <w:p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0A3A14"/>
    <w:rsid w:val="3B9C04B1"/>
    <w:rsid w:val="4CF04A50"/>
    <w:rsid w:val="5A4722B4"/>
    <w:rsid w:val="6A316908"/>
    <w:rsid w:val="7055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2023-11-15T08:44:00Z</dcterms:created>
  <dc:creator>Administrator</dc:creator>
  <cp:lastModifiedBy>Administrator</cp:lastModifiedBy>
  <dcterms:modified xsi:type="dcterms:W3CDTF">2023-11-21T07:29:39Z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DE269F1B4C1440088FC12B86F22AED06</vt:lpwstr>
  </property>
</Properties>
</file>