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长城大标宋体" w:cs="Times New Roman"/>
          <w:sz w:val="44"/>
          <w:szCs w:val="44"/>
        </w:rPr>
      </w:pPr>
      <w:r>
        <w:rPr>
          <w:rFonts w:ascii="宋体" w:hAnsi="宋体" w:eastAsia="长城大标宋体" w:cs="Times New Roman"/>
          <w:sz w:val="44"/>
          <w:szCs w:val="44"/>
        </w:rPr>
        <w:t>关于</w:t>
      </w:r>
      <w:bookmarkStart w:id="0" w:name="OLE_LINK1"/>
      <w:r>
        <w:rPr>
          <w:rFonts w:hint="eastAsia" w:ascii="宋体" w:hAnsi="宋体" w:eastAsia="长城大标宋体" w:cs="Times New Roman"/>
          <w:sz w:val="44"/>
          <w:szCs w:val="44"/>
        </w:rPr>
        <w:t>《兴宁市公共机构停车泊位新能源汽车充电桩建设项目实施方案征求意见稿（征求意见稿）》</w:t>
      </w:r>
      <w:bookmarkEnd w:id="0"/>
      <w:r>
        <w:rPr>
          <w:rFonts w:ascii="宋体" w:hAnsi="宋体" w:eastAsia="长城大标宋体" w:cs="Times New Roman"/>
          <w:sz w:val="44"/>
          <w:szCs w:val="44"/>
        </w:rPr>
        <w:t>的政策解读</w:t>
      </w:r>
    </w:p>
    <w:p>
      <w:pPr>
        <w:pStyle w:val="3"/>
        <w:spacing w:line="600" w:lineRule="exact"/>
        <w:rPr>
          <w:rFonts w:ascii="宋体" w:hAnsi="宋体" w:cs="Times New Roman"/>
        </w:rPr>
      </w:pPr>
      <w:bookmarkStart w:id="1" w:name="_GoBack"/>
      <w:bookmarkEnd w:id="1"/>
    </w:p>
    <w:p>
      <w:pPr>
        <w:spacing w:line="600" w:lineRule="exact"/>
        <w:ind w:firstLine="640" w:firstLineChars="200"/>
        <w:rPr>
          <w:rFonts w:ascii="宋体" w:hAnsi="宋体" w:eastAsia="仿宋_GB2312" w:cs="Times New Roman"/>
          <w:color w:val="000000" w:themeColor="text1"/>
          <w:sz w:val="32"/>
          <w:szCs w:val="32"/>
          <w14:textFill>
            <w14:solidFill>
              <w14:schemeClr w14:val="tx1"/>
            </w14:solidFill>
          </w14:textFill>
        </w:rPr>
      </w:pPr>
      <w:r>
        <w:rPr>
          <w:rFonts w:hint="eastAsia" w:ascii="宋体" w:hAnsi="宋体" w:eastAsia="仿宋_GB2312" w:cs="Times New Roman"/>
          <w:color w:val="000000" w:themeColor="text1"/>
          <w:sz w:val="32"/>
          <w:szCs w:val="32"/>
          <w14:textFill>
            <w14:solidFill>
              <w14:schemeClr w14:val="tx1"/>
            </w14:solidFill>
          </w14:textFill>
        </w:rPr>
        <w:t>《兴宁市公共机构停车泊位新能源汽车充电桩建设项目实施方案(征求意见稿)》</w:t>
      </w:r>
      <w:r>
        <w:rPr>
          <w:rFonts w:ascii="宋体" w:hAnsi="宋体" w:eastAsia="仿宋_GB2312" w:cs="Times New Roman"/>
          <w:color w:val="000000" w:themeColor="text1"/>
          <w:sz w:val="32"/>
          <w:szCs w:val="32"/>
          <w14:textFill>
            <w14:solidFill>
              <w14:schemeClr w14:val="tx1"/>
            </w14:solidFill>
          </w14:textFill>
        </w:rPr>
        <w:t>由兴宁市</w:t>
      </w:r>
      <w:r>
        <w:rPr>
          <w:rFonts w:hint="eastAsia" w:ascii="宋体" w:hAnsi="宋体" w:eastAsia="仿宋_GB2312" w:cs="Times New Roman"/>
          <w:color w:val="000000" w:themeColor="text1"/>
          <w:sz w:val="32"/>
          <w:szCs w:val="32"/>
          <w:lang w:val="en-US" w:eastAsia="zh-CN"/>
          <w14:textFill>
            <w14:solidFill>
              <w14:schemeClr w14:val="tx1"/>
            </w14:solidFill>
          </w14:textFill>
        </w:rPr>
        <w:t>住房和城乡建设局</w:t>
      </w:r>
      <w:r>
        <w:rPr>
          <w:rFonts w:ascii="宋体" w:hAnsi="宋体" w:eastAsia="仿宋_GB2312" w:cs="Times New Roman"/>
          <w:color w:val="000000" w:themeColor="text1"/>
          <w:sz w:val="32"/>
          <w:szCs w:val="32"/>
          <w14:textFill>
            <w14:solidFill>
              <w14:schemeClr w14:val="tx1"/>
            </w14:solidFill>
          </w14:textFill>
        </w:rPr>
        <w:t>牵头起草编制</w:t>
      </w:r>
      <w:r>
        <w:rPr>
          <w:rFonts w:hint="eastAsia" w:ascii="宋体" w:hAnsi="宋体" w:eastAsia="仿宋_GB2312" w:cs="Times New Roman"/>
          <w:color w:val="000000" w:themeColor="text1"/>
          <w:sz w:val="32"/>
          <w:szCs w:val="32"/>
          <w14:textFill>
            <w14:solidFill>
              <w14:schemeClr w14:val="tx1"/>
            </w14:solidFill>
          </w14:textFill>
        </w:rPr>
        <w:t>，</w:t>
      </w:r>
      <w:r>
        <w:rPr>
          <w:rFonts w:ascii="宋体" w:hAnsi="宋体" w:eastAsia="仿宋_GB2312" w:cs="Times New Roman"/>
          <w:color w:val="000000" w:themeColor="text1"/>
          <w:sz w:val="32"/>
          <w:szCs w:val="32"/>
          <w14:textFill>
            <w14:solidFill>
              <w14:schemeClr w14:val="tx1"/>
            </w14:solidFill>
          </w14:textFill>
        </w:rPr>
        <w:t>于202</w:t>
      </w:r>
      <w:r>
        <w:rPr>
          <w:rFonts w:hint="eastAsia" w:ascii="宋体" w:hAnsi="宋体" w:eastAsia="仿宋_GB2312" w:cs="Times New Roman"/>
          <w:color w:val="000000" w:themeColor="text1"/>
          <w:sz w:val="32"/>
          <w:szCs w:val="32"/>
          <w:lang w:val="en-US" w:eastAsia="zh-CN"/>
          <w14:textFill>
            <w14:solidFill>
              <w14:schemeClr w14:val="tx1"/>
            </w14:solidFill>
          </w14:textFill>
        </w:rPr>
        <w:t>4</w:t>
      </w:r>
      <w:r>
        <w:rPr>
          <w:rFonts w:ascii="宋体" w:hAnsi="宋体" w:eastAsia="仿宋_GB2312" w:cs="Times New Roman"/>
          <w:color w:val="000000" w:themeColor="text1"/>
          <w:sz w:val="32"/>
          <w:szCs w:val="32"/>
          <w14:textFill>
            <w14:solidFill>
              <w14:schemeClr w14:val="tx1"/>
            </w14:solidFill>
          </w14:textFill>
        </w:rPr>
        <w:t>年</w:t>
      </w:r>
      <w:r>
        <w:rPr>
          <w:rFonts w:hint="eastAsia" w:ascii="宋体" w:hAnsi="宋体" w:eastAsia="仿宋_GB2312" w:cs="Times New Roman"/>
          <w:color w:val="000000" w:themeColor="text1"/>
          <w:sz w:val="32"/>
          <w:szCs w:val="32"/>
          <w:lang w:val="en-US" w:eastAsia="zh-CN"/>
          <w14:textFill>
            <w14:solidFill>
              <w14:schemeClr w14:val="tx1"/>
            </w14:solidFill>
          </w14:textFill>
        </w:rPr>
        <w:t>2</w:t>
      </w:r>
      <w:r>
        <w:rPr>
          <w:rFonts w:ascii="宋体" w:hAnsi="宋体" w:eastAsia="仿宋_GB2312" w:cs="Times New Roman"/>
          <w:color w:val="000000" w:themeColor="text1"/>
          <w:sz w:val="32"/>
          <w:szCs w:val="32"/>
          <w14:textFill>
            <w14:solidFill>
              <w14:schemeClr w14:val="tx1"/>
            </w14:solidFill>
          </w14:textFill>
        </w:rPr>
        <w:t>月</w:t>
      </w:r>
      <w:r>
        <w:rPr>
          <w:rFonts w:hint="eastAsia" w:ascii="宋体" w:hAnsi="宋体" w:eastAsia="仿宋_GB2312" w:cs="Times New Roman"/>
          <w:color w:val="000000" w:themeColor="text1"/>
          <w:sz w:val="32"/>
          <w:szCs w:val="32"/>
          <w:lang w:val="en-US" w:eastAsia="zh-CN"/>
          <w14:textFill>
            <w14:solidFill>
              <w14:schemeClr w14:val="tx1"/>
            </w14:solidFill>
          </w14:textFill>
        </w:rPr>
        <w:t>23</w:t>
      </w:r>
      <w:r>
        <w:rPr>
          <w:rFonts w:ascii="宋体" w:hAnsi="宋体" w:eastAsia="仿宋_GB2312" w:cs="Times New Roman"/>
          <w:color w:val="000000" w:themeColor="text1"/>
          <w:sz w:val="32"/>
          <w:szCs w:val="32"/>
          <w14:textFill>
            <w14:solidFill>
              <w14:schemeClr w14:val="tx1"/>
            </w14:solidFill>
          </w14:textFill>
        </w:rPr>
        <w:t>日</w:t>
      </w:r>
      <w:r>
        <w:rPr>
          <w:rFonts w:hint="eastAsia" w:ascii="宋体" w:hAnsi="宋体" w:eastAsia="仿宋_GB2312" w:cs="Times New Roman"/>
          <w:color w:val="000000" w:themeColor="text1"/>
          <w:sz w:val="32"/>
          <w:szCs w:val="32"/>
          <w:lang w:val="en-US" w:eastAsia="zh-CN"/>
          <w14:textFill>
            <w14:solidFill>
              <w14:schemeClr w14:val="tx1"/>
            </w14:solidFill>
          </w14:textFill>
        </w:rPr>
        <w:t>在兴宁市人民政府内网公开征求意见</w:t>
      </w:r>
      <w:r>
        <w:rPr>
          <w:rFonts w:ascii="宋体" w:hAnsi="宋体" w:eastAsia="仿宋_GB2312" w:cs="Times New Roman"/>
          <w:color w:val="000000" w:themeColor="text1"/>
          <w:sz w:val="32"/>
          <w:szCs w:val="32"/>
          <w14:textFill>
            <w14:solidFill>
              <w14:schemeClr w14:val="tx1"/>
            </w14:solidFill>
          </w14:textFill>
        </w:rPr>
        <w:t>。为方便社会公众理解</w:t>
      </w:r>
      <w:r>
        <w:rPr>
          <w:rFonts w:hint="eastAsia" w:ascii="宋体" w:hAnsi="宋体" w:eastAsia="仿宋_GB2312" w:cs="Times New Roman"/>
          <w:color w:val="000000" w:themeColor="text1"/>
          <w:sz w:val="32"/>
          <w:szCs w:val="32"/>
          <w14:textFill>
            <w14:solidFill>
              <w14:schemeClr w14:val="tx1"/>
            </w14:solidFill>
          </w14:textFill>
        </w:rPr>
        <w:t>，</w:t>
      </w:r>
      <w:r>
        <w:rPr>
          <w:rFonts w:ascii="宋体" w:hAnsi="宋体" w:eastAsia="仿宋_GB2312" w:cs="Times New Roman"/>
          <w:color w:val="000000" w:themeColor="text1"/>
          <w:sz w:val="32"/>
          <w:szCs w:val="32"/>
          <w14:textFill>
            <w14:solidFill>
              <w14:schemeClr w14:val="tx1"/>
            </w14:solidFill>
          </w14:textFill>
        </w:rPr>
        <w:t>现作如下解读：</w:t>
      </w:r>
    </w:p>
    <w:p>
      <w:pPr>
        <w:spacing w:line="600" w:lineRule="exact"/>
        <w:ind w:firstLine="640" w:firstLineChars="200"/>
        <w:rPr>
          <w:rFonts w:ascii="宋体" w:hAnsi="宋体" w:eastAsia="黑体" w:cs="Times New Roman"/>
          <w:snapToGrid w:val="0"/>
          <w:sz w:val="32"/>
          <w:szCs w:val="32"/>
        </w:rPr>
      </w:pPr>
      <w:r>
        <w:rPr>
          <w:rFonts w:ascii="宋体" w:hAnsi="宋体" w:eastAsia="黑体" w:cs="Times New Roman"/>
          <w:snapToGrid w:val="0"/>
          <w:sz w:val="32"/>
          <w:szCs w:val="32"/>
        </w:rPr>
        <w:t>一、出台背景</w:t>
      </w:r>
    </w:p>
    <w:p>
      <w:pPr>
        <w:spacing w:line="60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为贯彻落实国务院办公厅发布《关于进一步盘活存量资产扩大有效投资的意见》（国办发〔2022〕19号）、《市政公共资源有偿使用收入管理办法》（财税〔2016〕116号）等文件精神和要求，为对规模较大、当前收益较好或增长潜力较大的基础设施项目存量资产进行有效盘活，形成存量资产和新增投资的良性循环。结合</w:t>
      </w:r>
      <w:r>
        <w:rPr>
          <w:rFonts w:hint="eastAsia" w:ascii="宋体" w:hAnsi="宋体" w:eastAsia="仿宋_GB2312" w:cs="Times New Roman"/>
          <w:sz w:val="32"/>
          <w:szCs w:val="32"/>
          <w:lang w:val="en-US" w:eastAsia="zh-CN"/>
        </w:rPr>
        <w:t>我</w:t>
      </w:r>
      <w:r>
        <w:rPr>
          <w:rFonts w:hint="eastAsia" w:ascii="宋体" w:hAnsi="宋体" w:eastAsia="仿宋_GB2312" w:cs="Times New Roman"/>
          <w:sz w:val="32"/>
          <w:szCs w:val="32"/>
        </w:rPr>
        <w:t>市实际，</w:t>
      </w:r>
      <w:r>
        <w:rPr>
          <w:rFonts w:ascii="宋体" w:hAnsi="宋体" w:eastAsia="仿宋_GB2312" w:cs="Times New Roman"/>
          <w:sz w:val="32"/>
          <w:szCs w:val="32"/>
        </w:rPr>
        <w:t>依规制定了</w:t>
      </w:r>
      <w:r>
        <w:rPr>
          <w:rFonts w:hint="eastAsia" w:ascii="宋体" w:hAnsi="宋体" w:eastAsia="仿宋_GB2312" w:cs="Times New Roman"/>
          <w:sz w:val="32"/>
          <w:szCs w:val="32"/>
        </w:rPr>
        <w:t>《兴宁市公共机构停车泊位新能源汽车充电桩建设项目实施方案(征求意见稿)》</w:t>
      </w:r>
      <w:r>
        <w:rPr>
          <w:rFonts w:ascii="宋体" w:hAnsi="宋体" w:eastAsia="仿宋_GB2312" w:cs="Times New Roman"/>
          <w:sz w:val="32"/>
          <w:szCs w:val="32"/>
        </w:rPr>
        <w:t>。</w:t>
      </w:r>
    </w:p>
    <w:p>
      <w:pPr>
        <w:pStyle w:val="3"/>
        <w:spacing w:line="600" w:lineRule="exact"/>
        <w:ind w:left="640"/>
        <w:rPr>
          <w:rFonts w:ascii="宋体" w:hAnsi="宋体" w:eastAsia="黑体" w:cs="Times New Roman"/>
          <w:snapToGrid w:val="0"/>
          <w:sz w:val="32"/>
          <w:szCs w:val="32"/>
        </w:rPr>
      </w:pPr>
      <w:r>
        <w:rPr>
          <w:rFonts w:hint="eastAsia" w:ascii="宋体" w:hAnsi="宋体" w:eastAsia="黑体" w:cs="Times New Roman"/>
          <w:snapToGrid w:val="0"/>
          <w:sz w:val="32"/>
          <w:szCs w:val="32"/>
        </w:rPr>
        <w:t>二、</w:t>
      </w:r>
      <w:r>
        <w:rPr>
          <w:rFonts w:ascii="宋体" w:hAnsi="宋体" w:eastAsia="黑体" w:cs="Times New Roman"/>
          <w:snapToGrid w:val="0"/>
          <w:sz w:val="32"/>
          <w:szCs w:val="32"/>
        </w:rPr>
        <w:t>文件依据</w:t>
      </w:r>
    </w:p>
    <w:p>
      <w:pPr>
        <w:shd w:val="clear" w:color="auto" w:fill="FFFFFF"/>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（一）</w:t>
      </w:r>
      <w:r>
        <w:rPr>
          <w:rFonts w:hint="eastAsia" w:ascii="宋体" w:hAnsi="宋体" w:eastAsia="仿宋_GB2312" w:cs="Times New Roman"/>
          <w:sz w:val="32"/>
          <w:szCs w:val="32"/>
        </w:rPr>
        <w:t>《关于进一步盘活存量资产扩大有效投资的意见》（国办发〔2022〕19号）</w:t>
      </w:r>
    </w:p>
    <w:p>
      <w:pPr>
        <w:shd w:val="clear" w:color="auto" w:fill="FFFFFF"/>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（二）</w:t>
      </w:r>
      <w:r>
        <w:rPr>
          <w:rFonts w:hint="eastAsia" w:ascii="宋体" w:hAnsi="宋体" w:eastAsia="仿宋_GB2312" w:cs="Times New Roman"/>
          <w:sz w:val="32"/>
          <w:szCs w:val="32"/>
        </w:rPr>
        <w:t>《市政公共资源有偿使用收入管理办法》（财税〔2016〕116号）</w:t>
      </w:r>
    </w:p>
    <w:p>
      <w:pPr>
        <w:pStyle w:val="3"/>
        <w:spacing w:line="600" w:lineRule="exact"/>
        <w:ind w:firstLine="640" w:firstLineChars="200"/>
        <w:rPr>
          <w:rFonts w:ascii="宋体" w:hAnsi="宋体" w:eastAsia="黑体" w:cs="Times New Roman"/>
          <w:snapToGrid w:val="0"/>
          <w:sz w:val="32"/>
          <w:szCs w:val="32"/>
        </w:rPr>
      </w:pPr>
      <w:r>
        <w:rPr>
          <w:rFonts w:ascii="宋体" w:hAnsi="宋体" w:eastAsia="黑体" w:cs="Times New Roman"/>
          <w:snapToGrid w:val="0"/>
          <w:sz w:val="32"/>
          <w:szCs w:val="32"/>
        </w:rPr>
        <w:t>三、管理对象</w:t>
      </w:r>
    </w:p>
    <w:p>
      <w:pPr>
        <w:spacing w:line="600" w:lineRule="exact"/>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val="en-US" w:eastAsia="zh-CN"/>
        </w:rPr>
        <w:t>适用于本实施方案规定范围内的</w:t>
      </w:r>
      <w:r>
        <w:rPr>
          <w:rFonts w:hint="eastAsia" w:ascii="宋体" w:hAnsi="宋体" w:eastAsia="仿宋_GB2312" w:cs="Times New Roman"/>
          <w:sz w:val="32"/>
          <w:szCs w:val="32"/>
        </w:rPr>
        <w:t>公共资源有偿使用者</w:t>
      </w:r>
      <w:r>
        <w:rPr>
          <w:rFonts w:hint="eastAsia" w:ascii="宋体" w:hAnsi="宋体" w:eastAsia="仿宋_GB2312" w:cs="Times New Roman"/>
          <w:sz w:val="32"/>
          <w:szCs w:val="32"/>
          <w:lang w:eastAsia="zh-CN"/>
        </w:rPr>
        <w:t>。</w:t>
      </w:r>
    </w:p>
    <w:p>
      <w:pPr>
        <w:pStyle w:val="3"/>
        <w:spacing w:line="600" w:lineRule="exact"/>
        <w:ind w:firstLine="640" w:firstLineChars="200"/>
        <w:rPr>
          <w:rFonts w:ascii="宋体" w:hAnsi="宋体" w:eastAsia="黑体" w:cs="Times New Roman"/>
          <w:snapToGrid w:val="0"/>
          <w:sz w:val="32"/>
          <w:szCs w:val="32"/>
        </w:rPr>
      </w:pPr>
      <w:r>
        <w:rPr>
          <w:rFonts w:ascii="宋体" w:hAnsi="宋体" w:eastAsia="黑体" w:cs="Times New Roman"/>
          <w:snapToGrid w:val="0"/>
          <w:sz w:val="32"/>
          <w:szCs w:val="32"/>
        </w:rPr>
        <w:t>四、相关名词解释</w:t>
      </w:r>
    </w:p>
    <w:p>
      <w:pPr>
        <w:spacing w:line="600" w:lineRule="exact"/>
        <w:ind w:firstLine="640" w:firstLineChars="200"/>
        <w:rPr>
          <w:rFonts w:hint="eastAsia" w:ascii="宋体" w:hAnsi="宋体" w:eastAsia="仿宋_GB2312" w:cs="Times New Roman"/>
          <w:sz w:val="32"/>
          <w:szCs w:val="32"/>
          <w:lang w:val="en-US" w:eastAsia="zh-CN"/>
        </w:rPr>
      </w:pPr>
      <w:r>
        <w:rPr>
          <w:rFonts w:ascii="宋体" w:hAnsi="宋体" w:eastAsia="仿宋_GB2312" w:cs="Times New Roman"/>
          <w:sz w:val="32"/>
          <w:szCs w:val="32"/>
        </w:rPr>
        <w:t>（一）</w:t>
      </w:r>
      <w:r>
        <w:rPr>
          <w:rFonts w:hint="eastAsia" w:ascii="宋体" w:hAnsi="宋体" w:eastAsia="仿宋_GB2312" w:cs="Times New Roman"/>
          <w:sz w:val="32"/>
          <w:szCs w:val="32"/>
        </w:rPr>
        <w:t>“有偿使用权”</w:t>
      </w:r>
      <w:r>
        <w:rPr>
          <w:rFonts w:hint="eastAsia" w:ascii="宋体" w:hAnsi="宋体" w:eastAsia="仿宋_GB2312" w:cs="Times New Roman"/>
          <w:sz w:val="32"/>
          <w:szCs w:val="32"/>
          <w:lang w:val="en-US" w:eastAsia="zh-CN"/>
        </w:rPr>
        <w:t>指本实施方案中对市人民</w:t>
      </w:r>
      <w:r>
        <w:rPr>
          <w:rFonts w:hint="eastAsia" w:ascii="宋体" w:hAnsi="宋体" w:eastAsia="仿宋_GB2312" w:cs="Times New Roman"/>
          <w:sz w:val="32"/>
          <w:szCs w:val="32"/>
        </w:rPr>
        <w:t>政府出让或者以其他有偿方式（出租、出借等）转让市政公共资源的占有权、使用权、收益权、经营权</w:t>
      </w:r>
      <w:r>
        <w:rPr>
          <w:rFonts w:hint="eastAsia" w:ascii="宋体" w:hAnsi="宋体" w:eastAsia="仿宋_GB2312" w:cs="Times New Roman"/>
          <w:sz w:val="32"/>
          <w:szCs w:val="32"/>
          <w:lang w:val="en-US" w:eastAsia="zh-CN"/>
        </w:rPr>
        <w:t>等权力的统称。</w:t>
      </w:r>
    </w:p>
    <w:p>
      <w:pPr>
        <w:spacing w:line="600" w:lineRule="exact"/>
        <w:ind w:firstLine="640" w:firstLineChars="200"/>
        <w:rPr>
          <w:rFonts w:hint="eastAsia" w:ascii="宋体" w:hAnsi="宋体" w:eastAsia="仿宋_GB2312" w:cs="Times New Roman"/>
          <w:sz w:val="32"/>
          <w:szCs w:val="32"/>
          <w:lang w:eastAsia="zh-CN"/>
        </w:rPr>
      </w:pPr>
      <w:r>
        <w:rPr>
          <w:rFonts w:ascii="宋体" w:hAnsi="宋体" w:eastAsia="仿宋_GB2312" w:cs="Times New Roman"/>
          <w:sz w:val="32"/>
          <w:szCs w:val="32"/>
        </w:rPr>
        <w:t>（二）</w:t>
      </w:r>
      <w:r>
        <w:rPr>
          <w:rFonts w:hint="eastAsia" w:ascii="宋体" w:hAnsi="宋体" w:eastAsia="仿宋_GB2312" w:cs="Times New Roman"/>
          <w:sz w:val="32"/>
          <w:szCs w:val="32"/>
        </w:rPr>
        <w:t>“有偿使用者”指享有上述公共资源的有偿使用权的受让方或其成立的项目公司</w:t>
      </w:r>
      <w:r>
        <w:rPr>
          <w:rFonts w:hint="eastAsia" w:ascii="宋体" w:hAnsi="宋体" w:eastAsia="仿宋_GB2312" w:cs="Times New Roman"/>
          <w:sz w:val="32"/>
          <w:szCs w:val="32"/>
          <w:lang w:eastAsia="zh-CN"/>
        </w:rPr>
        <w:t>。</w:t>
      </w:r>
    </w:p>
    <w:p>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（三）本</w:t>
      </w:r>
      <w:r>
        <w:rPr>
          <w:rFonts w:hint="eastAsia" w:ascii="宋体" w:hAnsi="宋体" w:eastAsia="仿宋_GB2312" w:cs="Times New Roman"/>
          <w:sz w:val="32"/>
          <w:szCs w:val="32"/>
          <w:lang w:val="en-US" w:eastAsia="zh-CN"/>
        </w:rPr>
        <w:t>方案</w:t>
      </w:r>
      <w:r>
        <w:rPr>
          <w:rFonts w:ascii="宋体" w:hAnsi="宋体" w:eastAsia="仿宋_GB2312" w:cs="Times New Roman"/>
          <w:sz w:val="32"/>
          <w:szCs w:val="32"/>
        </w:rPr>
        <w:t>所称“以上”</w:t>
      </w:r>
      <w:r>
        <w:rPr>
          <w:rFonts w:hint="eastAsia" w:ascii="宋体" w:hAnsi="宋体" w:eastAsia="仿宋_GB2312" w:cs="Times New Roman"/>
          <w:sz w:val="32"/>
          <w:szCs w:val="32"/>
        </w:rPr>
        <w:t>，</w:t>
      </w:r>
      <w:r>
        <w:rPr>
          <w:rFonts w:ascii="宋体" w:hAnsi="宋体" w:eastAsia="仿宋_GB2312" w:cs="Times New Roman"/>
          <w:sz w:val="32"/>
          <w:szCs w:val="32"/>
        </w:rPr>
        <w:t>均包含本数。</w:t>
      </w:r>
    </w:p>
    <w:p>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（四）本</w:t>
      </w:r>
      <w:r>
        <w:rPr>
          <w:rFonts w:hint="eastAsia" w:ascii="宋体" w:hAnsi="宋体" w:eastAsia="仿宋_GB2312" w:cs="Times New Roman"/>
          <w:sz w:val="32"/>
          <w:szCs w:val="32"/>
          <w:lang w:val="en-US" w:eastAsia="zh-CN"/>
        </w:rPr>
        <w:t>方案</w:t>
      </w:r>
      <w:r>
        <w:rPr>
          <w:rFonts w:ascii="宋体" w:hAnsi="宋体" w:eastAsia="仿宋_GB2312" w:cs="Times New Roman"/>
          <w:sz w:val="32"/>
          <w:szCs w:val="32"/>
        </w:rPr>
        <w:t>所称“元”</w:t>
      </w:r>
      <w:r>
        <w:rPr>
          <w:rFonts w:hint="eastAsia" w:ascii="宋体" w:hAnsi="宋体" w:eastAsia="仿宋_GB2312" w:cs="Times New Roman"/>
          <w:sz w:val="32"/>
          <w:szCs w:val="32"/>
        </w:rPr>
        <w:t>，</w:t>
      </w:r>
      <w:r>
        <w:rPr>
          <w:rFonts w:ascii="宋体" w:hAnsi="宋体" w:eastAsia="仿宋_GB2312" w:cs="Times New Roman"/>
          <w:sz w:val="32"/>
          <w:szCs w:val="32"/>
        </w:rPr>
        <w:t>指人民币。</w:t>
      </w:r>
    </w:p>
    <w:p>
      <w:pPr>
        <w:pStyle w:val="3"/>
        <w:spacing w:line="600" w:lineRule="exact"/>
        <w:ind w:firstLine="640" w:firstLineChars="200"/>
        <w:rPr>
          <w:rFonts w:ascii="宋体" w:hAnsi="宋体" w:eastAsia="黑体" w:cs="Times New Roman"/>
          <w:snapToGrid w:val="0"/>
          <w:sz w:val="32"/>
          <w:szCs w:val="32"/>
        </w:rPr>
      </w:pPr>
      <w:r>
        <w:rPr>
          <w:rFonts w:ascii="宋体" w:hAnsi="宋体" w:eastAsia="黑体" w:cs="Times New Roman"/>
          <w:snapToGrid w:val="0"/>
          <w:sz w:val="32"/>
          <w:szCs w:val="32"/>
        </w:rPr>
        <w:t>五、解读机关和联系方式</w:t>
      </w:r>
    </w:p>
    <w:p>
      <w:pPr>
        <w:pStyle w:val="3"/>
        <w:spacing w:line="600" w:lineRule="exact"/>
        <w:ind w:firstLine="640" w:firstLineChars="200"/>
        <w:rPr>
          <w:rFonts w:ascii="宋体" w:hAnsi="宋体" w:eastAsia="仿宋_GB2312" w:cs="Times New Roman"/>
          <w:snapToGrid w:val="0"/>
          <w:sz w:val="32"/>
          <w:szCs w:val="32"/>
        </w:rPr>
      </w:pPr>
      <w:r>
        <w:rPr>
          <w:rFonts w:ascii="宋体" w:hAnsi="宋体" w:eastAsia="仿宋_GB2312" w:cs="Times New Roman"/>
          <w:snapToGrid w:val="0"/>
          <w:sz w:val="32"/>
          <w:szCs w:val="32"/>
        </w:rPr>
        <w:t>解读机关：兴宁市</w:t>
      </w:r>
      <w:r>
        <w:rPr>
          <w:rFonts w:hint="eastAsia" w:ascii="宋体" w:hAnsi="宋体" w:eastAsia="仿宋_GB2312" w:cs="Times New Roman"/>
          <w:snapToGrid w:val="0"/>
          <w:sz w:val="32"/>
          <w:szCs w:val="32"/>
          <w:lang w:val="en-US" w:eastAsia="zh-CN"/>
        </w:rPr>
        <w:t>住房和城乡建设</w:t>
      </w:r>
      <w:r>
        <w:rPr>
          <w:rFonts w:ascii="宋体" w:hAnsi="宋体" w:eastAsia="仿宋_GB2312" w:cs="Times New Roman"/>
          <w:snapToGrid w:val="0"/>
          <w:sz w:val="32"/>
          <w:szCs w:val="32"/>
        </w:rPr>
        <w:t>局</w:t>
      </w:r>
    </w:p>
    <w:p>
      <w:pPr>
        <w:pStyle w:val="3"/>
        <w:spacing w:line="600" w:lineRule="exact"/>
        <w:ind w:firstLine="640" w:firstLineChars="200"/>
        <w:rPr>
          <w:rFonts w:hint="default" w:ascii="宋体" w:hAnsi="宋体" w:eastAsia="仿宋_GB2312" w:cs="Times New Roman"/>
          <w:snapToGrid w:val="0"/>
          <w:sz w:val="32"/>
          <w:szCs w:val="32"/>
          <w:lang w:val="en-US" w:eastAsia="zh-CN"/>
        </w:rPr>
      </w:pPr>
      <w:r>
        <w:rPr>
          <w:rFonts w:ascii="宋体" w:hAnsi="宋体" w:eastAsia="仿宋_GB2312" w:cs="Times New Roman"/>
          <w:snapToGrid w:val="0"/>
          <w:sz w:val="32"/>
          <w:szCs w:val="32"/>
        </w:rPr>
        <w:t>联系电话：0753—</w:t>
      </w:r>
      <w:r>
        <w:rPr>
          <w:rFonts w:hint="eastAsia" w:ascii="宋体" w:hAnsi="宋体" w:eastAsia="仿宋_GB2312" w:cs="Times New Roman"/>
          <w:snapToGrid w:val="0"/>
          <w:sz w:val="32"/>
          <w:szCs w:val="32"/>
          <w:lang w:val="en-US" w:eastAsia="zh-CN"/>
        </w:rPr>
        <w:t>3320735</w:t>
      </w:r>
    </w:p>
    <w:p>
      <w:pPr>
        <w:rPr>
          <w:rFonts w:ascii="宋体" w:hAnsi="宋体"/>
        </w:rPr>
      </w:pP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大标宋体">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07790"/>
      <w:docPartObj>
        <w:docPartGallery w:val="autotext"/>
      </w:docPartObj>
    </w:sdtPr>
    <w:sdtContent>
      <w:p>
        <w:pPr>
          <w:pStyle w:val="4"/>
          <w:jc w:val="right"/>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07782"/>
      <w:docPartObj>
        <w:docPartGallery w:val="autotext"/>
      </w:docPartObj>
    </w:sdtPr>
    <w:sdtContent>
      <w:p>
        <w:pPr>
          <w:pStyle w:val="4"/>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NzY5NjQ4MmVhNjkxZTBlZjQxOTU1ZWYwNGU5YzcifQ=="/>
    <w:docVar w:name="KSO_WPS_MARK_KEY" w:val="ea114733-896f-4463-aa34-86b4b9a551a9"/>
  </w:docVars>
  <w:rsids>
    <w:rsidRoot w:val="73294EDE"/>
    <w:rsid w:val="0A1F2769"/>
    <w:rsid w:val="271E5FEA"/>
    <w:rsid w:val="59C57A85"/>
    <w:rsid w:val="67F723D6"/>
    <w:rsid w:val="73294EDE"/>
    <w:rsid w:val="76633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99"/>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719</Words>
  <Characters>748</Characters>
  <Lines>0</Lines>
  <Paragraphs>0</Paragraphs>
  <TotalTime>35</TotalTime>
  <ScaleCrop>false</ScaleCrop>
  <LinksUpToDate>false</LinksUpToDate>
  <CharactersWithSpaces>750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2024-12-05T02:29:00Z</dcterms:created>
  <dc:creator>dell</dc:creator>
  <cp:lastModifiedBy>zengzd</cp:lastModifiedBy>
  <dcterms:modified xsi:type="dcterms:W3CDTF">2024-12-06T08:52:49Z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440CCACB59634ABDAAC64B85BE0CE526_13</vt:lpwstr>
  </property>
</Properties>
</file>