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70" w:lineRule="atLeast"/>
        <w:jc w:val="center"/>
        <w:outlineLvl w:val="0"/>
        <w:rPr>
          <w:rFonts w:cs="宋体" w:asciiTheme="minorEastAsia" w:hAnsiTheme="minorEastAsia"/>
          <w:b/>
          <w:kern w:val="36"/>
          <w:sz w:val="44"/>
          <w:szCs w:val="44"/>
        </w:rPr>
      </w:pPr>
      <w:r>
        <w:rPr>
          <w:rFonts w:cs="宋体" w:asciiTheme="minorEastAsia" w:hAnsiTheme="minorEastAsia"/>
          <w:b/>
          <w:kern w:val="36"/>
          <w:sz w:val="44"/>
          <w:szCs w:val="44"/>
        </w:rPr>
        <w:t>梅州市生态环境局兴宁分局</w:t>
      </w:r>
    </w:p>
    <w:p>
      <w:pPr>
        <w:widowControl/>
        <w:spacing w:line="870" w:lineRule="atLeast"/>
        <w:jc w:val="center"/>
        <w:outlineLvl w:val="0"/>
        <w:rPr>
          <w:rFonts w:cs="宋体" w:asciiTheme="minorEastAsia" w:hAnsiTheme="minorEastAsia"/>
          <w:b/>
          <w:kern w:val="36"/>
          <w:sz w:val="44"/>
          <w:szCs w:val="44"/>
        </w:rPr>
      </w:pPr>
      <w:r>
        <w:rPr>
          <w:rFonts w:cs="宋体" w:asciiTheme="minorEastAsia" w:hAnsiTheme="minorEastAsia"/>
          <w:b/>
          <w:kern w:val="36"/>
          <w:sz w:val="44"/>
          <w:szCs w:val="44"/>
        </w:rPr>
        <w:t>202</w:t>
      </w:r>
      <w:r>
        <w:rPr>
          <w:rFonts w:hint="eastAsia" w:cs="宋体" w:asciiTheme="minorEastAsia" w:hAnsiTheme="minorEastAsia"/>
          <w:b/>
          <w:kern w:val="36"/>
          <w:sz w:val="44"/>
          <w:szCs w:val="44"/>
          <w:lang w:val="en-US" w:eastAsia="zh-CN"/>
        </w:rPr>
        <w:t>4</w:t>
      </w:r>
      <w:r>
        <w:rPr>
          <w:rFonts w:cs="宋体" w:asciiTheme="minorEastAsia" w:hAnsiTheme="minorEastAsia"/>
          <w:b/>
          <w:kern w:val="36"/>
          <w:sz w:val="44"/>
          <w:szCs w:val="44"/>
        </w:rPr>
        <w:t>年政府信息公开工作年度报告</w:t>
      </w:r>
    </w:p>
    <w:p>
      <w:pPr>
        <w:widowControl/>
        <w:spacing w:line="276" w:lineRule="atLeast"/>
        <w:rPr>
          <w:rFonts w:cs="宋体" w:asciiTheme="minorEastAsia" w:hAnsiTheme="minorEastAsia"/>
          <w:color w:val="000000"/>
          <w:kern w:val="0"/>
          <w:sz w:val="32"/>
          <w:szCs w:val="32"/>
        </w:rPr>
      </w:pPr>
    </w:p>
    <w:p>
      <w:pPr>
        <w:widowControl/>
        <w:spacing w:line="276" w:lineRule="atLeast"/>
        <w:rPr>
          <w:rFonts w:cs="宋体" w:asciiTheme="minorEastAsia" w:hAnsiTheme="minorEastAsia"/>
          <w:color w:val="000000"/>
          <w:kern w:val="0"/>
          <w:sz w:val="32"/>
          <w:szCs w:val="32"/>
        </w:rPr>
      </w:pPr>
    </w:p>
    <w:p>
      <w:pPr>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根据《中华人民共和国政府信息公开条例》规定，现公布梅州市生态环境局兴宁分局202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政府信息公开工作年度报告。本报告由总体情况、主动公开政府信息情况、收到和处理政府信息公开申请情况、政府信息公开行政复议及行政诉讼情况、存在的主要问题及改进情况、其他需要报告的事项六部分组成,报告中所列数据的统计期限自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年1月1日起至202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 xml:space="preserve">年12月31日止。本报告的电子版可在梅州市生态环境局兴宁分局门户网站(http://www.xingning.gov.cn/zfjg/xnshjbhj/index.html)下载。如对本报告有任何疑问，请与梅州市生态环境局兴宁分局联系（地址：兴宁市兴南大道环保大楼，联系电话：0753-3251488）。  </w:t>
      </w:r>
    </w:p>
    <w:p>
      <w:pPr>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一、总体情况</w:t>
      </w:r>
    </w:p>
    <w:p>
      <w:pPr>
        <w:widowControl/>
        <w:spacing w:line="562" w:lineRule="atLeast"/>
        <w:ind w:firstLine="634"/>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梅州市生态环境局兴宁分局深入贯彻落实《中华人民共和国政府信息公开条例》，严格按照《梅州市人民政府办公室关于印发梅州市2021年政务公开工作要点分工方案的通知》（梅市府办函〔2021〕159号）等相关文件要求，坚持依法公开、客观真实、全面公开、注重实效、方便群众的原则，规范公开内容和形式，主动公开依法应公开的非涉密政府信息，积极做好本年度政府信息公开工作，坚持以公开促落实、促规范、促服务，推进政务公开工作取得积极成效，按时按质完成年度工作任务。</w:t>
      </w:r>
    </w:p>
    <w:p>
      <w:pPr>
        <w:widowControl/>
        <w:spacing w:line="562" w:lineRule="atLeast"/>
        <w:ind w:firstLine="634"/>
        <w:rPr>
          <w:rFonts w:ascii="仿宋" w:hAnsi="仿宋" w:eastAsia="仿宋"/>
          <w:color w:val="424242"/>
          <w:sz w:val="30"/>
          <w:szCs w:val="30"/>
          <w:shd w:val="clear" w:color="auto" w:fill="FFFFFF"/>
        </w:rPr>
      </w:pPr>
      <w:r>
        <w:rPr>
          <w:rFonts w:hint="eastAsia" w:cs="宋体" w:asciiTheme="minorEastAsia" w:hAnsiTheme="minorEastAsia"/>
          <w:color w:val="000000"/>
          <w:kern w:val="0"/>
          <w:sz w:val="32"/>
          <w:szCs w:val="32"/>
        </w:rPr>
        <w:t>（一）主动公开方面。202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年，我局通过单位门户网站共公开各类信息</w:t>
      </w:r>
      <w:r>
        <w:rPr>
          <w:rFonts w:hint="eastAsia" w:cs="宋体" w:asciiTheme="minorEastAsia" w:hAnsiTheme="minorEastAsia"/>
          <w:color w:val="000000"/>
          <w:kern w:val="0"/>
          <w:sz w:val="32"/>
          <w:szCs w:val="32"/>
          <w:lang w:val="en-US" w:eastAsia="zh-CN"/>
        </w:rPr>
        <w:t>166</w:t>
      </w:r>
      <w:r>
        <w:rPr>
          <w:rFonts w:hint="eastAsia" w:cs="宋体" w:asciiTheme="minorEastAsia" w:hAnsiTheme="minorEastAsia"/>
          <w:color w:val="000000"/>
          <w:kern w:val="0"/>
          <w:sz w:val="32"/>
          <w:szCs w:val="32"/>
        </w:rPr>
        <w:t>条，涉及工作动态4</w:t>
      </w:r>
      <w:r>
        <w:rPr>
          <w:rFonts w:hint="eastAsia" w:cs="宋体" w:asciiTheme="minorEastAsia" w:hAnsiTheme="minorEastAsia"/>
          <w:color w:val="000000"/>
          <w:kern w:val="0"/>
          <w:sz w:val="32"/>
          <w:szCs w:val="32"/>
          <w:lang w:val="en-US" w:eastAsia="zh-CN"/>
        </w:rPr>
        <w:t>2</w:t>
      </w:r>
      <w:r>
        <w:rPr>
          <w:rFonts w:hint="eastAsia" w:cs="宋体" w:asciiTheme="minorEastAsia" w:hAnsiTheme="minorEastAsia"/>
          <w:color w:val="000000"/>
          <w:kern w:val="0"/>
          <w:sz w:val="32"/>
          <w:szCs w:val="32"/>
        </w:rPr>
        <w:t>条，环境信息</w:t>
      </w:r>
      <w:r>
        <w:rPr>
          <w:rFonts w:hint="eastAsia" w:cs="宋体" w:asciiTheme="minorEastAsia" w:hAnsiTheme="minorEastAsia"/>
          <w:color w:val="000000"/>
          <w:kern w:val="0"/>
          <w:sz w:val="32"/>
          <w:szCs w:val="32"/>
          <w:lang w:val="en-US" w:eastAsia="zh-CN"/>
        </w:rPr>
        <w:t>7</w:t>
      </w:r>
      <w:r>
        <w:rPr>
          <w:rFonts w:hint="eastAsia" w:cs="宋体" w:asciiTheme="minorEastAsia" w:hAnsiTheme="minorEastAsia"/>
          <w:color w:val="000000"/>
          <w:kern w:val="0"/>
          <w:sz w:val="32"/>
          <w:szCs w:val="32"/>
        </w:rPr>
        <w:t>条，通知公告信息</w:t>
      </w:r>
      <w:r>
        <w:rPr>
          <w:rFonts w:hint="eastAsia" w:cs="宋体" w:asciiTheme="minorEastAsia" w:hAnsiTheme="minorEastAsia"/>
          <w:color w:val="000000"/>
          <w:kern w:val="0"/>
          <w:sz w:val="32"/>
          <w:szCs w:val="32"/>
          <w:lang w:val="en-US" w:eastAsia="zh-CN"/>
        </w:rPr>
        <w:t>6</w:t>
      </w:r>
      <w:r>
        <w:rPr>
          <w:rFonts w:hint="eastAsia" w:cs="宋体" w:asciiTheme="minorEastAsia" w:hAnsiTheme="minorEastAsia"/>
          <w:color w:val="000000"/>
          <w:kern w:val="0"/>
          <w:sz w:val="32"/>
          <w:szCs w:val="32"/>
        </w:rPr>
        <w:t>条，空气质量信息</w:t>
      </w:r>
      <w:r>
        <w:rPr>
          <w:rFonts w:hint="eastAsia" w:cs="宋体" w:asciiTheme="minorEastAsia" w:hAnsiTheme="minorEastAsia"/>
          <w:color w:val="000000"/>
          <w:kern w:val="0"/>
          <w:sz w:val="32"/>
          <w:szCs w:val="32"/>
          <w:lang w:val="en-US" w:eastAsia="zh-CN"/>
        </w:rPr>
        <w:t>59</w:t>
      </w:r>
      <w:r>
        <w:rPr>
          <w:rFonts w:hint="eastAsia" w:cs="宋体" w:asciiTheme="minorEastAsia" w:hAnsiTheme="minorEastAsia"/>
          <w:color w:val="000000"/>
          <w:kern w:val="0"/>
          <w:sz w:val="32"/>
          <w:szCs w:val="32"/>
        </w:rPr>
        <w:t>条，水环境质量信息1</w:t>
      </w:r>
      <w:r>
        <w:rPr>
          <w:rFonts w:hint="eastAsia" w:cs="宋体" w:asciiTheme="minorEastAsia" w:hAnsiTheme="minorEastAsia"/>
          <w:color w:val="000000"/>
          <w:kern w:val="0"/>
          <w:sz w:val="32"/>
          <w:szCs w:val="32"/>
          <w:lang w:val="en-US" w:eastAsia="zh-CN"/>
        </w:rPr>
        <w:t>3</w:t>
      </w:r>
      <w:r>
        <w:rPr>
          <w:rFonts w:hint="eastAsia" w:cs="宋体" w:asciiTheme="minorEastAsia" w:hAnsiTheme="minorEastAsia"/>
          <w:color w:val="000000"/>
          <w:kern w:val="0"/>
          <w:sz w:val="32"/>
          <w:szCs w:val="32"/>
        </w:rPr>
        <w:t>条，建设项目环境影响评价信息</w:t>
      </w:r>
      <w:r>
        <w:rPr>
          <w:rFonts w:hint="eastAsia" w:cs="宋体" w:asciiTheme="minorEastAsia" w:hAnsiTheme="minorEastAsia"/>
          <w:color w:val="000000"/>
          <w:kern w:val="0"/>
          <w:sz w:val="32"/>
          <w:szCs w:val="32"/>
          <w:lang w:val="en-US" w:eastAsia="zh-CN"/>
        </w:rPr>
        <w:t>22</w:t>
      </w:r>
      <w:r>
        <w:rPr>
          <w:rFonts w:hint="eastAsia" w:cs="宋体" w:asciiTheme="minorEastAsia" w:hAnsiTheme="minorEastAsia"/>
          <w:color w:val="000000"/>
          <w:kern w:val="0"/>
          <w:sz w:val="32"/>
          <w:szCs w:val="32"/>
        </w:rPr>
        <w:t>条，</w:t>
      </w:r>
      <w:r>
        <w:rPr>
          <w:rFonts w:hint="eastAsia" w:cs="宋体" w:asciiTheme="minorEastAsia" w:hAnsiTheme="minorEastAsia"/>
          <w:color w:val="000000"/>
          <w:kern w:val="0"/>
          <w:sz w:val="32"/>
          <w:szCs w:val="32"/>
          <w:lang w:eastAsia="zh-CN"/>
        </w:rPr>
        <w:t>部</w:t>
      </w:r>
      <w:r>
        <w:rPr>
          <w:rFonts w:hint="eastAsia" w:cs="宋体" w:asciiTheme="minorEastAsia" w:hAnsiTheme="minorEastAsia"/>
          <w:color w:val="000000"/>
          <w:kern w:val="0"/>
          <w:sz w:val="32"/>
          <w:szCs w:val="32"/>
        </w:rPr>
        <w:t>门预决算和“三公”经费预决算信息6条，部门文件3条，企业环境信用评价</w:t>
      </w:r>
      <w:r>
        <w:rPr>
          <w:rFonts w:hint="eastAsia" w:cs="宋体" w:asciiTheme="minorEastAsia" w:hAnsiTheme="minorEastAsia"/>
          <w:color w:val="000000"/>
          <w:kern w:val="0"/>
          <w:sz w:val="32"/>
          <w:szCs w:val="32"/>
          <w:lang w:eastAsia="zh-CN"/>
        </w:rPr>
        <w:t>信息</w:t>
      </w:r>
      <w:r>
        <w:rPr>
          <w:rFonts w:hint="eastAsia" w:cs="宋体" w:asciiTheme="minorEastAsia" w:hAnsiTheme="minorEastAsia"/>
          <w:color w:val="000000"/>
          <w:kern w:val="0"/>
          <w:sz w:val="32"/>
          <w:szCs w:val="32"/>
          <w:lang w:val="en-US" w:eastAsia="zh-CN"/>
        </w:rPr>
        <w:t>1</w:t>
      </w:r>
      <w:r>
        <w:rPr>
          <w:rFonts w:hint="eastAsia" w:cs="宋体" w:asciiTheme="minorEastAsia" w:hAnsiTheme="minorEastAsia"/>
          <w:color w:val="000000"/>
          <w:kern w:val="0"/>
          <w:sz w:val="32"/>
          <w:szCs w:val="32"/>
        </w:rPr>
        <w:t>条，挂牌督办和行政执法信息</w:t>
      </w:r>
      <w:r>
        <w:rPr>
          <w:rFonts w:hint="eastAsia" w:cs="宋体" w:asciiTheme="minorEastAsia" w:hAnsiTheme="minorEastAsia"/>
          <w:color w:val="000000"/>
          <w:kern w:val="0"/>
          <w:sz w:val="32"/>
          <w:szCs w:val="32"/>
          <w:lang w:val="en-US" w:eastAsia="zh-CN"/>
        </w:rPr>
        <w:t>3</w:t>
      </w:r>
      <w:r>
        <w:rPr>
          <w:rFonts w:hint="eastAsia" w:cs="宋体" w:asciiTheme="minorEastAsia" w:hAnsiTheme="minorEastAsia"/>
          <w:color w:val="000000"/>
          <w:kern w:val="0"/>
          <w:sz w:val="32"/>
          <w:szCs w:val="32"/>
        </w:rPr>
        <w:t>条，国控企业污染物自动监控</w:t>
      </w:r>
      <w:r>
        <w:rPr>
          <w:rFonts w:hint="eastAsia" w:cs="宋体" w:asciiTheme="minorEastAsia" w:hAnsiTheme="minorEastAsia"/>
          <w:color w:val="000000"/>
          <w:kern w:val="0"/>
          <w:sz w:val="32"/>
          <w:szCs w:val="32"/>
          <w:lang w:eastAsia="zh-CN"/>
        </w:rPr>
        <w:t>信息</w:t>
      </w:r>
      <w:r>
        <w:rPr>
          <w:rFonts w:hint="eastAsia" w:cs="宋体" w:asciiTheme="minorEastAsia" w:hAnsiTheme="minorEastAsia"/>
          <w:color w:val="000000"/>
          <w:kern w:val="0"/>
          <w:sz w:val="32"/>
          <w:szCs w:val="32"/>
          <w:lang w:val="en-US" w:eastAsia="zh-CN"/>
        </w:rPr>
        <w:t>1条，</w:t>
      </w:r>
      <w:r>
        <w:rPr>
          <w:rFonts w:hint="eastAsia" w:cs="宋体" w:asciiTheme="minorEastAsia" w:hAnsiTheme="minorEastAsia"/>
          <w:color w:val="000000"/>
          <w:kern w:val="0"/>
          <w:sz w:val="32"/>
          <w:szCs w:val="32"/>
        </w:rPr>
        <w:t>国家重点监控企业污染源监</w:t>
      </w:r>
      <w:r>
        <w:rPr>
          <w:rFonts w:hint="eastAsia" w:cs="宋体" w:asciiTheme="minorEastAsia" w:hAnsiTheme="minorEastAsia"/>
          <w:color w:val="000000"/>
          <w:kern w:val="0"/>
          <w:sz w:val="32"/>
          <w:szCs w:val="32"/>
          <w:lang w:eastAsia="zh-CN"/>
        </w:rPr>
        <w:t>信息</w:t>
      </w:r>
      <w:r>
        <w:rPr>
          <w:rFonts w:hint="eastAsia" w:cs="宋体" w:asciiTheme="minorEastAsia" w:hAnsiTheme="minorEastAsia"/>
          <w:color w:val="000000"/>
          <w:kern w:val="0"/>
          <w:sz w:val="32"/>
          <w:szCs w:val="32"/>
          <w:lang w:val="en-US" w:eastAsia="zh-CN"/>
        </w:rPr>
        <w:t>2条，</w:t>
      </w:r>
      <w:r>
        <w:rPr>
          <w:rFonts w:hint="eastAsia" w:cs="宋体" w:asciiTheme="minorEastAsia" w:hAnsiTheme="minorEastAsia"/>
          <w:color w:val="000000"/>
          <w:kern w:val="0"/>
          <w:sz w:val="32"/>
          <w:szCs w:val="32"/>
        </w:rPr>
        <w:t>政府信息公开工作年度报告1条。</w:t>
      </w:r>
    </w:p>
    <w:p>
      <w:pPr>
        <w:widowControl/>
        <w:spacing w:line="562" w:lineRule="atLeast"/>
        <w:ind w:firstLine="634"/>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（二）依申请公开方面。202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年，我局新收政府信息公开申请数量</w:t>
      </w:r>
      <w:r>
        <w:rPr>
          <w:rFonts w:hint="eastAsia" w:cs="宋体" w:asciiTheme="minorEastAsia" w:hAnsiTheme="minorEastAsia"/>
          <w:color w:val="000000"/>
          <w:kern w:val="0"/>
          <w:sz w:val="32"/>
          <w:szCs w:val="32"/>
          <w:lang w:val="en-US" w:eastAsia="zh-CN"/>
        </w:rPr>
        <w:t>3</w:t>
      </w:r>
      <w:r>
        <w:rPr>
          <w:rFonts w:hint="eastAsia" w:cs="宋体" w:asciiTheme="minorEastAsia" w:hAnsiTheme="minorEastAsia"/>
          <w:color w:val="000000"/>
          <w:kern w:val="0"/>
          <w:sz w:val="32"/>
          <w:szCs w:val="32"/>
        </w:rPr>
        <w:t>宗，其中予以公开</w:t>
      </w:r>
      <w:r>
        <w:rPr>
          <w:rFonts w:hint="eastAsia" w:cs="宋体" w:asciiTheme="minorEastAsia" w:hAnsiTheme="minorEastAsia"/>
          <w:color w:val="000000"/>
          <w:kern w:val="0"/>
          <w:sz w:val="32"/>
          <w:szCs w:val="32"/>
          <w:lang w:val="en-US" w:eastAsia="zh-CN"/>
        </w:rPr>
        <w:t>3</w:t>
      </w:r>
      <w:r>
        <w:rPr>
          <w:rFonts w:hint="eastAsia" w:cs="宋体" w:asciiTheme="minorEastAsia" w:hAnsiTheme="minorEastAsia"/>
          <w:color w:val="000000"/>
          <w:kern w:val="0"/>
          <w:sz w:val="32"/>
          <w:szCs w:val="32"/>
        </w:rPr>
        <w:t>宗、部分公开0宗、不予公开 0宗、因本机关不掌握等原因无法提供 0宗、不予处理0 宗、其他处理 0宗，结转下年度继续办理0宗。</w:t>
      </w:r>
    </w:p>
    <w:p>
      <w:pPr>
        <w:widowControl/>
        <w:spacing w:line="562" w:lineRule="atLeast"/>
        <w:ind w:firstLine="634"/>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三）政府信息管理方面。一是严格依据《信息公开条例》和上级有关要求，按照公开、透明、规范、高效、便民的要求,严格区分主动公开、依申请公开、不予公开工作信息，确保公开的信息不涉密，涉密的信息不公开。二是为进一步提高环保工作“透明度”，我局以抓好兴宁市政府网重点领域生态环境政务信息公开和梅州市信息公开目录系统信息公开为重点，以网站信息公开为媒介，不断完善政务公开工作，加大公开力度，加强环保政策解读回应，以公开、便民、廉洁、高效为基本要求，及时报送单位的工作动态信息，及时反馈群众咨询情况，及时为群众解忧排难，不断加强公众参与环保。</w:t>
      </w:r>
    </w:p>
    <w:p>
      <w:pPr>
        <w:widowControl/>
        <w:spacing w:line="562" w:lineRule="atLeast"/>
        <w:ind w:firstLine="640" w:firstLineChars="200"/>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四）平台建设方面。一是管理信息公开。把权责清单、行政许可、行政审批、排污收费、行政处罚的程序和依据纳入信息公开，方便广大人民群众进行监督，确保社会公开承诺的有效落实，切实扩大社会各界对生态环境保护工作的知情权与参与权。二是政务服务公开。在公众网站设立信息公开栏目，包括“政务公开”、“新闻公告”、“生态环保信息”等栏目，完善“网上办事”、“网上申报”、“办事查询”等服务栏目。及时主动公开兴宁市城市空气质量周报、集中式饮用水源地水质月报等信息；实行建设项目环境影响评价信息公开，环评审批全过程“双公示”公开；及时主动公开重点监控企业污染源情况等。三是重点领域信息公开。按照上级部署，在我局网站设立建设项目环境影响评价、行政执法、空气环境、水质环境等重点领域信息公开栏目，细化信息发布的主题、内容、形式、时间、程序、要求，依法依规公开相关信息。</w:t>
      </w:r>
    </w:p>
    <w:p>
      <w:pPr>
        <w:widowControl/>
        <w:spacing w:line="562" w:lineRule="atLeast"/>
        <w:ind w:firstLine="640" w:firstLineChars="200"/>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t>（五）解读回应方面。202</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年我局在政府网站共发布政策解读</w:t>
      </w:r>
      <w:r>
        <w:rPr>
          <w:rFonts w:hint="eastAsia" w:cs="宋体" w:asciiTheme="minorEastAsia" w:hAnsiTheme="minorEastAsia"/>
          <w:color w:val="000000"/>
          <w:kern w:val="0"/>
          <w:sz w:val="32"/>
          <w:szCs w:val="32"/>
          <w:lang w:val="en-US" w:eastAsia="zh-CN"/>
        </w:rPr>
        <w:t>6</w:t>
      </w:r>
      <w:r>
        <w:rPr>
          <w:rFonts w:hint="eastAsia" w:cs="宋体" w:asciiTheme="minorEastAsia" w:hAnsiTheme="minorEastAsia"/>
          <w:color w:val="000000"/>
          <w:kern w:val="0"/>
          <w:sz w:val="32"/>
          <w:szCs w:val="32"/>
        </w:rPr>
        <w:t>份，收到集约化平台转来有关生态环境保护方面的网友留言</w:t>
      </w:r>
      <w:r>
        <w:rPr>
          <w:rFonts w:hint="eastAsia" w:cs="宋体" w:asciiTheme="minorEastAsia" w:hAnsiTheme="minorEastAsia"/>
          <w:color w:val="000000"/>
          <w:kern w:val="0"/>
          <w:sz w:val="32"/>
          <w:szCs w:val="32"/>
          <w:lang w:val="en-US" w:eastAsia="zh-CN"/>
        </w:rPr>
        <w:t>4</w:t>
      </w:r>
      <w:r>
        <w:rPr>
          <w:rFonts w:hint="eastAsia" w:cs="宋体" w:asciiTheme="minorEastAsia" w:hAnsiTheme="minorEastAsia"/>
          <w:color w:val="000000"/>
          <w:kern w:val="0"/>
          <w:sz w:val="32"/>
          <w:szCs w:val="32"/>
        </w:rPr>
        <w:t>条</w:t>
      </w:r>
      <w:r>
        <w:rPr>
          <w:rFonts w:hint="eastAsia" w:cs="宋体" w:asciiTheme="minorEastAsia" w:hAnsiTheme="minorEastAsia"/>
          <w:color w:val="000000"/>
          <w:kern w:val="0"/>
          <w:sz w:val="32"/>
          <w:szCs w:val="32"/>
          <w:lang w:eastAsia="zh-CN"/>
        </w:rPr>
        <w:t>。</w:t>
      </w:r>
      <w:r>
        <w:rPr>
          <w:rFonts w:hint="eastAsia" w:cs="宋体" w:asciiTheme="minorEastAsia" w:hAnsiTheme="minorEastAsia"/>
          <w:color w:val="000000"/>
          <w:kern w:val="0"/>
          <w:sz w:val="32"/>
          <w:szCs w:val="32"/>
        </w:rPr>
        <w:t xml:space="preserve">       </w:t>
      </w:r>
    </w:p>
    <w:p>
      <w:pPr>
        <w:tabs>
          <w:tab w:val="left" w:pos="1183"/>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p>
      <w:pPr>
        <w:widowControl/>
        <w:spacing w:line="562" w:lineRule="atLeast"/>
        <w:ind w:firstLine="634"/>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六）监督保障方面。加强组织领导，落实工作责任。由局办公室牵头、各股室按职责分工密切配合，抓好政务公开。指定一位副局长分管，负责统一组织、推进、指导、协调政务信息公开工作。完善政务公开制度建设，按照信息审核程序进行发布，确保政务信息公开工作落到实处。同时接受兴宁市政府集约化平台管理部门的统一监管，定期更新单位门户网站内容，根据上级反馈问题及时整改，确保网站发布的内容规范、准确。</w:t>
      </w:r>
    </w:p>
    <w:p>
      <w:pPr>
        <w:widowControl/>
        <w:spacing w:line="562" w:lineRule="atLeas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二、主动公开政府信息情况</w:t>
      </w:r>
    </w:p>
    <w:tbl>
      <w:tblPr>
        <w:tblStyle w:val="6"/>
        <w:tblW w:w="8727" w:type="dxa"/>
        <w:jc w:val="center"/>
        <w:tblLayout w:type="autofit"/>
        <w:tblCellMar>
          <w:top w:w="0" w:type="dxa"/>
          <w:left w:w="0" w:type="dxa"/>
          <w:bottom w:w="0" w:type="dxa"/>
          <w:right w:w="0" w:type="dxa"/>
        </w:tblCellMar>
      </w:tblPr>
      <w:tblGrid>
        <w:gridCol w:w="3337"/>
        <w:gridCol w:w="1845"/>
        <w:gridCol w:w="1735"/>
        <w:gridCol w:w="1810"/>
      </w:tblGrid>
      <w:tr>
        <w:trPr>
          <w:trHeight w:val="516" w:hRule="atLeast"/>
          <w:jc w:val="center"/>
        </w:trPr>
        <w:tc>
          <w:tcPr>
            <w:tcW w:w="8727"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第二十条第（一）项</w:t>
            </w:r>
          </w:p>
        </w:tc>
      </w:tr>
      <w:tr>
        <w:tblPrEx>
          <w:tblCellMar>
            <w:top w:w="0" w:type="dxa"/>
            <w:left w:w="0" w:type="dxa"/>
            <w:bottom w:w="0" w:type="dxa"/>
            <w:right w:w="0" w:type="dxa"/>
          </w:tblCellMar>
        </w:tblPrEx>
        <w:trPr>
          <w:trHeight w:val="919"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184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本年</w:t>
            </w:r>
            <w:r>
              <w:rPr>
                <w:rFonts w:ascii="宋体" w:hAnsi="宋体" w:eastAsia="宋体" w:cs="宋体"/>
                <w:kern w:val="0"/>
                <w:sz w:val="24"/>
                <w:szCs w:val="24"/>
              </w:rPr>
              <w:t>制</w:t>
            </w:r>
            <w:r>
              <w:rPr>
                <w:rFonts w:hint="eastAsia" w:ascii="宋体" w:hAnsi="宋体" w:eastAsia="宋体" w:cs="宋体"/>
                <w:kern w:val="0"/>
                <w:sz w:val="24"/>
                <w:szCs w:val="24"/>
              </w:rPr>
              <w:t>发件数</w:t>
            </w:r>
          </w:p>
        </w:tc>
        <w:tc>
          <w:tcPr>
            <w:tcW w:w="17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本年废止件数</w:t>
            </w:r>
          </w:p>
        </w:tc>
        <w:tc>
          <w:tcPr>
            <w:tcW w:w="18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现行有效件数</w:t>
            </w:r>
          </w:p>
        </w:tc>
      </w:tr>
      <w:tr>
        <w:tblPrEx>
          <w:tblCellMar>
            <w:top w:w="0" w:type="dxa"/>
            <w:left w:w="0" w:type="dxa"/>
            <w:bottom w:w="0" w:type="dxa"/>
            <w:right w:w="0" w:type="dxa"/>
          </w:tblCellMar>
        </w:tblPrEx>
        <w:trPr>
          <w:trHeight w:val="545"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规章</w:t>
            </w:r>
          </w:p>
        </w:tc>
        <w:tc>
          <w:tcPr>
            <w:tcW w:w="184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1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18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491"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行政规范性文件</w:t>
            </w:r>
          </w:p>
        </w:tc>
        <w:tc>
          <w:tcPr>
            <w:tcW w:w="184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1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1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01" w:hRule="atLeast"/>
          <w:jc w:val="center"/>
        </w:trPr>
        <w:tc>
          <w:tcPr>
            <w:tcW w:w="872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661"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539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550"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行政许可</w:t>
            </w:r>
          </w:p>
        </w:tc>
        <w:tc>
          <w:tcPr>
            <w:tcW w:w="539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r>
      <w:tr>
        <w:tblPrEx>
          <w:tblCellMar>
            <w:top w:w="0" w:type="dxa"/>
            <w:left w:w="0" w:type="dxa"/>
            <w:bottom w:w="0" w:type="dxa"/>
            <w:right w:w="0" w:type="dxa"/>
          </w:tblCellMar>
        </w:tblPrEx>
        <w:trPr>
          <w:trHeight w:val="423" w:hRule="atLeast"/>
          <w:jc w:val="center"/>
        </w:trPr>
        <w:tc>
          <w:tcPr>
            <w:tcW w:w="872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661"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539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0" w:type="dxa"/>
            <w:bottom w:w="0" w:type="dxa"/>
            <w:right w:w="0" w:type="dxa"/>
          </w:tblCellMar>
        </w:tblPrEx>
        <w:trPr>
          <w:trHeight w:val="448"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行政处罚</w:t>
            </w:r>
          </w:p>
        </w:tc>
        <w:tc>
          <w:tcPr>
            <w:tcW w:w="539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26"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行政强制</w:t>
            </w:r>
          </w:p>
        </w:tc>
        <w:tc>
          <w:tcPr>
            <w:tcW w:w="539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94" w:hRule="atLeast"/>
          <w:jc w:val="center"/>
        </w:trPr>
        <w:tc>
          <w:tcPr>
            <w:tcW w:w="8727"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512"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信息内容</w:t>
            </w:r>
          </w:p>
        </w:tc>
        <w:tc>
          <w:tcPr>
            <w:tcW w:w="5390"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720" w:firstLineChars="300"/>
              <w:jc w:val="left"/>
              <w:rPr>
                <w:rFonts w:ascii="宋体" w:hAnsi="宋体" w:eastAsia="宋体" w:cs="宋体"/>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0" w:type="dxa"/>
            <w:bottom w:w="0" w:type="dxa"/>
            <w:right w:w="0" w:type="dxa"/>
          </w:tblCellMar>
        </w:tblPrEx>
        <w:trPr>
          <w:trHeight w:val="574" w:hRule="atLeast"/>
          <w:jc w:val="center"/>
        </w:trPr>
        <w:tc>
          <w:tcPr>
            <w:tcW w:w="333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行政事业性收费</w:t>
            </w:r>
          </w:p>
        </w:tc>
        <w:tc>
          <w:tcPr>
            <w:tcW w:w="5390"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pacing w:line="302" w:lineRule="atLeast"/>
        <w:rPr>
          <w:rFonts w:cs="宋体" w:asciiTheme="minorEastAsia" w:hAnsiTheme="minorEastAsia"/>
          <w:color w:val="000000"/>
          <w:kern w:val="0"/>
          <w:sz w:val="32"/>
          <w:szCs w:val="32"/>
        </w:rPr>
      </w:pPr>
    </w:p>
    <w:p>
      <w:pPr>
        <w:widowControl/>
        <w:spacing w:line="302" w:lineRule="atLeast"/>
        <w:ind w:firstLine="634"/>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三、收到和处理政府信息公开申请情况</w:t>
      </w:r>
    </w:p>
    <w:tbl>
      <w:tblPr>
        <w:tblStyle w:val="6"/>
        <w:tblW w:w="913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20"/>
        <w:gridCol w:w="1177"/>
        <w:gridCol w:w="2500"/>
        <w:gridCol w:w="604"/>
        <w:gridCol w:w="801"/>
        <w:gridCol w:w="729"/>
        <w:gridCol w:w="699"/>
        <w:gridCol w:w="767"/>
        <w:gridCol w:w="674"/>
        <w:gridCol w:w="6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197" w:type="dxa"/>
            <w:gridSpan w:val="3"/>
            <w:vMerge w:val="restart"/>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（本列数据的勾稽关系为：第一项加第二项之和，等于第三项加第四项之和）</w:t>
            </w:r>
          </w:p>
        </w:tc>
        <w:tc>
          <w:tcPr>
            <w:tcW w:w="4935" w:type="dxa"/>
            <w:gridSpan w:val="7"/>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197" w:type="dxa"/>
            <w:gridSpan w:val="3"/>
            <w:vMerge w:val="continue"/>
            <w:vAlign w:val="center"/>
          </w:tcPr>
          <w:p>
            <w:pPr>
              <w:widowControl/>
              <w:jc w:val="left"/>
              <w:rPr>
                <w:rFonts w:cs="宋体" w:asciiTheme="minorEastAsia" w:hAnsiTheme="minorEastAsia"/>
                <w:kern w:val="0"/>
                <w:sz w:val="24"/>
                <w:szCs w:val="24"/>
              </w:rPr>
            </w:pPr>
          </w:p>
        </w:tc>
        <w:tc>
          <w:tcPr>
            <w:tcW w:w="604" w:type="dxa"/>
            <w:vMerge w:val="restart"/>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自然人</w:t>
            </w:r>
          </w:p>
        </w:tc>
        <w:tc>
          <w:tcPr>
            <w:tcW w:w="3670" w:type="dxa"/>
            <w:gridSpan w:val="5"/>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法人或其他组织</w:t>
            </w:r>
          </w:p>
        </w:tc>
        <w:tc>
          <w:tcPr>
            <w:tcW w:w="661" w:type="dxa"/>
            <w:vMerge w:val="restart"/>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849" w:hRule="atLeast"/>
          <w:jc w:val="center"/>
        </w:trPr>
        <w:tc>
          <w:tcPr>
            <w:tcW w:w="4197" w:type="dxa"/>
            <w:gridSpan w:val="3"/>
            <w:vMerge w:val="continue"/>
            <w:vAlign w:val="center"/>
          </w:tcPr>
          <w:p>
            <w:pPr>
              <w:widowControl/>
              <w:jc w:val="left"/>
              <w:rPr>
                <w:rFonts w:cs="宋体" w:asciiTheme="minorEastAsia" w:hAnsiTheme="minorEastAsia"/>
                <w:kern w:val="0"/>
                <w:sz w:val="24"/>
                <w:szCs w:val="24"/>
              </w:rPr>
            </w:pPr>
          </w:p>
        </w:tc>
        <w:tc>
          <w:tcPr>
            <w:tcW w:w="604" w:type="dxa"/>
            <w:vMerge w:val="continue"/>
            <w:vAlign w:val="center"/>
          </w:tcPr>
          <w:p>
            <w:pPr>
              <w:widowControl/>
              <w:jc w:val="left"/>
              <w:rPr>
                <w:rFonts w:cs="宋体" w:asciiTheme="minorEastAsia" w:hAnsiTheme="minorEastAsia"/>
                <w:kern w:val="0"/>
                <w:sz w:val="24"/>
                <w:szCs w:val="24"/>
              </w:rPr>
            </w:pP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商业企业</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科研</w:t>
            </w:r>
          </w:p>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机构</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社会公益组织</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法律服务机构</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其他</w:t>
            </w:r>
          </w:p>
        </w:tc>
        <w:tc>
          <w:tcPr>
            <w:tcW w:w="661" w:type="dxa"/>
            <w:vMerge w:val="continue"/>
            <w:vAlign w:val="center"/>
          </w:tcPr>
          <w:p>
            <w:pPr>
              <w:widowControl/>
              <w:jc w:val="left"/>
              <w:rPr>
                <w:rFonts w:cs="宋体" w:asciiTheme="minorEastAsia" w:hAnsiTheme="minorEastAsia"/>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83" w:hRule="atLeast"/>
          <w:jc w:val="center"/>
        </w:trPr>
        <w:tc>
          <w:tcPr>
            <w:tcW w:w="4197" w:type="dxa"/>
            <w:gridSpan w:val="3"/>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一、本年新收政府信息公开申请数量</w:t>
            </w:r>
          </w:p>
        </w:tc>
        <w:tc>
          <w:tcPr>
            <w:tcW w:w="604"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cs="宋体" w:asciiTheme="minorEastAsia" w:hAnsiTheme="minorEastAsia"/>
                <w:kern w:val="0"/>
                <w:sz w:val="24"/>
                <w:szCs w:val="24"/>
              </w:rPr>
              <w:t> </w:t>
            </w:r>
            <w:r>
              <w:rPr>
                <w:rFonts w:hint="eastAsia" w:cs="宋体" w:asciiTheme="minorEastAsia" w:hAnsiTheme="minorEastAsia"/>
                <w:kern w:val="0"/>
                <w:sz w:val="24"/>
                <w:szCs w:val="24"/>
                <w:lang w:val="en-US" w:eastAsia="zh-CN"/>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cs="宋体" w:asciiTheme="minorEastAsia" w:hAnsiTheme="minorEastAsia"/>
                <w:kern w:val="0"/>
                <w:sz w:val="24"/>
                <w:szCs w:val="24"/>
              </w:rPr>
              <w:t> </w:t>
            </w:r>
            <w:r>
              <w:rPr>
                <w:rFonts w:hint="eastAsia" w:cs="宋体" w:asciiTheme="minorEastAsia" w:hAnsiTheme="minorEastAsia"/>
                <w:kern w:val="0"/>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11" w:hRule="atLeast"/>
          <w:jc w:val="center"/>
        </w:trPr>
        <w:tc>
          <w:tcPr>
            <w:tcW w:w="4197" w:type="dxa"/>
            <w:gridSpan w:val="3"/>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二、上年结转政府信息公开申请数量</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w:t>
            </w: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5" w:hRule="atLeast"/>
          <w:jc w:val="center"/>
        </w:trPr>
        <w:tc>
          <w:tcPr>
            <w:tcW w:w="520" w:type="dxa"/>
            <w:vMerge w:val="restart"/>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三、本年度办理结果</w:t>
            </w:r>
          </w:p>
        </w:tc>
        <w:tc>
          <w:tcPr>
            <w:tcW w:w="3677" w:type="dxa"/>
            <w:gridSpan w:val="2"/>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（一）予以公开</w:t>
            </w:r>
          </w:p>
        </w:tc>
        <w:tc>
          <w:tcPr>
            <w:tcW w:w="604"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61"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3677" w:type="dxa"/>
            <w:gridSpan w:val="2"/>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（二）部分公开（区分处理的，只计这一情形，不计其他情形）</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restart"/>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（三）不予公开</w:t>
            </w: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1.属于国家秘密</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2.其他法律行政法规禁止公开</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3.危及“三安全一稳定”</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4.保护第三方合法权益</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5.属于三类内部</w:t>
            </w:r>
            <w:r>
              <w:rPr>
                <w:rFonts w:hint="eastAsia" w:cs="宋体" w:asciiTheme="minorEastAsia" w:hAnsiTheme="minorEastAsia"/>
                <w:spacing w:val="-20"/>
                <w:kern w:val="0"/>
                <w:sz w:val="24"/>
                <w:szCs w:val="24"/>
              </w:rPr>
              <w:t>事务信息</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6.属于四类过程性信息</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7.属于行政执法案卷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80"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8.属于行政查询事项</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12"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restart"/>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（四）无法提供</w:t>
            </w: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1.本机关不掌握相关政府信息</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96" w:hRule="exac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2.没有现成信息需要另行制作</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82"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3.补正后申请内容仍不明确</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65"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restart"/>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（五）不予处理</w:t>
            </w: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1.信访举报投诉类申请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13"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2.重复申请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82"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3.要求提供公开出版物</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55"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4.无正当理由大量反复申请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5.要求行政机关确认或重新出具已获取信息</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restart"/>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（六）其他处理</w:t>
            </w: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1.申请人无正当理由逾期不补正、行政机关不再处理其政府信息公开申请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40"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vMerge w:val="continue"/>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2.申请人逾期未按通知要求缴纳费用、行政机关不再处理其政府</w:t>
            </w:r>
            <w:r>
              <w:rPr>
                <w:rFonts w:hint="eastAsia" w:cs="宋体" w:asciiTheme="minorEastAsia" w:hAnsiTheme="minorEastAsia"/>
                <w:spacing w:val="-20"/>
                <w:kern w:val="0"/>
                <w:sz w:val="24"/>
                <w:szCs w:val="24"/>
              </w:rPr>
              <w:t>信息公开申请</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033"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1177"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p>
        </w:tc>
        <w:tc>
          <w:tcPr>
            <w:tcW w:w="2500" w:type="dxa"/>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3.其他</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82" w:hRule="atLeast"/>
          <w:jc w:val="center"/>
        </w:trPr>
        <w:tc>
          <w:tcPr>
            <w:tcW w:w="520" w:type="dxa"/>
            <w:vMerge w:val="continue"/>
            <w:vAlign w:val="center"/>
          </w:tcPr>
          <w:p>
            <w:pPr>
              <w:widowControl/>
              <w:jc w:val="left"/>
              <w:rPr>
                <w:rFonts w:cs="宋体" w:asciiTheme="minorEastAsia" w:hAnsiTheme="minorEastAsia"/>
                <w:kern w:val="0"/>
                <w:sz w:val="24"/>
                <w:szCs w:val="24"/>
              </w:rPr>
            </w:pPr>
          </w:p>
        </w:tc>
        <w:tc>
          <w:tcPr>
            <w:tcW w:w="3677" w:type="dxa"/>
            <w:gridSpan w:val="2"/>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（七）总计</w:t>
            </w:r>
          </w:p>
        </w:tc>
        <w:tc>
          <w:tcPr>
            <w:tcW w:w="604"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1" w:hRule="atLeast"/>
          <w:jc w:val="center"/>
        </w:trPr>
        <w:tc>
          <w:tcPr>
            <w:tcW w:w="4197" w:type="dxa"/>
            <w:gridSpan w:val="3"/>
            <w:tcMar>
              <w:top w:w="0" w:type="dxa"/>
              <w:left w:w="108" w:type="dxa"/>
              <w:bottom w:w="0" w:type="dxa"/>
              <w:right w:w="108" w:type="dxa"/>
            </w:tcMar>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四、结转下年度继续办理</w:t>
            </w:r>
          </w:p>
        </w:tc>
        <w:tc>
          <w:tcPr>
            <w:tcW w:w="60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80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2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99"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767"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74"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661" w:type="dxa"/>
            <w:tcMar>
              <w:top w:w="0" w:type="dxa"/>
              <w:left w:w="108" w:type="dxa"/>
              <w:bottom w:w="0" w:type="dxa"/>
              <w:right w:w="108" w:type="dxa"/>
            </w:tcMar>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bl>
    <w:p>
      <w:pPr>
        <w:widowControl/>
        <w:spacing w:line="562" w:lineRule="atLeas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四、政府信息公开行政复议、行政诉讼情况</w:t>
      </w:r>
    </w:p>
    <w:tbl>
      <w:tblPr>
        <w:tblStyle w:val="6"/>
        <w:tblW w:w="9101" w:type="dxa"/>
        <w:jc w:val="center"/>
        <w:tblLayout w:type="autofit"/>
        <w:tblCellMar>
          <w:top w:w="0" w:type="dxa"/>
          <w:left w:w="0" w:type="dxa"/>
          <w:bottom w:w="0" w:type="dxa"/>
          <w:right w:w="0" w:type="dxa"/>
        </w:tblCellMar>
      </w:tblPr>
      <w:tblGrid>
        <w:gridCol w:w="606"/>
        <w:gridCol w:w="606"/>
        <w:gridCol w:w="606"/>
        <w:gridCol w:w="606"/>
        <w:gridCol w:w="660"/>
        <w:gridCol w:w="552"/>
        <w:gridCol w:w="607"/>
        <w:gridCol w:w="607"/>
        <w:gridCol w:w="607"/>
        <w:gridCol w:w="607"/>
        <w:gridCol w:w="607"/>
        <w:gridCol w:w="607"/>
        <w:gridCol w:w="607"/>
        <w:gridCol w:w="608"/>
        <w:gridCol w:w="608"/>
      </w:tblGrid>
      <w:tr>
        <w:tblPrEx>
          <w:tblCellMar>
            <w:top w:w="0" w:type="dxa"/>
            <w:left w:w="0" w:type="dxa"/>
            <w:bottom w:w="0" w:type="dxa"/>
            <w:right w:w="0" w:type="dxa"/>
          </w:tblCellMar>
        </w:tblPrEx>
        <w:trPr>
          <w:trHeight w:val="767" w:hRule="atLeast"/>
          <w:jc w:val="center"/>
        </w:trPr>
        <w:tc>
          <w:tcPr>
            <w:tcW w:w="308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行政复议</w:t>
            </w:r>
          </w:p>
        </w:tc>
        <w:tc>
          <w:tcPr>
            <w:tcW w:w="601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行政诉讼</w:t>
            </w:r>
          </w:p>
        </w:tc>
      </w:tr>
      <w:tr>
        <w:tblPrEx>
          <w:tblCellMar>
            <w:top w:w="0" w:type="dxa"/>
            <w:left w:w="0" w:type="dxa"/>
            <w:bottom w:w="0" w:type="dxa"/>
            <w:right w:w="0" w:type="dxa"/>
          </w:tblCellMar>
        </w:tblPrEx>
        <w:trPr>
          <w:trHeight w:val="663" w:hRule="atLeast"/>
          <w:jc w:val="center"/>
        </w:trPr>
        <w:tc>
          <w:tcPr>
            <w:tcW w:w="60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6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29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未经复议直接起诉</w:t>
            </w:r>
          </w:p>
        </w:tc>
        <w:tc>
          <w:tcPr>
            <w:tcW w:w="303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复议后起诉</w:t>
            </w:r>
          </w:p>
        </w:tc>
      </w:tr>
      <w:tr>
        <w:tblPrEx>
          <w:tblCellMar>
            <w:top w:w="0" w:type="dxa"/>
            <w:left w:w="0" w:type="dxa"/>
            <w:bottom w:w="0" w:type="dxa"/>
            <w:right w:w="0" w:type="dxa"/>
          </w:tblCellMar>
        </w:tblPrEx>
        <w:trPr>
          <w:trHeight w:val="148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其他结果</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总计</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结果维持</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其他结果</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尚未审结</w:t>
            </w:r>
          </w:p>
        </w:tc>
        <w:tc>
          <w:tcPr>
            <w:tcW w:w="6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总计</w:t>
            </w:r>
          </w:p>
        </w:tc>
      </w:tr>
      <w:tr>
        <w:tblPrEx>
          <w:tblCellMar>
            <w:top w:w="0" w:type="dxa"/>
            <w:left w:w="0" w:type="dxa"/>
            <w:bottom w:w="0" w:type="dxa"/>
            <w:right w:w="0" w:type="dxa"/>
          </w:tblCellMar>
        </w:tblPrEx>
        <w:trPr>
          <w:trHeight w:val="911" w:hRule="atLeast"/>
          <w:jc w:val="center"/>
        </w:trPr>
        <w:tc>
          <w:tcPr>
            <w:tcW w:w="6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rPr>
              <w:t>0</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4"/>
                <w:szCs w:val="24"/>
              </w:rPr>
              <w:t>0</w:t>
            </w:r>
          </w:p>
        </w:tc>
        <w:tc>
          <w:tcPr>
            <w:tcW w:w="5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pacing w:line="518" w:lineRule="atLeas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五、存在的主要问题及改进情况</w:t>
      </w:r>
    </w:p>
    <w:p>
      <w:pPr>
        <w:widowControl/>
        <w:spacing w:line="518" w:lineRule="atLeast"/>
        <w:ind w:firstLine="720" w:firstLineChars="225"/>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存在的主要问题：生态环境保护信息宣传内容还不够丰富。政策解读深度、广度有待提高。政府信息公开能力水平有待提高。</w:t>
      </w:r>
    </w:p>
    <w:p>
      <w:pPr>
        <w:widowControl/>
        <w:spacing w:line="518" w:lineRule="atLeast"/>
        <w:ind w:firstLine="720" w:firstLineChars="225"/>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改进措施：加大生态环境保护网站宣传力度。做好各类政策文件的解读工作，及时发布政策文件解读。提高政府信息制作水平，丰富信息发布内容，完善信息发布机制，实现政府信息发布及时、准确、全面。</w:t>
      </w:r>
    </w:p>
    <w:p>
      <w:pPr>
        <w:widowControl/>
        <w:spacing w:line="518" w:lineRule="atLeas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六、其他需要报告的事项</w:t>
      </w:r>
    </w:p>
    <w:p>
      <w:pPr>
        <w:widowControl/>
        <w:spacing w:line="518" w:lineRule="atLeast"/>
        <w:ind w:firstLine="634"/>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无</w:t>
      </w:r>
    </w:p>
    <w:p>
      <w:pPr>
        <w:rPr>
          <w:rFonts w:asciiTheme="minorEastAsia" w:hAnsiTheme="minorEastAsia"/>
          <w:sz w:val="32"/>
          <w:szCs w:val="32"/>
        </w:rPr>
      </w:pPr>
    </w:p>
    <w:sectPr>
      <w:pgSz w:w="11906" w:h="16838"/>
      <w:pgMar w:top="1701"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ODA5YTgwOTkxMjA2MDM3YTBjNWM2ZmViNTViZGYifQ=="/>
    <w:docVar w:name="KSO_WPS_MARK_KEY" w:val="424272a2-ddd4-45f9-8948-59d8ece16620"/>
  </w:docVars>
  <w:rsids>
    <w:rsidRoot w:val="007F7149"/>
    <w:rsid w:val="0000695C"/>
    <w:rsid w:val="000477F0"/>
    <w:rsid w:val="00080D1E"/>
    <w:rsid w:val="000A4248"/>
    <w:rsid w:val="000C2045"/>
    <w:rsid w:val="000D0CC4"/>
    <w:rsid w:val="000D7AAC"/>
    <w:rsid w:val="000F0B56"/>
    <w:rsid w:val="000F1115"/>
    <w:rsid w:val="00107D70"/>
    <w:rsid w:val="00114236"/>
    <w:rsid w:val="001408D1"/>
    <w:rsid w:val="00144409"/>
    <w:rsid w:val="001476FE"/>
    <w:rsid w:val="00177E9C"/>
    <w:rsid w:val="001F2B6B"/>
    <w:rsid w:val="002276F0"/>
    <w:rsid w:val="00240C2D"/>
    <w:rsid w:val="00245A04"/>
    <w:rsid w:val="0025032B"/>
    <w:rsid w:val="00253307"/>
    <w:rsid w:val="0028054B"/>
    <w:rsid w:val="002913C1"/>
    <w:rsid w:val="002C4754"/>
    <w:rsid w:val="002D421B"/>
    <w:rsid w:val="002E394B"/>
    <w:rsid w:val="003127EA"/>
    <w:rsid w:val="00326108"/>
    <w:rsid w:val="00326532"/>
    <w:rsid w:val="00332E01"/>
    <w:rsid w:val="00342D86"/>
    <w:rsid w:val="003904E2"/>
    <w:rsid w:val="00391D57"/>
    <w:rsid w:val="00395311"/>
    <w:rsid w:val="003B3EA0"/>
    <w:rsid w:val="003C0815"/>
    <w:rsid w:val="003C5191"/>
    <w:rsid w:val="003E5A97"/>
    <w:rsid w:val="003F2E68"/>
    <w:rsid w:val="00402675"/>
    <w:rsid w:val="00416B4E"/>
    <w:rsid w:val="00444AC4"/>
    <w:rsid w:val="00456A70"/>
    <w:rsid w:val="00470ECE"/>
    <w:rsid w:val="00492C65"/>
    <w:rsid w:val="00496074"/>
    <w:rsid w:val="004A281B"/>
    <w:rsid w:val="004B5986"/>
    <w:rsid w:val="004C482F"/>
    <w:rsid w:val="004E7381"/>
    <w:rsid w:val="004F777C"/>
    <w:rsid w:val="00511775"/>
    <w:rsid w:val="00555F4A"/>
    <w:rsid w:val="00574946"/>
    <w:rsid w:val="00580FCA"/>
    <w:rsid w:val="00581FF3"/>
    <w:rsid w:val="00584DE8"/>
    <w:rsid w:val="00590645"/>
    <w:rsid w:val="00590C00"/>
    <w:rsid w:val="005A0B80"/>
    <w:rsid w:val="005A110D"/>
    <w:rsid w:val="005A1C63"/>
    <w:rsid w:val="005C35E9"/>
    <w:rsid w:val="00605F41"/>
    <w:rsid w:val="00623DBF"/>
    <w:rsid w:val="00650A4D"/>
    <w:rsid w:val="006853CE"/>
    <w:rsid w:val="006C2436"/>
    <w:rsid w:val="006C58C1"/>
    <w:rsid w:val="006D2395"/>
    <w:rsid w:val="006E6836"/>
    <w:rsid w:val="006F1AA4"/>
    <w:rsid w:val="006F726C"/>
    <w:rsid w:val="00702588"/>
    <w:rsid w:val="007230DC"/>
    <w:rsid w:val="00742377"/>
    <w:rsid w:val="00743E37"/>
    <w:rsid w:val="00786CA9"/>
    <w:rsid w:val="007A1A38"/>
    <w:rsid w:val="007C782E"/>
    <w:rsid w:val="007E33FA"/>
    <w:rsid w:val="007E392E"/>
    <w:rsid w:val="007F7149"/>
    <w:rsid w:val="0084242E"/>
    <w:rsid w:val="00853F4F"/>
    <w:rsid w:val="00867365"/>
    <w:rsid w:val="00874522"/>
    <w:rsid w:val="008C0B32"/>
    <w:rsid w:val="008C1ECC"/>
    <w:rsid w:val="008C5E3F"/>
    <w:rsid w:val="008E4317"/>
    <w:rsid w:val="008F7AF4"/>
    <w:rsid w:val="00906065"/>
    <w:rsid w:val="009236C0"/>
    <w:rsid w:val="0092515C"/>
    <w:rsid w:val="00935A94"/>
    <w:rsid w:val="00950093"/>
    <w:rsid w:val="009779D2"/>
    <w:rsid w:val="009C1499"/>
    <w:rsid w:val="009C6C11"/>
    <w:rsid w:val="009D206F"/>
    <w:rsid w:val="009F0E9E"/>
    <w:rsid w:val="00A15971"/>
    <w:rsid w:val="00A20AFD"/>
    <w:rsid w:val="00A34DDF"/>
    <w:rsid w:val="00A5416D"/>
    <w:rsid w:val="00A5703F"/>
    <w:rsid w:val="00A823DE"/>
    <w:rsid w:val="00A904F0"/>
    <w:rsid w:val="00AD3931"/>
    <w:rsid w:val="00AE53E1"/>
    <w:rsid w:val="00AF6A26"/>
    <w:rsid w:val="00B3338A"/>
    <w:rsid w:val="00B57F6E"/>
    <w:rsid w:val="00B612B5"/>
    <w:rsid w:val="00B9438C"/>
    <w:rsid w:val="00B96ED6"/>
    <w:rsid w:val="00BA6442"/>
    <w:rsid w:val="00BC2415"/>
    <w:rsid w:val="00BC4B93"/>
    <w:rsid w:val="00BC7186"/>
    <w:rsid w:val="00BE632C"/>
    <w:rsid w:val="00BE6935"/>
    <w:rsid w:val="00BE7FCF"/>
    <w:rsid w:val="00C02663"/>
    <w:rsid w:val="00C30994"/>
    <w:rsid w:val="00C446A4"/>
    <w:rsid w:val="00C713CB"/>
    <w:rsid w:val="00C90C26"/>
    <w:rsid w:val="00CB26D3"/>
    <w:rsid w:val="00CC10FC"/>
    <w:rsid w:val="00CC4BA9"/>
    <w:rsid w:val="00CC54F7"/>
    <w:rsid w:val="00CD401C"/>
    <w:rsid w:val="00CD7F34"/>
    <w:rsid w:val="00CF71D7"/>
    <w:rsid w:val="00D50958"/>
    <w:rsid w:val="00D5191C"/>
    <w:rsid w:val="00D77D53"/>
    <w:rsid w:val="00D84C14"/>
    <w:rsid w:val="00DD188C"/>
    <w:rsid w:val="00DF14F5"/>
    <w:rsid w:val="00E1679F"/>
    <w:rsid w:val="00E35AA6"/>
    <w:rsid w:val="00E45B06"/>
    <w:rsid w:val="00E86F97"/>
    <w:rsid w:val="00EB1A55"/>
    <w:rsid w:val="00EC1853"/>
    <w:rsid w:val="00EE19F5"/>
    <w:rsid w:val="00F054F8"/>
    <w:rsid w:val="00F06BA7"/>
    <w:rsid w:val="00F25ABB"/>
    <w:rsid w:val="00F66F5B"/>
    <w:rsid w:val="00F7569E"/>
    <w:rsid w:val="00FC3341"/>
    <w:rsid w:val="00FF39A0"/>
    <w:rsid w:val="02AC7C61"/>
    <w:rsid w:val="03A03184"/>
    <w:rsid w:val="06F7130D"/>
    <w:rsid w:val="098B3F8E"/>
    <w:rsid w:val="0B49319C"/>
    <w:rsid w:val="0C7622A0"/>
    <w:rsid w:val="0E8C6F8F"/>
    <w:rsid w:val="0F390318"/>
    <w:rsid w:val="10192D10"/>
    <w:rsid w:val="178F5592"/>
    <w:rsid w:val="19595E57"/>
    <w:rsid w:val="1A86467B"/>
    <w:rsid w:val="1AE6371B"/>
    <w:rsid w:val="1AF66A50"/>
    <w:rsid w:val="1D9A3B0C"/>
    <w:rsid w:val="21893052"/>
    <w:rsid w:val="26B73A40"/>
    <w:rsid w:val="287E6C96"/>
    <w:rsid w:val="2E8F5242"/>
    <w:rsid w:val="34445027"/>
    <w:rsid w:val="37D20E57"/>
    <w:rsid w:val="39937778"/>
    <w:rsid w:val="3A1478AA"/>
    <w:rsid w:val="3FC03C8B"/>
    <w:rsid w:val="414C0854"/>
    <w:rsid w:val="41BD2B78"/>
    <w:rsid w:val="45E16709"/>
    <w:rsid w:val="46FF32EA"/>
    <w:rsid w:val="48C141FE"/>
    <w:rsid w:val="499A72FA"/>
    <w:rsid w:val="4DC70A17"/>
    <w:rsid w:val="4F4D5CA8"/>
    <w:rsid w:val="4FAA4DB0"/>
    <w:rsid w:val="50FD6AED"/>
    <w:rsid w:val="5147093D"/>
    <w:rsid w:val="51BF1FF4"/>
    <w:rsid w:val="51D8477A"/>
    <w:rsid w:val="52210AF6"/>
    <w:rsid w:val="530A3743"/>
    <w:rsid w:val="53346A12"/>
    <w:rsid w:val="54191047"/>
    <w:rsid w:val="54721EF5"/>
    <w:rsid w:val="583D1EC5"/>
    <w:rsid w:val="58F43CE0"/>
    <w:rsid w:val="5C521C05"/>
    <w:rsid w:val="5C806824"/>
    <w:rsid w:val="5E5D7C1E"/>
    <w:rsid w:val="5E647EFC"/>
    <w:rsid w:val="5E6737F7"/>
    <w:rsid w:val="606A3A73"/>
    <w:rsid w:val="63BE69F1"/>
    <w:rsid w:val="659D21F5"/>
    <w:rsid w:val="6EFCDE38"/>
    <w:rsid w:val="6FE729EA"/>
    <w:rsid w:val="70585696"/>
    <w:rsid w:val="79014704"/>
    <w:rsid w:val="79162CD5"/>
    <w:rsid w:val="7B224333"/>
    <w:rsid w:val="7B6D59AB"/>
    <w:rsid w:val="7FC129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0AA1C174-6B88-40DC-B74D-60CD62292671}">
  <ds:schemaRefs/>
</ds:datastoreItem>
</file>

<file path=docProps/app.xml><?xml version="1.0" encoding="utf-8"?>
<Properties xmlns="http://schemas.openxmlformats.org/officeDocument/2006/extended-properties" xmlns:vt="http://schemas.openxmlformats.org/officeDocument/2006/docPropsVTypes">
  <Company>微软中国</Company>
  <Pages>7</Pages>
  <Words>2725</Words>
  <Characters>2848</Characters>
  <Lines>23</Lines>
  <Paragraphs>6</Paragraphs>
  <TotalTime>318</TotalTime>
  <ScaleCrop>false</ScaleCrop>
  <LinksUpToDate>false</LinksUpToDate>
  <CharactersWithSpaces>2872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2022-01-26T20:17:00Z</dcterms:created>
  <dc:creator>微软用户</dc:creator>
  <cp:lastModifiedBy>Administrator</cp:lastModifiedBy>
  <cp:lastPrinted>2024-01-09T09:37:00Z</cp:lastPrinted>
  <dcterms:modified xsi:type="dcterms:W3CDTF">2025-01-15T07:30:24Z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19041ED8D49E40078CF19319E79F9131</vt:lpwstr>
  </property>
</Properties>
</file>