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71" w:after="214" w:line="240" w:lineRule="auto"/>
        <w:ind w:left="0" w:right="0" w:firstLine="0"/>
        <w:jc w:val="center"/>
        <w:rPr>
          <w:rFonts w:ascii="微软雅黑" w:hAnsi="微软雅黑" w:eastAsia="微软雅黑" w:cs="微软雅黑"/>
          <w:b/>
          <w:color w:val="2D66A5"/>
          <w:spacing w:val="0"/>
          <w:position w:val="0"/>
          <w:sz w:val="36"/>
          <w:shd w:val="clear" w:fill="FFFFFF"/>
        </w:rPr>
      </w:pPr>
      <w:r>
        <w:rPr>
          <w:rFonts w:ascii="微软雅黑" w:hAnsi="微软雅黑" w:eastAsia="微软雅黑" w:cs="微软雅黑"/>
          <w:b/>
          <w:color w:val="2D66A5"/>
          <w:spacing w:val="0"/>
          <w:position w:val="0"/>
          <w:sz w:val="36"/>
          <w:shd w:val="clear" w:fill="FFFFFF"/>
        </w:rPr>
        <w:t>兴宁市财政局2024年政府信息公开工作年度报告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7"/>
          <w:shd w:val="clear" w:fill="FFFFFF"/>
        </w:rPr>
        <w:t>　　</w:t>
      </w: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2024年，兴宁市财政局坚持以习近平新时代中国特色社会主义思想为指导，全面贯彻落实党的二十大和二十届三中全会精神，认真贯彻落实《中华人民共和国政府信息公开条例》，着力提升政府信息公开质量，加强政府信息管理、加强政府信息公开发布的力度、时效，全面推进政府信息公开工作。现将2024年度政府信息公开工作报告如下：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一、总体情况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一）主动公开方面。我局按照政府信息公开平台建设有关要求，结合我局工作实际，严把信息发布质量安全关，及时做好信息更新，做到法定主动公开内容全部公开到位。主动公开财政预决算、政府信息公开年度报告，及时更新财政动态、部门文件、通知公告等栏目，及时更新机构、部门职责和领导分工信息。2024年，我局网站发布政府信息83条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二）依申请公开方面。我局严格按照《政府信息公开条例》《广东省政府信息公开申请办理答复规范》等文件规定，依法依规办理政府信息公开申请。2024年，我局依申请公开政府信息3件，没有因信息公开引起的行政复议和行政诉讼案件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三）政府信息管理方面。严格落实“三审三校”制度，在强化信息的时效性和工作规范化等前题下，坚持和完善政府信息公开制度，进一步规范政府信息公开流程，不断增强财政服务水平，不断提高工作的开放性和透明度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（四）平台建设方面。加强日常监测，按要求调整优化栏目的设置，加强政务信息公开载体建设，结合我局的实际工作变化，及时更新、完善政府信息公开指南和目录，及时主动公开部门工作动态、相关文件等。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（五）监督保障方面。严格执行“三审三校”制度，对将公开发布的信息加强保密审查和舆情预判，加强网络舆情监控和处置。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（六）回应社会关切方面。做好网民留言的答复工作，及时解答群众关心的各种问题。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二、主动公开政府信息情况</w:t>
      </w:r>
    </w:p>
    <w:tbl>
      <w:tblPr>
        <w:tblStyle w:val="2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5"/>
        <w:gridCol w:w="1743"/>
        <w:gridCol w:w="1547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68" w:type="dxa"/>
            <w:gridSpan w:val="4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信息内容</w:t>
            </w:r>
          </w:p>
        </w:tc>
        <w:tc>
          <w:tcPr>
            <w:tcW w:w="17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本年制发件数</w:t>
            </w:r>
          </w:p>
        </w:tc>
        <w:tc>
          <w:tcPr>
            <w:tcW w:w="1547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本年废止件数</w:t>
            </w:r>
          </w:p>
        </w:tc>
        <w:tc>
          <w:tcPr>
            <w:tcW w:w="28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规章</w:t>
            </w:r>
          </w:p>
        </w:tc>
        <w:tc>
          <w:tcPr>
            <w:tcW w:w="17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1547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28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行政规范性文件</w:t>
            </w:r>
          </w:p>
        </w:tc>
        <w:tc>
          <w:tcPr>
            <w:tcW w:w="17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1547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2843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68" w:type="dxa"/>
            <w:gridSpan w:val="4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信息内容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行政许可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68" w:type="dxa"/>
            <w:gridSpan w:val="4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信息内容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行政处罚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行政强制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68" w:type="dxa"/>
            <w:gridSpan w:val="4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信息内容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35" w:type="dxa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行政事业性收费</w:t>
            </w:r>
          </w:p>
        </w:tc>
        <w:tc>
          <w:tcPr>
            <w:tcW w:w="6133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</w:tbl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三、收到和处理政府信息公开申请情况</w:t>
      </w:r>
    </w:p>
    <w:tbl>
      <w:tblPr>
        <w:tblStyle w:val="2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4"/>
        <w:gridCol w:w="644"/>
        <w:gridCol w:w="1861"/>
        <w:gridCol w:w="1"/>
        <w:gridCol w:w="501"/>
        <w:gridCol w:w="1"/>
        <w:gridCol w:w="673"/>
        <w:gridCol w:w="1"/>
        <w:gridCol w:w="708"/>
        <w:gridCol w:w="1"/>
        <w:gridCol w:w="937"/>
        <w:gridCol w:w="1"/>
        <w:gridCol w:w="994"/>
        <w:gridCol w:w="1"/>
        <w:gridCol w:w="500"/>
        <w:gridCol w:w="1"/>
        <w:gridCol w:w="1"/>
        <w:gridCol w:w="500"/>
        <w:gridCol w:w="1"/>
        <w:gridCol w:w="1"/>
        <w:gridCol w:w="49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" w:type="dxa"/>
          <w:trHeight w:val="1" w:hRule="atLeast"/>
        </w:trPr>
        <w:tc>
          <w:tcPr>
            <w:tcW w:w="3149" w:type="dxa"/>
            <w:gridSpan w:val="3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15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申请人情况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" w:type="dxa"/>
          <w:trHeight w:val="1" w:hRule="atLeast"/>
        </w:trPr>
        <w:tc>
          <w:tcPr>
            <w:tcW w:w="3149" w:type="dxa"/>
            <w:gridSpan w:val="3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502" w:type="dxa"/>
            <w:gridSpan w:val="2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自然人</w:t>
            </w:r>
          </w:p>
        </w:tc>
        <w:tc>
          <w:tcPr>
            <w:tcW w:w="3817" w:type="dxa"/>
            <w:gridSpan w:val="10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法人或其他组织</w:t>
            </w:r>
          </w:p>
        </w:tc>
        <w:tc>
          <w:tcPr>
            <w:tcW w:w="502" w:type="dxa"/>
            <w:gridSpan w:val="3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总计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1" w:hRule="atLeast"/>
        </w:trPr>
        <w:tc>
          <w:tcPr>
            <w:tcW w:w="3149" w:type="dxa"/>
            <w:gridSpan w:val="3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502" w:type="dxa"/>
            <w:gridSpan w:val="2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商业企业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科研机构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社会公益组织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法律服务机构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其他</w:t>
            </w:r>
          </w:p>
        </w:tc>
        <w:tc>
          <w:tcPr>
            <w:tcW w:w="502" w:type="dxa"/>
            <w:gridSpan w:val="3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1" w:hRule="atLeast"/>
        </w:trPr>
        <w:tc>
          <w:tcPr>
            <w:tcW w:w="3149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一、本年新收政府信息公开申请数量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1" w:hRule="atLeast"/>
        </w:trPr>
        <w:tc>
          <w:tcPr>
            <w:tcW w:w="3149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二、上年结转政府信息公开申请数量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三、本年度办理结果</w:t>
            </w:r>
          </w:p>
        </w:tc>
        <w:tc>
          <w:tcPr>
            <w:tcW w:w="2506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（一）予以公开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2506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（二）部分公开（区分处理的，只计这一情形，不计其他情形）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（三）不予公开</w:t>
            </w: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1.属于国家秘密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2.其他法律行政法规禁止公开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3.危及“三安全一稳定”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4.保护第三方合法权益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5.属于三类内部事务信息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6.属于四类过程性信息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7.属于行政执法案卷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8.属于行政查询事项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（四）无法提供</w:t>
            </w: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1.本机关不掌握相关政府信息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2.没有现成信息需要另行制作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3.补正后申请内容仍不明确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（五）不予处理</w:t>
            </w: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1.信访举报投诉类申请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2.重复申请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3.要求提供公开出版物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4.无正当理由大量反复申请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5.要求行政机关确认或重新出具已获取信息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restart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（六）其他处理</w:t>
            </w: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1.申请人无正当理由逾期不补正、行政机关不再处理其政府信息公开申请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2.申请人逾期未按收费通知要求缴纳费用、行政机关不再处理其政府信息公开申请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186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3.其他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4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2506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（七）总计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5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1" w:hRule="atLeast"/>
        </w:trPr>
        <w:tc>
          <w:tcPr>
            <w:tcW w:w="3149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四、结转下年度继续办理</w:t>
            </w:r>
          </w:p>
        </w:tc>
        <w:tc>
          <w:tcPr>
            <w:tcW w:w="502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674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38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995" w:type="dxa"/>
            <w:gridSpan w:val="2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2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1" w:type="dxa"/>
            <w:gridSpan w:val="3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</w:p>
        </w:tc>
      </w:tr>
    </w:tbl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四、政府信息公开行政复议、行政诉讼情况</w:t>
      </w:r>
    </w:p>
    <w:tbl>
      <w:tblPr>
        <w:tblStyle w:val="2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8"/>
        <w:gridCol w:w="510"/>
        <w:gridCol w:w="500"/>
        <w:gridCol w:w="410"/>
        <w:gridCol w:w="740"/>
        <w:gridCol w:w="380"/>
        <w:gridCol w:w="480"/>
        <w:gridCol w:w="440"/>
        <w:gridCol w:w="410"/>
        <w:gridCol w:w="820"/>
        <w:gridCol w:w="590"/>
        <w:gridCol w:w="580"/>
        <w:gridCol w:w="510"/>
        <w:gridCol w:w="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68" w:type="dxa"/>
            <w:gridSpan w:val="5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行政复议</w:t>
            </w:r>
          </w:p>
        </w:tc>
        <w:tc>
          <w:tcPr>
            <w:tcW w:w="5810" w:type="dxa"/>
            <w:gridSpan w:val="10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08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结果维持</w:t>
            </w:r>
          </w:p>
        </w:tc>
        <w:tc>
          <w:tcPr>
            <w:tcW w:w="510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纠正</w:t>
            </w:r>
          </w:p>
        </w:tc>
        <w:tc>
          <w:tcPr>
            <w:tcW w:w="500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其他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</w:p>
        </w:tc>
        <w:tc>
          <w:tcPr>
            <w:tcW w:w="410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尚未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审结</w:t>
            </w:r>
          </w:p>
        </w:tc>
        <w:tc>
          <w:tcPr>
            <w:tcW w:w="740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总计</w:t>
            </w:r>
          </w:p>
        </w:tc>
        <w:tc>
          <w:tcPr>
            <w:tcW w:w="2530" w:type="dxa"/>
            <w:gridSpan w:val="5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未经复议直接起诉</w:t>
            </w:r>
          </w:p>
        </w:tc>
        <w:tc>
          <w:tcPr>
            <w:tcW w:w="3280" w:type="dxa"/>
            <w:gridSpan w:val="5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08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510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500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410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  <w:tc>
          <w:tcPr>
            <w:tcW w:w="3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维持</w:t>
            </w:r>
          </w:p>
        </w:tc>
        <w:tc>
          <w:tcPr>
            <w:tcW w:w="4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纠正</w:t>
            </w:r>
          </w:p>
        </w:tc>
        <w:tc>
          <w:tcPr>
            <w:tcW w:w="44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其他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</w:p>
        </w:tc>
        <w:tc>
          <w:tcPr>
            <w:tcW w:w="4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尚未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审结</w:t>
            </w:r>
          </w:p>
        </w:tc>
        <w:tc>
          <w:tcPr>
            <w:tcW w:w="82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总计</w:t>
            </w:r>
          </w:p>
        </w:tc>
        <w:tc>
          <w:tcPr>
            <w:tcW w:w="5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维持</w:t>
            </w:r>
          </w:p>
        </w:tc>
        <w:tc>
          <w:tcPr>
            <w:tcW w:w="5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结果</w:t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纠正</w:t>
            </w:r>
          </w:p>
        </w:tc>
        <w:tc>
          <w:tcPr>
            <w:tcW w:w="5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其他结果</w:t>
            </w:r>
          </w:p>
        </w:tc>
        <w:tc>
          <w:tcPr>
            <w:tcW w:w="50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尚未审结</w:t>
            </w:r>
          </w:p>
        </w:tc>
        <w:tc>
          <w:tcPr>
            <w:tcW w:w="110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08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4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74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3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4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44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4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82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9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8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1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50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  <w:t>0</w:t>
            </w:r>
          </w:p>
        </w:tc>
      </w:tr>
    </w:tbl>
    <w:p>
      <w:pPr>
        <w:widowControl w:val="0"/>
        <w:numPr>
          <w:numId w:val="0"/>
        </w:numPr>
        <w:spacing w:before="0" w:after="0" w:line="309" w:lineRule="auto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  <w:lang w:val="en-US" w:eastAsia="zh-CN"/>
        </w:rPr>
        <w:t>五</w:t>
      </w: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信息处理费统计情况</w:t>
      </w:r>
    </w:p>
    <w:tbl>
      <w:tblPr>
        <w:tblStyle w:val="2"/>
        <w:tblW w:w="8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838"/>
        <w:gridCol w:w="1209"/>
        <w:gridCol w:w="709"/>
        <w:gridCol w:w="45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本年度发出收费通知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部分政府信息申请人放弃申请，实际收取信息处理费用（元）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数量（件）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金额（元）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宋体" w:hAnsi="宋体" w:eastAsia="宋体" w:cs="宋体"/>
                <w:color w:val="424242"/>
                <w:spacing w:val="0"/>
                <w:position w:val="0"/>
                <w:sz w:val="24"/>
                <w:shd w:val="clear" w:fill="auto"/>
                <w:lang w:val="en-US" w:eastAsia="zh-CN"/>
              </w:rPr>
              <w:t>0</w:t>
            </w:r>
          </w:p>
        </w:tc>
      </w:tr>
    </w:tbl>
    <w:p>
      <w:pPr>
        <w:widowControl w:val="0"/>
        <w:spacing w:before="0" w:after="0" w:line="309" w:lineRule="auto"/>
        <w:ind w:right="0" w:firstLine="480" w:firstLineChars="20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  <w:lang w:val="en-US" w:eastAsia="zh-CN"/>
        </w:rPr>
        <w:t>六</w:t>
      </w: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、存在的主要问题及改进情况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2024年，在上级部门的指导下，我局不断提升政务公开和政务服务水平，但仍存在一些问题与不足，还存在信息发布量较少，信息公开面不够广，内容不够全面等问题。下来，我局将进一步完善工作机制，增强工作人员的政务公开意识，提高政务公开水平，不断丰富政务公开内容，确保门户网站各栏目信息及时、有效，不断提高我局信息公开工作水平。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  <w:lang w:val="en-US" w:eastAsia="zh-CN"/>
        </w:rPr>
        <w:t>七</w:t>
      </w: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、其他需要报告的事项</w:t>
      </w:r>
    </w:p>
    <w:p>
      <w:pPr>
        <w:widowControl w:val="0"/>
        <w:spacing w:before="0" w:after="0" w:line="309" w:lineRule="auto"/>
        <w:ind w:left="0" w:right="0" w:firstLine="0"/>
        <w:jc w:val="left"/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</w:pPr>
      <w:r>
        <w:rPr>
          <w:rFonts w:ascii="微软雅黑" w:hAnsi="微软雅黑" w:eastAsia="微软雅黑" w:cs="微软雅黑"/>
          <w:color w:val="424242"/>
          <w:spacing w:val="0"/>
          <w:position w:val="0"/>
          <w:sz w:val="24"/>
          <w:shd w:val="clear" w:fill="FFFFFF"/>
        </w:rPr>
        <w:t>　　无其他需要报告的事项。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20C45AC0"/>
    <w:rsid w:val="250C6B1F"/>
    <w:rsid w:val="2CA5154D"/>
    <w:rsid w:val="2F680418"/>
    <w:rsid w:val="30BE1396"/>
    <w:rsid w:val="34B51832"/>
    <w:rsid w:val="3BBD252D"/>
    <w:rsid w:val="496C34A3"/>
    <w:rsid w:val="67AD1AE2"/>
    <w:rsid w:val="7B960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2025-01-15T07:29:00Z</dcterms:created>
  <dc:creator>Administrator</dc:creator>
  <cp:lastModifiedBy>Administrator</cp:lastModifiedBy>
  <cp:lastPrinted>2025-01-15T08:29:00Z</cp:lastPrinted>
  <dcterms:modified xsi:type="dcterms:W3CDTF">2025-01-15T08:59:31Z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