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FF0000"/>
          <w:spacing w:val="280"/>
          <w:sz w:val="36"/>
          <w:szCs w:val="36"/>
        </w:rPr>
      </w:pPr>
    </w:p>
    <w:p>
      <w:pPr>
        <w:jc w:val="distribute"/>
        <w:rPr>
          <w:rFonts w:hint="eastAsia" w:ascii="方正小标宋简体" w:eastAsia="方正小标宋简体"/>
          <w:color w:val="FF000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sz w:val="84"/>
          <w:szCs w:val="84"/>
        </w:rPr>
        <w:t>兴宁市公安局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color w:val="FF0000"/>
          <w:spacing w:val="320"/>
          <w:sz w:val="52"/>
        </w:rPr>
      </w:pPr>
      <w:r>
        <w:rPr>
          <w:rFonts w:ascii="黑体" w:eastAsia="黑体"/>
          <w:color w:val="FF0000"/>
          <w:spacing w:val="320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372100" cy="635"/>
                <wp:effectExtent l="0" t="17145" r="0" b="2032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3.4pt;height:0.05pt;width:423pt;z-index:251660288;mso-width-relative:page;mso-height-relative:page;" filled="f" stroked="t" coordsize="21600,21600" o:gfxdata="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ihcxzXAAAABgEAAA8AAAAAAAAAAQAgAAAAIgAA&#10;AGRycy9kb3ducmV2LnhtbFBLAQIUABQAAAAIAIdO4kCPWYNh0AEAAJADAAAOAAAAAAAAAAEAIAAA&#10;ACYBAABkcnMvZTJvRG9jLnhtbFBLBQYAAAAABgAGAFkBAABo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color w:val="FF0000"/>
          <w:spacing w:val="32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372100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5.6pt;height:0.05pt;width:423pt;z-index:251659264;mso-width-relative:page;mso-height-relative:page;" filled="f" stroked="t" coordsize="21600,21600" o:gfxdata="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6LxCdQAAAAGAQAADwAAAAAAAAABACAAAAAiAAAAZHJz&#10;L2Rvd25yZXYueG1sUEsBAhQAFAAAAAgAh07iQC75FInPAQAAjwMAAA4AAAAAAAAAAQAgAAAAIwEA&#10;AGRycy9lMm9Eb2MueG1sUEsFBgAAAAAGAAYAWQEAAGQ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兴宁市公安局202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规定，现公布兴宁市公安局2024年政府信息公开工作年度报告。本报告由总体情况、主动公开政府信息情况、收到和处理政府信息公开申请情况、政府信息公开行政复议及行政诉讼情况、存在的主要问题及改进情况、其他需要报告的事项六部分组成。本年度报告中所列数据的统计期限自2024年1月1日起至12月31日止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局在市委、市政府的坚强领导下，严格执行《中华人民共和国政府信息公开条例》，按照省、市有关要求，不断加大警务信息公开力度，及时、准确地公开政府信息，积极回应群众诉求，维护人民群众切身利益，提高行政效率，切实做好政府信息公开工作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发挥网站服务和沟通引导作用，围绕中心工作，及时发布、更新政务动态、规范性文件，做好公示公告和重大决策意见征集。坚持“三审三校”原则，把好信息发布质量安全关，持续做好政府信息安全管理。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年，依托政务网站和新媒体公开政府信息数1</w:t>
      </w:r>
      <w:r>
        <w:rPr>
          <w:rFonts w:ascii="仿宋_GB2312" w:hAnsi="仿宋_GB2312" w:eastAsia="仿宋_GB2312" w:cs="仿宋_GB2312"/>
          <w:sz w:val="32"/>
          <w:szCs w:val="32"/>
        </w:rPr>
        <w:t>516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条，接收处理网民留言、投诉和举报</w:t>
      </w:r>
      <w:r>
        <w:rPr>
          <w:rFonts w:ascii="仿宋_GB2312" w:hAnsi="仿宋_GB2312" w:eastAsia="仿宋_GB2312" w:cs="仿宋_GB2312"/>
          <w:sz w:val="32"/>
          <w:szCs w:val="32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条，召开媒体通气会、媒体座谈会等活动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场，刊发稿件</w:t>
      </w:r>
      <w:r>
        <w:rPr>
          <w:rFonts w:ascii="仿宋_GB2312" w:hAnsi="仿宋_GB2312" w:eastAsia="仿宋_GB2312" w:cs="仿宋_GB2312"/>
          <w:sz w:val="32"/>
          <w:szCs w:val="32"/>
        </w:rPr>
        <w:t>1035</w:t>
      </w:r>
      <w:r>
        <w:rPr>
          <w:rFonts w:hint="eastAsia" w:ascii="仿宋_GB2312" w:hAnsi="仿宋_GB2312" w:eastAsia="仿宋_GB2312" w:cs="仿宋_GB2312"/>
          <w:sz w:val="32"/>
          <w:szCs w:val="32"/>
        </w:rPr>
        <w:t>篇（次）。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___WRD_EMBED_SUB_40" w:hAnsi="___WRD_EMBED_SUB_40" w:eastAsia="___WRD_EMBED_SUB_40" w:cs="___WRD_EMBED_SUB_40"/>
          <w:sz w:val="32"/>
          <w:szCs w:val="32"/>
        </w:rPr>
        <w:t>按照《政府信息公</w:t>
      </w:r>
      <w:r>
        <w:rPr>
          <w:rFonts w:hint="eastAsia" w:ascii="仿宋_GB2312" w:hAnsi="仿宋_GB2312" w:eastAsia="仿宋_GB2312" w:cs="仿宋_GB2312"/>
          <w:sz w:val="32"/>
          <w:szCs w:val="32"/>
        </w:rPr>
        <w:t>开条例》《广东省政府信息公开申请办理答复规范》等文件规定，依法依规妥善办理政府信息公开申</w:t>
      </w:r>
      <w:r>
        <w:rPr>
          <w:rFonts w:hint="eastAsia" w:ascii="___WRD_EMBED_SUB_40" w:hAnsi="___WRD_EMBED_SUB_40" w:eastAsia="___WRD_EMBED_SUB_40" w:cs="___WRD_EMBED_SUB_4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年，受理依申请公开政府信息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条，没有因信息公开引起的行政复议和行政诉讼案件。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明确政府信息公开工作职责和任务，进一步完善政府信息公开保密审查制度和信息审核发布制度，加强对拟公开政府信息的审核把关，不断提高对政府信息公开工作重要意义的认识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（四）平台建设方面。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政务新媒体账号专项梳理排查，规范公安新媒体矩阵建设，进一步完善备案认证和日常监管制度，不断提升政务公开信息化应用水平和工作效能，持续推动政府网站向融合化、智能化方向发展，不断完善政府网站集约化建设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安排专（兼）职政府信息公开工作人员负责日常监督管理，坚持“先审查、后公开”“谁审核、谁负责”原则，审核无误后及时公开，有效防止因公开端口太多而发生泄密的问题。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（六）解读回应方面。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加强政府网站“领导信箱”互动栏目管理，202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年共受理群众网络问政来信</w:t>
      </w:r>
      <w:r>
        <w:rPr>
          <w:rFonts w:ascii="仿宋_GB2312" w:hAnsi="仿宋_GB2312" w:eastAsia="仿宋_GB2312" w:cs="仿宋_GB2312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件，回复率100%。加强政策解读，按照“谁起草谁解读”原则，指导各单位对群众密切相关，涉及重大公共利益的文件进行解读。</w:t>
      </w:r>
    </w:p>
    <w:p>
      <w:pPr>
        <w:spacing w:line="520" w:lineRule="exact"/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10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725"/>
        <w:gridCol w:w="1605"/>
        <w:gridCol w:w="26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规章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行政规范性文件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t>109357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t>1834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t>21.65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61"/>
        <w:gridCol w:w="2449"/>
        <w:gridCol w:w="594"/>
        <w:gridCol w:w="782"/>
        <w:gridCol w:w="709"/>
        <w:gridCol w:w="680"/>
        <w:gridCol w:w="753"/>
        <w:gridCol w:w="666"/>
        <w:gridCol w:w="6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6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科研</w:t>
            </w:r>
          </w:p>
          <w:p>
            <w:pPr>
              <w:spacing w:line="520" w:lineRule="exact"/>
            </w:pPr>
            <w:r>
              <w:rPr>
                <w:rFonts w:hint="eastAsia"/>
              </w:rPr>
              <w:t>机构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（一）予以公开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0 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（三）不予公开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1.属于国家秘密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0 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3.危及“三安全一稳定”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4.保护第三方合法权益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5.属于三类内部事务信息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6.属于四类过程性信息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7.属于行政执法案卷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8.属于行政查询事项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（四）无法提供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（五）不予处理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1.信访举报投诉类申请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2.重复申请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3.要求提供公开出版物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（六）其他处理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2.申请人逾期未按通知要求缴纳费用、行政机关不再处理其政府信息公开申请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3.其他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四、政府信息公开行政复议、行政诉讼情况</w:t>
      </w: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0"/>
        <w:gridCol w:w="555"/>
        <w:gridCol w:w="600"/>
        <w:gridCol w:w="600"/>
        <w:gridCol w:w="600"/>
        <w:gridCol w:w="615"/>
        <w:gridCol w:w="601"/>
        <w:gridCol w:w="601"/>
        <w:gridCol w:w="601"/>
        <w:gridCol w:w="601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0" w:type="dxa"/>
            <w:gridSpan w:val="5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0" w:type="dxa"/>
            <w:gridSpan w:val="10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0" w:type="dxa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0" w:type="dxa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0" w:type="dxa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60" w:type="dxa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总计</w:t>
            </w:r>
          </w:p>
        </w:tc>
        <w:tc>
          <w:tcPr>
            <w:tcW w:w="2970" w:type="dxa"/>
            <w:gridSpan w:val="5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30" w:type="dxa"/>
            <w:gridSpan w:val="5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520" w:lineRule="exact"/>
            </w:pPr>
          </w:p>
        </w:tc>
        <w:tc>
          <w:tcPr>
            <w:tcW w:w="555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总计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 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5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20" w:lineRule="exact"/>
        <w:rPr>
          <w:b/>
          <w:bCs/>
        </w:rPr>
      </w:pPr>
      <w:r>
        <w:rPr>
          <w:rFonts w:hint="eastAsia"/>
          <w:b/>
          <w:bCs/>
        </w:rPr>
        <w:t>　　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年，我局政府信息公开工作稳步推进，但仍存在一些问题和不足。主要表现在：一是部分政务信息公开政策把握不够精准，工作人员主动公开意识及业务水平有待进一步提高。</w:t>
      </w:r>
      <w:r>
        <w:rPr>
          <w:rFonts w:hint="eastAsia" w:ascii="Calibri" w:hAnsi="Calibri" w:eastAsia="仿宋_GB2312" w:cs="Calibri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是公开的信息内容与群众需求还有一定差距，公开的信息内容丰富度、深度等方面与群众的要求不够匹配。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下来，我局将进一步加强政府信息公开相关工作，结合公安工作实际和群众需求组织开展政策解读、线上交流等互动，压实各栏目警种、部门公开责任，进一步拓展信息公开内容，把群众关心、社会关切的信息作为政务公开的重点内容，多种形式发布信息，进一步提升政府信息公开工作质量和政务公开水平。同时，不断提高政府信息公开工作人员政治素质和业务水平，增强对开展政府信息公开工作的认识，严格遵守工作时限，及时更新，确保政府信息公开工作按既定的工作流程有效运作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无其他需要报告的事项。</w:t>
      </w:r>
    </w:p>
    <w:p>
      <w:pPr>
        <w:spacing w:line="5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兴宁市公安局</w:t>
      </w:r>
    </w:p>
    <w:p>
      <w:pPr>
        <w:spacing w:line="52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right"/>
      </w:pPr>
      <w:r>
        <w:rPr>
          <w:rFonts w:hint="eastAsia"/>
        </w:rPr>
        <w:t>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D09C84-0B0F-40F0-8C39-7E9EEC4CD5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E72BCD6-7E0B-4322-8D3B-1140BF2B010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95E560-CC63-42EB-ADAC-175278CCBB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1819FA-D02D-42CB-A9A0-6A078B9FE0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81A91DC-57A9-481F-9257-0C043558D1D3}"/>
  </w:font>
  <w:font w:name="___WRD_EMBED_SUB_40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  <w:embedRegular r:id="rId6" w:fontKey="{1C448034-8747-4785-966B-2E649B063F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ODZiMjc0MjRlMmViOWY4ZGJhMTdjOWFkNmQzNTMifQ=="/>
  </w:docVars>
  <w:rsids>
    <w:rsidRoot w:val="00811AA9"/>
    <w:rsid w:val="00010755"/>
    <w:rsid w:val="0003512C"/>
    <w:rsid w:val="00050063"/>
    <w:rsid w:val="000B4B08"/>
    <w:rsid w:val="0022408A"/>
    <w:rsid w:val="00266026"/>
    <w:rsid w:val="0027428C"/>
    <w:rsid w:val="00307240"/>
    <w:rsid w:val="00391E5F"/>
    <w:rsid w:val="00546AF0"/>
    <w:rsid w:val="005E2900"/>
    <w:rsid w:val="00811AA9"/>
    <w:rsid w:val="009A1247"/>
    <w:rsid w:val="009C1588"/>
    <w:rsid w:val="00A101E0"/>
    <w:rsid w:val="00A64E3B"/>
    <w:rsid w:val="00BD7126"/>
    <w:rsid w:val="00C86DAB"/>
    <w:rsid w:val="00D47782"/>
    <w:rsid w:val="00EC45FA"/>
    <w:rsid w:val="00EC7D55"/>
    <w:rsid w:val="00F21253"/>
    <w:rsid w:val="05A0531C"/>
    <w:rsid w:val="068C2CB8"/>
    <w:rsid w:val="2BFD01F1"/>
    <w:rsid w:val="350C70D8"/>
    <w:rsid w:val="3CFB0370"/>
    <w:rsid w:val="3DD4755D"/>
    <w:rsid w:val="463F3B94"/>
    <w:rsid w:val="5BC1132E"/>
    <w:rsid w:val="5D6E87C6"/>
    <w:rsid w:val="5EA92062"/>
    <w:rsid w:val="6DD56DC4"/>
    <w:rsid w:val="6DDC1F7D"/>
    <w:rsid w:val="B6693B29"/>
    <w:rsid w:val="D57B9591"/>
    <w:rsid w:val="F7B8A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414</Words>
  <Characters>2360</Characters>
  <Lines>19</Lines>
  <Paragraphs>5</Paragraphs>
  <TotalTime>2</TotalTime>
  <ScaleCrop>false</ScaleCrop>
  <LinksUpToDate>false</LinksUpToDate>
  <CharactersWithSpaces>2769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2025-01-15T03:38:00Z</dcterms:created>
  <dc:creator>Microsoft 帐户</dc:creator>
  <cp:lastModifiedBy>Administrator</cp:lastModifiedBy>
  <dcterms:modified xsi:type="dcterms:W3CDTF">2025-01-16T03:37:53Z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FB2B40ABFA1C42CA91EA4288AAF6592E_13</vt:lpwstr>
  </property>
</Properties>
</file>