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AF21F">
      <w:pPr>
        <w:ind w:left="0" w:leftChars="0" w:firstLine="0" w:firstLineChars="0"/>
        <w:jc w:val="both"/>
      </w:pPr>
    </w:p>
    <w:p w14:paraId="75B76760">
      <w:pPr>
        <w:ind w:firstLine="0" w:firstLineChars="0"/>
        <w:jc w:val="center"/>
        <w:rPr>
          <w:rFonts w:ascii="方正小标宋简体" w:hAnsi="方正小标宋简体" w:eastAsia="方正小标宋简体" w:cs="方正小标宋简体"/>
          <w:color w:val="000000"/>
          <w:sz w:val="36"/>
          <w:szCs w:val="36"/>
        </w:rPr>
      </w:pPr>
      <w:bookmarkStart w:id="0" w:name="_GoBack"/>
      <w:r>
        <w:rPr>
          <w:rFonts w:hint="eastAsia" w:ascii="方正小标宋简体" w:hAnsi="方正小标宋简体" w:eastAsia="方正小标宋简体" w:cs="方正小标宋简体"/>
          <w:color w:val="000000"/>
          <w:sz w:val="36"/>
          <w:szCs w:val="36"/>
        </w:rPr>
        <w:t>《广东省历史文化名村兴宁市石马镇刁田村保护规划（2021—2035年）》主要规划内容</w:t>
      </w:r>
    </w:p>
    <w:bookmarkEnd w:id="0"/>
    <w:p w14:paraId="1805BF18">
      <w:pPr>
        <w:ind w:firstLine="0" w:firstLineChars="0"/>
        <w:jc w:val="left"/>
        <w:rPr>
          <w:b/>
          <w:bCs/>
          <w:szCs w:val="32"/>
        </w:rPr>
      </w:pPr>
    </w:p>
    <w:p w14:paraId="2F80C0E1">
      <w:pPr>
        <w:pStyle w:val="2"/>
        <w:numPr>
          <w:ilvl w:val="0"/>
          <w:numId w:val="2"/>
        </w:numPr>
        <w:spacing w:before="0" w:beforeLines="0" w:after="0" w:afterLines="0" w:line="580" w:lineRule="exact"/>
        <w:rPr>
          <w:rFonts w:ascii="黑体" w:hAnsi="黑体" w:eastAsia="黑体" w:cs="黑体"/>
          <w:b w:val="0"/>
          <w:bCs/>
          <w:sz w:val="32"/>
          <w:szCs w:val="32"/>
        </w:rPr>
      </w:pPr>
      <w:r>
        <w:rPr>
          <w:rFonts w:hint="eastAsia" w:ascii="黑体" w:hAnsi="黑体" w:eastAsia="黑体" w:cs="黑体"/>
          <w:b w:val="0"/>
          <w:bCs/>
          <w:sz w:val="32"/>
          <w:szCs w:val="32"/>
        </w:rPr>
        <w:t>项目概况</w:t>
      </w:r>
    </w:p>
    <w:p w14:paraId="79744450">
      <w:pPr>
        <w:spacing w:line="58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规划范围：石马镇刁田村村域，总面积约581.57公顷，包括李坑、健美、黄塘3个自然片区，17个村民小组。</w:t>
      </w:r>
    </w:p>
    <w:p w14:paraId="7C6DA353">
      <w:pPr>
        <w:spacing w:line="58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名村保护范围：即位于村域北部的各级文保单位、历史建筑、历史文化要素和传统风貌建筑集中区域，总面积约</w:t>
      </w:r>
      <w:r>
        <w:rPr>
          <w:rFonts w:hint="eastAsia" w:ascii="仿宋_GB2312" w:hAnsi="仿宋_GB2312" w:eastAsia="仿宋_GB2312" w:cs="仿宋_GB2312"/>
          <w:color w:val="000000"/>
          <w:sz w:val="32"/>
          <w:szCs w:val="32"/>
        </w:rPr>
        <w:t>99.9</w:t>
      </w:r>
      <w:r>
        <w:rPr>
          <w:rFonts w:ascii="仿宋_GB2312" w:hAnsi="仿宋_GB2312" w:eastAsia="仿宋_GB2312" w:cs="仿宋_GB2312"/>
          <w:color w:val="000000"/>
          <w:sz w:val="32"/>
          <w:szCs w:val="32"/>
        </w:rPr>
        <w:t>公顷。</w:t>
      </w:r>
    </w:p>
    <w:p w14:paraId="151FA782">
      <w:pPr>
        <w:pStyle w:val="2"/>
        <w:numPr>
          <w:ilvl w:val="0"/>
          <w:numId w:val="2"/>
        </w:numPr>
        <w:spacing w:before="0" w:beforeLines="0" w:after="0" w:afterLines="0" w:line="580" w:lineRule="exact"/>
        <w:rPr>
          <w:rFonts w:ascii="黑体" w:hAnsi="黑体" w:eastAsia="黑体" w:cs="黑体"/>
          <w:b w:val="0"/>
          <w:bCs/>
          <w:sz w:val="32"/>
          <w:szCs w:val="32"/>
        </w:rPr>
      </w:pPr>
      <w:r>
        <w:rPr>
          <w:rFonts w:hint="eastAsia" w:ascii="黑体" w:hAnsi="黑体" w:eastAsia="黑体" w:cs="黑体"/>
          <w:b w:val="0"/>
          <w:bCs/>
          <w:sz w:val="32"/>
          <w:szCs w:val="32"/>
        </w:rPr>
        <w:t>保护要素</w:t>
      </w:r>
    </w:p>
    <w:p w14:paraId="7A69DF8B">
      <w:pPr>
        <w:pStyle w:val="3"/>
        <w:tabs>
          <w:tab w:val="left" w:pos="420"/>
        </w:tabs>
        <w:spacing w:line="580" w:lineRule="exact"/>
        <w:ind w:left="0" w:firstLine="643" w:firstLineChars="200"/>
        <w:rPr>
          <w:rFonts w:ascii="楷体" w:hAnsi="楷体" w:eastAsia="楷体" w:cs="楷体"/>
          <w:sz w:val="32"/>
        </w:rPr>
      </w:pPr>
      <w:r>
        <w:rPr>
          <w:rFonts w:hint="eastAsia" w:ascii="楷体" w:hAnsi="楷体" w:eastAsia="楷体" w:cs="楷体"/>
          <w:sz w:val="32"/>
        </w:rPr>
        <w:t>物质文化遗产</w:t>
      </w:r>
    </w:p>
    <w:p w14:paraId="4AB1D5FA">
      <w:pPr>
        <w:numPr>
          <w:ilvl w:val="0"/>
          <w:numId w:val="3"/>
        </w:num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传统建筑16 处。包括不可移动文物 3 处（敦善围、朝阳第、松竹围）；推荐历史建筑1处（张家祠）；推荐传统风貌建筑4处（日升围、善继围、敦厚围、万石围）；其他传统民居8处（近日围、四角楼、孝安围、明德堂、荫城围、靖献围、滋德第、厚义围）。</w:t>
      </w:r>
    </w:p>
    <w:p w14:paraId="236AA2AD">
      <w:pPr>
        <w:numPr>
          <w:ilvl w:val="0"/>
          <w:numId w:val="3"/>
        </w:num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历史环境要素10处，包括日升古井、松竹围古井、四角楼南侧古井、万石围南侧古井、朝阳古井、滋德第古井、善继围阶梯、朝阳第路面、朴树、布惊树 。</w:t>
      </w:r>
    </w:p>
    <w:p w14:paraId="4CEF8BEE">
      <w:pPr>
        <w:pStyle w:val="3"/>
        <w:tabs>
          <w:tab w:val="left" w:pos="420"/>
        </w:tabs>
        <w:spacing w:line="580" w:lineRule="exact"/>
        <w:ind w:left="0" w:firstLine="643" w:firstLineChars="200"/>
        <w:rPr>
          <w:rFonts w:ascii="楷体" w:hAnsi="楷体" w:eastAsia="楷体" w:cs="楷体"/>
          <w:sz w:val="32"/>
        </w:rPr>
      </w:pPr>
      <w:r>
        <w:rPr>
          <w:rFonts w:hint="eastAsia" w:ascii="楷体" w:hAnsi="楷体" w:eastAsia="楷体" w:cs="楷体"/>
          <w:sz w:val="32"/>
        </w:rPr>
        <w:t>非物质文化遗产</w:t>
      </w:r>
    </w:p>
    <w:p w14:paraId="1CD8156F">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石马山歌、石马洞藏米酒工艺、舞狮、升灯仪式、接花灯、编织工艺、制作花灯工艺、崇文重教活动、民间故事、名人事迹。</w:t>
      </w:r>
    </w:p>
    <w:p w14:paraId="28BB1359">
      <w:pPr>
        <w:pStyle w:val="2"/>
        <w:numPr>
          <w:ilvl w:val="0"/>
          <w:numId w:val="2"/>
        </w:numPr>
        <w:spacing w:before="0" w:beforeLines="0" w:after="0" w:afterLines="0" w:line="580" w:lineRule="exact"/>
        <w:rPr>
          <w:rFonts w:ascii="黑体" w:hAnsi="黑体" w:eastAsia="黑体" w:cs="黑体"/>
          <w:b w:val="0"/>
          <w:bCs/>
          <w:sz w:val="32"/>
          <w:szCs w:val="32"/>
        </w:rPr>
      </w:pPr>
      <w:r>
        <w:rPr>
          <w:rFonts w:hint="eastAsia" w:ascii="黑体" w:hAnsi="黑体" w:eastAsia="黑体" w:cs="黑体"/>
          <w:b w:val="0"/>
          <w:bCs/>
          <w:sz w:val="32"/>
          <w:szCs w:val="32"/>
        </w:rPr>
        <w:t>名村保护范围的保护</w:t>
      </w:r>
    </w:p>
    <w:p w14:paraId="2BE216DF">
      <w:pPr>
        <w:pStyle w:val="3"/>
        <w:numPr>
          <w:ilvl w:val="1"/>
          <w:numId w:val="4"/>
        </w:numPr>
        <w:tabs>
          <w:tab w:val="left" w:pos="420"/>
        </w:tabs>
        <w:spacing w:line="580" w:lineRule="exact"/>
        <w:ind w:firstLine="643" w:firstLineChars="200"/>
        <w:rPr>
          <w:rFonts w:ascii="楷体" w:hAnsi="楷体" w:eastAsia="楷体" w:cs="楷体"/>
          <w:sz w:val="32"/>
        </w:rPr>
      </w:pPr>
      <w:r>
        <w:rPr>
          <w:rFonts w:hint="eastAsia" w:ascii="楷体" w:hAnsi="楷体" w:eastAsia="楷体" w:cs="楷体"/>
          <w:sz w:val="32"/>
        </w:rPr>
        <w:t>分级保护范围</w:t>
      </w:r>
    </w:p>
    <w:p w14:paraId="1B94452D">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规划名村保护范围包括核心保护范围、建设控制地带以及环境协调区。</w:t>
      </w:r>
    </w:p>
    <w:p w14:paraId="222E92DC">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核心保护范围：面积8.17公顷，北至近日围南部村道，南至敦厚围，西至四角楼，东至敦善围东部村道。</w:t>
      </w:r>
    </w:p>
    <w:p w14:paraId="6FC4CEA5">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建设控制地带：总面积17.93公顷，包括村落的其他建成区域以及与名村联系紧密的其他要素集中分布区域。</w:t>
      </w:r>
    </w:p>
    <w:p w14:paraId="6C389024">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环境协调区：面积共计73.79公顷，是名村传统风貌的外延与缓冲区域。</w:t>
      </w:r>
    </w:p>
    <w:p w14:paraId="50FEAD30">
      <w:pPr>
        <w:pStyle w:val="3"/>
        <w:numPr>
          <w:ilvl w:val="1"/>
          <w:numId w:val="4"/>
        </w:numPr>
        <w:tabs>
          <w:tab w:val="left" w:pos="420"/>
        </w:tabs>
        <w:spacing w:line="580" w:lineRule="exact"/>
        <w:ind w:firstLine="643" w:firstLineChars="200"/>
        <w:rPr>
          <w:rFonts w:ascii="楷体" w:hAnsi="楷体" w:eastAsia="楷体" w:cs="楷体"/>
          <w:sz w:val="32"/>
        </w:rPr>
      </w:pPr>
      <w:r>
        <w:rPr>
          <w:rFonts w:ascii="楷体" w:hAnsi="楷体" w:eastAsia="楷体" w:cs="楷体"/>
          <w:sz w:val="32"/>
        </w:rPr>
        <w:t>保护控制要求</w:t>
      </w:r>
    </w:p>
    <w:p w14:paraId="5546EADF">
      <w:pPr>
        <w:numPr>
          <w:ilvl w:val="0"/>
          <w:numId w:val="5"/>
        </w:numPr>
        <w:spacing w:line="580" w:lineRule="exact"/>
        <w:ind w:firstLine="643"/>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保护范围内的管控要求</w:t>
      </w:r>
    </w:p>
    <w:p w14:paraId="1CAD3E16">
      <w:pPr>
        <w:spacing w:line="58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在历史文化名村保护范围内从事建设活动，应当符合保护规划的要求，不得损害历史文化遗产的真实性和完整性，不得对其传统格局和历史风貌构成破坏性影响。</w:t>
      </w:r>
    </w:p>
    <w:p w14:paraId="3D339A00">
      <w:pPr>
        <w:spacing w:line="58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在历史文化名村保护范围内禁止进行下列活动：</w:t>
      </w:r>
    </w:p>
    <w:p w14:paraId="7FA7BAD4">
      <w:pPr>
        <w:numPr>
          <w:ilvl w:val="0"/>
          <w:numId w:val="6"/>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开山、采石、开矿等破坏传统格局和历史风貌的活动；</w:t>
      </w:r>
    </w:p>
    <w:p w14:paraId="60B74622">
      <w:pPr>
        <w:numPr>
          <w:ilvl w:val="0"/>
          <w:numId w:val="6"/>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占用保护规划确定保留的园林绿地、河湖水系、道路等；</w:t>
      </w:r>
    </w:p>
    <w:p w14:paraId="720A6E93">
      <w:pPr>
        <w:numPr>
          <w:ilvl w:val="0"/>
          <w:numId w:val="6"/>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修建生产、储存爆炸性、易燃性、放射性、毒害性、腐蚀性物品的工厂、仓库等；</w:t>
      </w:r>
    </w:p>
    <w:p w14:paraId="1540F0A5">
      <w:pPr>
        <w:numPr>
          <w:ilvl w:val="0"/>
          <w:numId w:val="6"/>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在历史建筑上刻划、涂污。</w:t>
      </w:r>
    </w:p>
    <w:p w14:paraId="775CAB80">
      <w:pPr>
        <w:spacing w:line="58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在历史文化名村保护范围内进行下列活动，应当保护其传统格局、历史风貌和历史建筑；制订保护方案，并依照有关法律法规的规定办理相关手续：</w:t>
      </w:r>
    </w:p>
    <w:p w14:paraId="392C4B3B">
      <w:pPr>
        <w:numPr>
          <w:ilvl w:val="0"/>
          <w:numId w:val="7"/>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改变园林绿地、河湖水系等自然状态的活动；</w:t>
      </w:r>
    </w:p>
    <w:p w14:paraId="734EE87A">
      <w:pPr>
        <w:numPr>
          <w:ilvl w:val="0"/>
          <w:numId w:val="7"/>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在核心保护范围内进行影视摄制、举办大型群众性活动；</w:t>
      </w:r>
    </w:p>
    <w:p w14:paraId="35398C8D">
      <w:pPr>
        <w:numPr>
          <w:ilvl w:val="0"/>
          <w:numId w:val="7"/>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其他影响传统格局、历史风貌或者历史建筑的活动。</w:t>
      </w:r>
    </w:p>
    <w:p w14:paraId="7BD1DD5A">
      <w:pPr>
        <w:spacing w:line="580" w:lineRule="exact"/>
        <w:ind w:firstLine="640"/>
        <w:rPr>
          <w:rFonts w:ascii="楷体" w:hAnsi="楷体" w:eastAsia="楷体" w:cs="楷体"/>
          <w:b/>
          <w:bCs/>
          <w:sz w:val="32"/>
          <w:szCs w:val="32"/>
        </w:rPr>
      </w:pPr>
      <w:r>
        <w:rPr>
          <w:rFonts w:ascii="仿宋_GB2312" w:hAnsi="仿宋_GB2312" w:eastAsia="仿宋_GB2312" w:cs="仿宋_GB2312"/>
          <w:color w:val="000000"/>
          <w:sz w:val="32"/>
          <w:szCs w:val="32"/>
        </w:rPr>
        <w:t>在历史文化名村保护范围内涉及文物保护的，应当执行文物保护法律法规的规定。</w:t>
      </w:r>
    </w:p>
    <w:p w14:paraId="3D25C79F">
      <w:pPr>
        <w:numPr>
          <w:ilvl w:val="0"/>
          <w:numId w:val="5"/>
        </w:numPr>
        <w:spacing w:line="580" w:lineRule="exact"/>
        <w:ind w:firstLine="643"/>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核心保护范围的管控要求</w:t>
      </w:r>
    </w:p>
    <w:p w14:paraId="6D67F766">
      <w:pPr>
        <w:numPr>
          <w:ilvl w:val="0"/>
          <w:numId w:val="8"/>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对历史文化名村核心保护范围内的建筑物、构筑物，应当区分不同情况，采取相应措施，实行分类保护。历史文化名村核心保护范围内的历史建筑，应当保持原有的高度、体量、外观形象及色彩等</w:t>
      </w:r>
      <w:r>
        <w:rPr>
          <w:rFonts w:hint="eastAsia" w:ascii="仿宋_GB2312" w:hAnsi="仿宋_GB2312" w:eastAsia="仿宋_GB2312" w:cs="仿宋_GB2312"/>
          <w:color w:val="000000"/>
          <w:sz w:val="32"/>
          <w:szCs w:val="32"/>
        </w:rPr>
        <w:t>。</w:t>
      </w:r>
    </w:p>
    <w:p w14:paraId="488AFFB0">
      <w:pPr>
        <w:numPr>
          <w:ilvl w:val="0"/>
          <w:numId w:val="8"/>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历史文化名村核心保护范围内，不得进行新建、扩建活动。但是，新建、扩建必要的基础设施和公共服务设施除外，新建建筑高度原则上为两层及以下。城市、县人民政府自然资源主管部门核发建设工程规划许可证、乡村建设规划许可证前，应当征求同级建设主管部门和同级文物主管部门的意见</w:t>
      </w:r>
      <w:r>
        <w:rPr>
          <w:rFonts w:hint="eastAsia" w:ascii="仿宋_GB2312" w:hAnsi="仿宋_GB2312" w:eastAsia="仿宋_GB2312" w:cs="仿宋_GB2312"/>
          <w:color w:val="000000"/>
          <w:sz w:val="32"/>
          <w:szCs w:val="32"/>
        </w:rPr>
        <w:t>。</w:t>
      </w:r>
    </w:p>
    <w:p w14:paraId="177FD1B1">
      <w:pPr>
        <w:numPr>
          <w:ilvl w:val="0"/>
          <w:numId w:val="8"/>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在历史文化名村核心保护范围内，拆除历史建筑以外的建筑物、构筑物或者其他设施的，应当经城市、县人民政府建设主管部门、自然资源主管部门会同同级文物主管部门批准</w:t>
      </w:r>
      <w:r>
        <w:rPr>
          <w:rFonts w:hint="eastAsia" w:ascii="仿宋_GB2312" w:hAnsi="仿宋_GB2312" w:eastAsia="仿宋_GB2312" w:cs="仿宋_GB2312"/>
          <w:color w:val="000000"/>
          <w:sz w:val="32"/>
          <w:szCs w:val="32"/>
        </w:rPr>
        <w:t>。</w:t>
      </w:r>
    </w:p>
    <w:p w14:paraId="1D9C231C">
      <w:pPr>
        <w:numPr>
          <w:ilvl w:val="0"/>
          <w:numId w:val="8"/>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审批历史文化名村核心保护范围内的建设活动，审批机关应当组织专家论证，并将审批事项予以公示，征求公众意见，告知利害关系人有要求举行听证的权利，公示时间不得少于20日</w:t>
      </w:r>
      <w:r>
        <w:rPr>
          <w:rFonts w:hint="eastAsia" w:ascii="仿宋_GB2312" w:hAnsi="仿宋_GB2312" w:eastAsia="仿宋_GB2312" w:cs="仿宋_GB2312"/>
          <w:color w:val="000000"/>
          <w:sz w:val="32"/>
          <w:szCs w:val="32"/>
        </w:rPr>
        <w:t>。</w:t>
      </w:r>
    </w:p>
    <w:p w14:paraId="09FB984E">
      <w:pPr>
        <w:numPr>
          <w:ilvl w:val="0"/>
          <w:numId w:val="8"/>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县人民政府应当在历史文化名村核心保护范围的主要出入口设置标志牌，任何单位和个人不得擅自设置、移动、涂改或者损毁标志牌</w:t>
      </w:r>
      <w:r>
        <w:rPr>
          <w:rFonts w:hint="eastAsia" w:ascii="仿宋_GB2312" w:hAnsi="仿宋_GB2312" w:eastAsia="仿宋_GB2312" w:cs="仿宋_GB2312"/>
          <w:color w:val="000000"/>
          <w:sz w:val="32"/>
          <w:szCs w:val="32"/>
        </w:rPr>
        <w:t>。</w:t>
      </w:r>
    </w:p>
    <w:p w14:paraId="140EA57B">
      <w:pPr>
        <w:numPr>
          <w:ilvl w:val="0"/>
          <w:numId w:val="8"/>
        </w:numPr>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历史文化名村核心保护</w:t>
      </w:r>
      <w:r>
        <w:rPr>
          <w:rFonts w:hint="eastAsia" w:ascii="仿宋_GB2312" w:hAnsi="仿宋_GB2312" w:eastAsia="仿宋_GB2312" w:cs="仿宋_GB2312"/>
          <w:color w:val="000000"/>
          <w:sz w:val="32"/>
          <w:szCs w:val="32"/>
        </w:rPr>
        <w:t>范围</w:t>
      </w:r>
      <w:r>
        <w:rPr>
          <w:rFonts w:ascii="仿宋_GB2312" w:hAnsi="仿宋_GB2312" w:eastAsia="仿宋_GB2312" w:cs="仿宋_GB2312"/>
          <w:color w:val="000000"/>
          <w:sz w:val="32"/>
          <w:szCs w:val="32"/>
        </w:rPr>
        <w:t>内的消防设施、消防通道，应当按照有关的消防技术标准和规范设置，确因历史文化名村的保护需要，无法按照标准和规范设置的，由县人民政府公安机关消防机构会同同级建设主管部门制定相应的防火安全保障方案。</w:t>
      </w:r>
    </w:p>
    <w:p w14:paraId="10EF1B8E">
      <w:pPr>
        <w:numPr>
          <w:ilvl w:val="0"/>
          <w:numId w:val="5"/>
        </w:numPr>
        <w:spacing w:line="580" w:lineRule="exact"/>
        <w:ind w:firstLine="643"/>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建设控制地带的管控要求</w:t>
      </w:r>
    </w:p>
    <w:p w14:paraId="4000CF15">
      <w:pPr>
        <w:numPr>
          <w:ilvl w:val="0"/>
          <w:numId w:val="9"/>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在历史文化名村建设控制地带内的建设活动应符合历史文化名村保护管控方面的总体要求以及历史文化名村保护范围内的管控要求。</w:t>
      </w:r>
    </w:p>
    <w:p w14:paraId="7A1530D1">
      <w:pPr>
        <w:numPr>
          <w:ilvl w:val="0"/>
          <w:numId w:val="9"/>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建构筑物、格局、街巷、院落、水系、古树名木等的保护整治不得破坏传统格局和历史风貌。</w:t>
      </w:r>
    </w:p>
    <w:p w14:paraId="19FEBA1D">
      <w:pPr>
        <w:numPr>
          <w:ilvl w:val="0"/>
          <w:numId w:val="9"/>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控制地带内的新建、改建建筑在高度、体量、色彩等方面应与片区的历史风貌相协调，现状建筑改造、改建等建设活动不允许突破原有建筑高度，新建建筑建筑高度原则上控制在三层及以下，确需突破三层的应征求相关部门及公众意见。对已建成的与历史风貌不协调的多层和高层建筑，在条件允许的情况下，进行循序渐进的整治或改造，逐步恢复名村的空间格局和历史环境。</w:t>
      </w:r>
    </w:p>
    <w:p w14:paraId="5C36AB7F">
      <w:pPr>
        <w:numPr>
          <w:ilvl w:val="0"/>
          <w:numId w:val="9"/>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整治更新应有计划、分阶段进行，避免大拆大建、避免统一的穿衣戴帽，历史遗存的活化利用，不应超出其可承受限度。</w:t>
      </w:r>
    </w:p>
    <w:p w14:paraId="385E137C">
      <w:pPr>
        <w:numPr>
          <w:ilvl w:val="0"/>
          <w:numId w:val="5"/>
        </w:numPr>
        <w:spacing w:line="580" w:lineRule="exact"/>
        <w:ind w:firstLine="643"/>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环境协调区</w:t>
      </w:r>
    </w:p>
    <w:p w14:paraId="0C1E488D">
      <w:pPr>
        <w:numPr>
          <w:ilvl w:val="0"/>
          <w:numId w:val="10"/>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历史文化名村环境协调区内的建设活动应符合历史文化名村保护管控方面的总体要求。</w:t>
      </w:r>
    </w:p>
    <w:p w14:paraId="00D20E29">
      <w:pPr>
        <w:numPr>
          <w:ilvl w:val="0"/>
          <w:numId w:val="10"/>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环境协调区应重点保护现有植被、山势、水系和田园风光，相关建设活动应尊重现状建筑肌理，促进区域内的建筑风貌特色与历史文化名村的传统建筑风貌协调与统一。</w:t>
      </w:r>
    </w:p>
    <w:p w14:paraId="1575F292">
      <w:pPr>
        <w:numPr>
          <w:ilvl w:val="0"/>
          <w:numId w:val="10"/>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在环境协调区内的建设活动涉及文物保护的，应当执行文物保护法律法规的规定。</w:t>
      </w:r>
    </w:p>
    <w:p w14:paraId="68E77CF1">
      <w:pPr>
        <w:pStyle w:val="3"/>
        <w:numPr>
          <w:ilvl w:val="1"/>
          <w:numId w:val="4"/>
        </w:numPr>
        <w:tabs>
          <w:tab w:val="left" w:pos="420"/>
        </w:tabs>
        <w:spacing w:line="580" w:lineRule="exact"/>
        <w:ind w:firstLine="643" w:firstLineChars="200"/>
        <w:rPr>
          <w:rFonts w:ascii="楷体" w:hAnsi="楷体" w:eastAsia="楷体" w:cs="楷体"/>
          <w:sz w:val="32"/>
        </w:rPr>
      </w:pPr>
      <w:r>
        <w:rPr>
          <w:rFonts w:hint="eastAsia" w:ascii="楷体" w:hAnsi="楷体" w:eastAsia="楷体" w:cs="楷体"/>
          <w:sz w:val="32"/>
        </w:rPr>
        <w:t>高度控制要求</w:t>
      </w:r>
    </w:p>
    <w:p w14:paraId="13B10DD8">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规划按照三个层次控制历史文化名村的建筑高度。</w:t>
      </w:r>
    </w:p>
    <w:p w14:paraId="0A6CE300">
      <w:pPr>
        <w:numPr>
          <w:ilvl w:val="0"/>
          <w:numId w:val="11"/>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类建筑高度控制区。核心保护范围内的建筑，应当保持历史传统的高度，除修缮整治外，不得随意新建、改建、扩建。如确有必要进行生活基础设施和公共服务设施新建、改建、扩建活动的，建筑新建、改建、改善或整治后层数不得超过2层，檐口限高为7米，建筑物室外地面至建筑物和构筑物最高点的高度控制在8米以内。</w:t>
      </w:r>
    </w:p>
    <w:p w14:paraId="0E4D2E13">
      <w:pPr>
        <w:numPr>
          <w:ilvl w:val="0"/>
          <w:numId w:val="11"/>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二类建筑高度控制区。建设控制地带内建筑新建、改建、改善或整治后高度不得超过3层，檐口限高为10米，建筑物室外地面至建筑物和构筑物最高点的高度控制在12米以内。</w:t>
      </w:r>
    </w:p>
    <w:p w14:paraId="41ED55C9">
      <w:pPr>
        <w:numPr>
          <w:ilvl w:val="0"/>
          <w:numId w:val="11"/>
        </w:num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类建筑高度控制区。环境协调区建筑高度控制主要考虑对景观视廊和整体风貌协调性进行控制。建筑新建、改建、改善或整治后高度不得超过4层，檐口限高为13米，建筑物室外地面至建筑物和构筑物最高点的高度控制在15米以内。</w:t>
      </w:r>
    </w:p>
    <w:p w14:paraId="4900D36A">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3FBB69B7">
      <w:pPr>
        <w:ind w:firstLine="0" w:firstLineChars="0"/>
        <w:rPr>
          <w:rFonts w:ascii="黑体" w:hAnsi="黑体" w:eastAsia="黑体" w:cs="黑体"/>
          <w:sz w:val="28"/>
          <w:szCs w:val="28"/>
        </w:rPr>
      </w:pPr>
      <w:r>
        <w:rPr>
          <w:rFonts w:hint="eastAsia" w:ascii="楷体" w:hAnsi="楷体" w:eastAsia="楷体" w:cs="楷体"/>
          <w:b/>
          <w:bCs/>
          <w:sz w:val="32"/>
          <w:szCs w:val="32"/>
        </w:rPr>
        <w:drawing>
          <wp:anchor distT="0" distB="0" distL="114300" distR="114300" simplePos="0" relativeHeight="251659264" behindDoc="0" locked="0" layoutInCell="1" allowOverlap="1">
            <wp:simplePos x="0" y="0"/>
            <wp:positionH relativeFrom="column">
              <wp:posOffset>-549275</wp:posOffset>
            </wp:positionH>
            <wp:positionV relativeFrom="paragraph">
              <wp:posOffset>394970</wp:posOffset>
            </wp:positionV>
            <wp:extent cx="6509385" cy="9206230"/>
            <wp:effectExtent l="0" t="0" r="5715" b="13970"/>
            <wp:wrapNone/>
            <wp:docPr id="1" name="图片 1" descr="06保护范围划定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保护范围划定图"/>
                    <pic:cNvPicPr>
                      <a:picLocks noChangeAspect="1"/>
                    </pic:cNvPicPr>
                  </pic:nvPicPr>
                  <pic:blipFill>
                    <a:blip r:embed="rId12"/>
                    <a:stretch>
                      <a:fillRect/>
                    </a:stretch>
                  </pic:blipFill>
                  <pic:spPr>
                    <a:xfrm>
                      <a:off x="0" y="0"/>
                      <a:ext cx="6509385" cy="9206230"/>
                    </a:xfrm>
                    <a:prstGeom prst="rect">
                      <a:avLst/>
                    </a:prstGeom>
                  </pic:spPr>
                </pic:pic>
              </a:graphicData>
            </a:graphic>
          </wp:anchor>
        </w:drawing>
      </w:r>
      <w:r>
        <w:rPr>
          <w:rFonts w:hint="eastAsia" w:ascii="黑体" w:hAnsi="黑体" w:eastAsia="黑体" w:cs="黑体"/>
          <w:sz w:val="28"/>
          <w:szCs w:val="28"/>
        </w:rPr>
        <w:t>附图 保护范围划定图</w:t>
      </w:r>
    </w:p>
    <w:p w14:paraId="13D37404">
      <w:pPr>
        <w:ind w:firstLine="643"/>
        <w:rPr>
          <w:rFonts w:ascii="楷体" w:hAnsi="楷体" w:eastAsia="楷体" w:cs="楷体"/>
          <w:b/>
          <w:bCs/>
          <w:sz w:val="32"/>
          <w:szCs w:val="32"/>
        </w:rPr>
      </w:pPr>
    </w:p>
    <w:p w14:paraId="32166B76">
      <w:pPr>
        <w:ind w:firstLine="643"/>
        <w:rPr>
          <w:rFonts w:ascii="楷体" w:hAnsi="楷体" w:eastAsia="楷体" w:cs="楷体"/>
          <w:b/>
          <w:bCs/>
          <w:sz w:val="32"/>
          <w:szCs w:val="32"/>
        </w:rPr>
      </w:pPr>
    </w:p>
    <w:p w14:paraId="21255593">
      <w:pPr>
        <w:ind w:firstLine="643"/>
        <w:rPr>
          <w:rFonts w:ascii="楷体" w:hAnsi="楷体" w:eastAsia="楷体" w:cs="楷体"/>
          <w:b/>
          <w:bCs/>
          <w:sz w:val="32"/>
          <w:szCs w:val="32"/>
        </w:rPr>
      </w:pPr>
    </w:p>
    <w:p w14:paraId="3050BBB9">
      <w:pPr>
        <w:ind w:firstLine="480"/>
        <w:jc w:val="left"/>
      </w:pPr>
    </w:p>
    <w:p w14:paraId="243E8173">
      <w:pPr>
        <w:ind w:firstLine="48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2F5B">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19B6">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AC75">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AE056">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60FEA">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319F8">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5B003"/>
    <w:multiLevelType w:val="singleLevel"/>
    <w:tmpl w:val="8105B003"/>
    <w:lvl w:ilvl="0" w:tentative="0">
      <w:start w:val="1"/>
      <w:numFmt w:val="decimal"/>
      <w:suff w:val="space"/>
      <w:lvlText w:val="(%1)"/>
      <w:lvlJc w:val="left"/>
      <w:pPr>
        <w:ind w:left="0" w:firstLine="0"/>
      </w:pPr>
      <w:rPr>
        <w:rFonts w:hint="default"/>
      </w:rPr>
    </w:lvl>
  </w:abstractNum>
  <w:abstractNum w:abstractNumId="1">
    <w:nsid w:val="88DEBCBE"/>
    <w:multiLevelType w:val="singleLevel"/>
    <w:tmpl w:val="88DEBCBE"/>
    <w:lvl w:ilvl="0" w:tentative="0">
      <w:start w:val="1"/>
      <w:numFmt w:val="decimal"/>
      <w:suff w:val="nothing"/>
      <w:lvlText w:val="%1、"/>
      <w:lvlJc w:val="left"/>
    </w:lvl>
  </w:abstractNum>
  <w:abstractNum w:abstractNumId="2">
    <w:nsid w:val="995D264B"/>
    <w:multiLevelType w:val="singleLevel"/>
    <w:tmpl w:val="995D264B"/>
    <w:lvl w:ilvl="0" w:tentative="0">
      <w:start w:val="1"/>
      <w:numFmt w:val="decimal"/>
      <w:suff w:val="space"/>
      <w:lvlText w:val="(%1)"/>
      <w:lvlJc w:val="left"/>
      <w:pPr>
        <w:ind w:left="0" w:firstLine="0"/>
      </w:pPr>
      <w:rPr>
        <w:rFonts w:hint="default"/>
      </w:rPr>
    </w:lvl>
  </w:abstractNum>
  <w:abstractNum w:abstractNumId="3">
    <w:nsid w:val="B0B83CF4"/>
    <w:multiLevelType w:val="singleLevel"/>
    <w:tmpl w:val="B0B83CF4"/>
    <w:lvl w:ilvl="0" w:tentative="0">
      <w:start w:val="1"/>
      <w:numFmt w:val="decimal"/>
      <w:suff w:val="space"/>
      <w:lvlText w:val="(%1)"/>
      <w:lvlJc w:val="left"/>
      <w:pPr>
        <w:ind w:left="0" w:firstLine="0"/>
      </w:pPr>
      <w:rPr>
        <w:rFonts w:hint="default"/>
      </w:rPr>
    </w:lvl>
  </w:abstractNum>
  <w:abstractNum w:abstractNumId="4">
    <w:nsid w:val="E438E90E"/>
    <w:multiLevelType w:val="multilevel"/>
    <w:tmpl w:val="E438E90E"/>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8B1099B"/>
    <w:multiLevelType w:val="singleLevel"/>
    <w:tmpl w:val="F8B1099B"/>
    <w:lvl w:ilvl="0" w:tentative="0">
      <w:start w:val="1"/>
      <w:numFmt w:val="decimal"/>
      <w:suff w:val="nothing"/>
      <w:lvlText w:val="%1、"/>
      <w:lvlJc w:val="left"/>
    </w:lvl>
  </w:abstractNum>
  <w:abstractNum w:abstractNumId="6">
    <w:nsid w:val="F9723D76"/>
    <w:multiLevelType w:val="singleLevel"/>
    <w:tmpl w:val="F9723D76"/>
    <w:lvl w:ilvl="0" w:tentative="0">
      <w:start w:val="1"/>
      <w:numFmt w:val="chineseCounting"/>
      <w:suff w:val="nothing"/>
      <w:lvlText w:val="%1、"/>
      <w:lvlJc w:val="left"/>
      <w:rPr>
        <w:rFonts w:hint="eastAsia"/>
      </w:rPr>
    </w:lvl>
  </w:abstractNum>
  <w:abstractNum w:abstractNumId="7">
    <w:nsid w:val="24BB528C"/>
    <w:multiLevelType w:val="singleLevel"/>
    <w:tmpl w:val="24BB528C"/>
    <w:lvl w:ilvl="0" w:tentative="0">
      <w:start w:val="1"/>
      <w:numFmt w:val="decimal"/>
      <w:suff w:val="space"/>
      <w:lvlText w:val="(%1)"/>
      <w:lvlJc w:val="left"/>
      <w:pPr>
        <w:ind w:left="0" w:firstLine="0"/>
      </w:pPr>
      <w:rPr>
        <w:rFonts w:hint="default"/>
      </w:rPr>
    </w:lvl>
  </w:abstractNum>
  <w:abstractNum w:abstractNumId="8">
    <w:nsid w:val="40A9B5B7"/>
    <w:multiLevelType w:val="singleLevel"/>
    <w:tmpl w:val="40A9B5B7"/>
    <w:lvl w:ilvl="0" w:tentative="0">
      <w:start w:val="1"/>
      <w:numFmt w:val="decimal"/>
      <w:suff w:val="space"/>
      <w:lvlText w:val="(%1)"/>
      <w:lvlJc w:val="left"/>
      <w:pPr>
        <w:ind w:left="0" w:firstLine="0"/>
      </w:pPr>
      <w:rPr>
        <w:rFonts w:hint="default"/>
      </w:rPr>
    </w:lvl>
  </w:abstractNum>
  <w:abstractNum w:abstractNumId="9">
    <w:nsid w:val="40E01A42"/>
    <w:multiLevelType w:val="singleLevel"/>
    <w:tmpl w:val="40E01A42"/>
    <w:lvl w:ilvl="0" w:tentative="0">
      <w:start w:val="1"/>
      <w:numFmt w:val="decimal"/>
      <w:suff w:val="space"/>
      <w:lvlText w:val="(%1)"/>
      <w:lvlJc w:val="left"/>
      <w:pPr>
        <w:ind w:left="0" w:firstLine="0"/>
      </w:pPr>
      <w:rPr>
        <w:rFonts w:hint="default"/>
      </w:rPr>
    </w:lvl>
  </w:abstractNum>
  <w:num w:numId="1">
    <w:abstractNumId w:val="4"/>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9"/>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43"/>
    <w:rsid w:val="000F4FC4"/>
    <w:rsid w:val="00155054"/>
    <w:rsid w:val="001C32FA"/>
    <w:rsid w:val="002C7FC0"/>
    <w:rsid w:val="00326F58"/>
    <w:rsid w:val="003F7132"/>
    <w:rsid w:val="00446A11"/>
    <w:rsid w:val="00452E66"/>
    <w:rsid w:val="008018E9"/>
    <w:rsid w:val="009F7A95"/>
    <w:rsid w:val="00D35DD8"/>
    <w:rsid w:val="00F14D43"/>
    <w:rsid w:val="015E6CE7"/>
    <w:rsid w:val="0185244B"/>
    <w:rsid w:val="03D026B7"/>
    <w:rsid w:val="06D54619"/>
    <w:rsid w:val="06E263F4"/>
    <w:rsid w:val="06EB37D4"/>
    <w:rsid w:val="0774305B"/>
    <w:rsid w:val="07C73F6F"/>
    <w:rsid w:val="0B7E2671"/>
    <w:rsid w:val="0CD11C10"/>
    <w:rsid w:val="0D3E2A21"/>
    <w:rsid w:val="0D900463"/>
    <w:rsid w:val="0DC64493"/>
    <w:rsid w:val="10D1072D"/>
    <w:rsid w:val="11DB48A0"/>
    <w:rsid w:val="127D2452"/>
    <w:rsid w:val="139A3313"/>
    <w:rsid w:val="14903125"/>
    <w:rsid w:val="15783949"/>
    <w:rsid w:val="15D26D2B"/>
    <w:rsid w:val="16763362"/>
    <w:rsid w:val="18EF5DE5"/>
    <w:rsid w:val="19FF6FE0"/>
    <w:rsid w:val="1B4A47F9"/>
    <w:rsid w:val="1BF35E17"/>
    <w:rsid w:val="1E37428D"/>
    <w:rsid w:val="1F5F1039"/>
    <w:rsid w:val="239C6D68"/>
    <w:rsid w:val="23A632BC"/>
    <w:rsid w:val="24C520F6"/>
    <w:rsid w:val="2614106A"/>
    <w:rsid w:val="265F13F3"/>
    <w:rsid w:val="26640A31"/>
    <w:rsid w:val="268B1AC1"/>
    <w:rsid w:val="26C14713"/>
    <w:rsid w:val="27454D98"/>
    <w:rsid w:val="27DD0CCB"/>
    <w:rsid w:val="293B1D0E"/>
    <w:rsid w:val="29E6778E"/>
    <w:rsid w:val="2AA70823"/>
    <w:rsid w:val="2AD3321C"/>
    <w:rsid w:val="2D101BAB"/>
    <w:rsid w:val="2E564CFA"/>
    <w:rsid w:val="31CF2AA7"/>
    <w:rsid w:val="31DE3BAA"/>
    <w:rsid w:val="34086B47"/>
    <w:rsid w:val="37AA7266"/>
    <w:rsid w:val="38896AE0"/>
    <w:rsid w:val="3A5E20CC"/>
    <w:rsid w:val="3BE859BF"/>
    <w:rsid w:val="3D7062E7"/>
    <w:rsid w:val="3E7031A5"/>
    <w:rsid w:val="41045E2E"/>
    <w:rsid w:val="422179D5"/>
    <w:rsid w:val="432F282E"/>
    <w:rsid w:val="43F55226"/>
    <w:rsid w:val="44A452DA"/>
    <w:rsid w:val="48BB1632"/>
    <w:rsid w:val="49A511F2"/>
    <w:rsid w:val="4AFF0A76"/>
    <w:rsid w:val="4BBA1ED6"/>
    <w:rsid w:val="4C9F5959"/>
    <w:rsid w:val="4DDA58DA"/>
    <w:rsid w:val="4F590569"/>
    <w:rsid w:val="4F733605"/>
    <w:rsid w:val="50BF6330"/>
    <w:rsid w:val="51553F54"/>
    <w:rsid w:val="515C173A"/>
    <w:rsid w:val="51C230D6"/>
    <w:rsid w:val="51C330E8"/>
    <w:rsid w:val="535D02E8"/>
    <w:rsid w:val="545C58C2"/>
    <w:rsid w:val="589F6207"/>
    <w:rsid w:val="594F2AAA"/>
    <w:rsid w:val="596B2286"/>
    <w:rsid w:val="598463F8"/>
    <w:rsid w:val="59BC4754"/>
    <w:rsid w:val="5A717460"/>
    <w:rsid w:val="5C2869E8"/>
    <w:rsid w:val="5DA12E23"/>
    <w:rsid w:val="5E9F08E8"/>
    <w:rsid w:val="5F1F3792"/>
    <w:rsid w:val="5F732EC6"/>
    <w:rsid w:val="60392C7D"/>
    <w:rsid w:val="61824978"/>
    <w:rsid w:val="62136BD3"/>
    <w:rsid w:val="638E5C58"/>
    <w:rsid w:val="69A0335C"/>
    <w:rsid w:val="6B3C6DB8"/>
    <w:rsid w:val="6C87315C"/>
    <w:rsid w:val="6DAB0557"/>
    <w:rsid w:val="6DC70216"/>
    <w:rsid w:val="70F72C0D"/>
    <w:rsid w:val="74494B95"/>
    <w:rsid w:val="744F4048"/>
    <w:rsid w:val="74CA38E6"/>
    <w:rsid w:val="76377FC1"/>
    <w:rsid w:val="78820C0E"/>
    <w:rsid w:val="79615E11"/>
    <w:rsid w:val="798C1DEA"/>
    <w:rsid w:val="7A075577"/>
    <w:rsid w:val="7A523E08"/>
    <w:rsid w:val="7A5D3420"/>
    <w:rsid w:val="7C8A19F7"/>
    <w:rsid w:val="7D5A0B57"/>
    <w:rsid w:val="7F1B7BDF"/>
    <w:rsid w:val="7FCF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ind w:firstLineChars="0"/>
      <w:outlineLvl w:val="0"/>
    </w:pPr>
    <w:rPr>
      <w:rFonts w:ascii="宋体" w:hAnsi="宋体" w:cs="宋体"/>
      <w:b/>
      <w:color w:val="000000"/>
      <w:kern w:val="44"/>
      <w:sz w:val="28"/>
    </w:rPr>
  </w:style>
  <w:style w:type="paragraph" w:styleId="3">
    <w:name w:val="heading 2"/>
    <w:basedOn w:val="1"/>
    <w:next w:val="1"/>
    <w:unhideWhenUsed/>
    <w:qFormat/>
    <w:uiPriority w:val="0"/>
    <w:pPr>
      <w:keepNext/>
      <w:keepLines/>
      <w:numPr>
        <w:ilvl w:val="1"/>
        <w:numId w:val="1"/>
      </w:numPr>
      <w:ind w:left="575" w:hanging="575" w:firstLineChars="0"/>
      <w:outlineLvl w:val="1"/>
    </w:pPr>
    <w:rPr>
      <w:rFonts w:ascii="Calibri Light" w:hAnsi="Calibri Light" w:cs="Times New Roman"/>
      <w:b/>
      <w:bCs/>
      <w:color w:val="00000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2953</Words>
  <Characters>3080</Characters>
  <Lines>22</Lines>
  <Paragraphs>6</Paragraphs>
  <TotalTime>4</TotalTime>
  <ScaleCrop>false</ScaleCrop>
  <LinksUpToDate>false</LinksUpToDate>
  <CharactersWithSpaces>3085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住建局信访业务员</cp:lastModifiedBy>
  <dcterms:modified xsi:type="dcterms:W3CDTF">2025-02-28T01:17:12Z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8C3A5904A2C649EB86424FF0BA97DFF6_13</vt:lpwstr>
  </property>
  <property fmtid="{D5CDD505-2E9C-101B-9397-08002B2CF9AE}" pid="4" name="KSOTemplateDocerSaveRecord">
    <vt:lpwstr>eyJoZGlkIjoiYjAzN2Y0NDdiOWVlMDZkOGM1YTk4YjhmZDQ0MmFhNTAifQ==</vt:lpwstr>
  </property>
</Properties>
</file>