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7A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《兴宁市石马镇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向前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多规合一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实用性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村庄规划（202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-2035年）》</w:t>
      </w:r>
    </w:p>
    <w:p w14:paraId="64DC1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主要规划内容</w:t>
      </w:r>
    </w:p>
    <w:p w14:paraId="73BA0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/>
          <w:b/>
          <w:bCs/>
          <w:szCs w:val="32"/>
        </w:rPr>
      </w:pPr>
    </w:p>
    <w:p w14:paraId="6C4FDD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规划范围</w:t>
      </w:r>
    </w:p>
    <w:p w14:paraId="7BC90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以第三次国土调查的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向前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村行政村界线为规划范围，村域总面积约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2.07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平方公里。包括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河东片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河西片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共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个自然村。</w:t>
      </w:r>
    </w:p>
    <w:p w14:paraId="43346A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发展定位</w:t>
      </w:r>
      <w:bookmarkStart w:id="0" w:name="_GoBack"/>
      <w:bookmarkEnd w:id="0"/>
    </w:p>
    <w:p w14:paraId="16168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宜居宜游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文旅向前。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以农业种植为先导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向前村水稻、百香果田园综合体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打造为重点，挖掘乡村传统文化和乡俗风情，推动乡村旅游精品化、品牌化发展。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大力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提高乡村一二三产业融合发展水平，提升乡村产业质量效益，增强乡村产业发展内生动力持续。将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向前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村打造为集文体休闲、农业生产、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生态观光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文旅服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务于一体的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三产融合示范村及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石马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农旅休闲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典型示范村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57ACC2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底线管控</w:t>
      </w:r>
    </w:p>
    <w:p w14:paraId="47A91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城镇开发边界：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向前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涉及城镇开发边界。</w:t>
      </w:r>
    </w:p>
    <w:p w14:paraId="541E7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生态保护红线：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向前村落实生态保护红线44.98公顷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26F91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永久基本农田：落实保护面积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14.44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公顷，永久基本农田一经划定，任何单位和个人不得擅自占用或者擅自改变用途。</w:t>
      </w:r>
    </w:p>
    <w:p w14:paraId="50E8D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耕地保护目标：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17.35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公顷。不得随意占用耕地，确实占用的，应经村民小组确认，村委会审查同意出具书面意见后，由镇政府按程序办理相关报批手续。</w:t>
      </w:r>
    </w:p>
    <w:p w14:paraId="70AB0F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发展格局</w:t>
      </w:r>
    </w:p>
    <w:p w14:paraId="2CC85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“一心一轴一带三片多节点”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为格局，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尊重村庄现状资源分布和条件，规划形成“一心一轴一带三片多节点”的村庄发展格局，打造田园综合体、休闲广场、乡村舞台、精品农家乐、石马河碧道等多处休闲旅游体验节点，促进向前村乡村振兴和文旅发展。</w:t>
      </w:r>
    </w:p>
    <w:p w14:paraId="715EE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一心：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村庄综合服务核心兼游客服务核心。村庄综合服务核心依托现有村委会提供村庄公共服务，协调向前村整体发展。</w:t>
      </w:r>
    </w:p>
    <w:p w14:paraId="687DE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一轴：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沿县道X013形成带动全村农业种植、乡村旅游多产业联动发展的村庄综合发展轴。</w:t>
      </w:r>
    </w:p>
    <w:p w14:paraId="72430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一带：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石马河滨水景观带。以石马河为依托，对现状河道清淤改造，增加护坡，打造石马河生态滨水景观带。</w:t>
      </w:r>
    </w:p>
    <w:p w14:paraId="63153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三片：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人文生活居住区、现代农业发展区、绿色生态林业区。</w:t>
      </w:r>
    </w:p>
    <w:p w14:paraId="157A3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多节点：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整合村庄现有特色资源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结合“六村联动”新农村建设示范区，打造百香果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田园综合体、休闲广场、乡村舞台、精品农家乐、石马河碧道等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景观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节点。</w:t>
      </w:r>
    </w:p>
    <w:p w14:paraId="493955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建设空间安排</w:t>
      </w:r>
    </w:p>
    <w:p w14:paraId="6815662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落实上位规划底线管控以及对本村的发展定位，同时结合村庄自身建设需求。至规划期末，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向前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村城乡建设用地规模为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13.24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其中城镇建设用地0.34公顷，村庄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建设用地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12.90公顷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。村庄区域基础设施用地面积为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3.56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他建设用地面积为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7.75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公顷。</w:t>
      </w:r>
    </w:p>
    <w:p w14:paraId="427ADE6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420360" cy="3832860"/>
            <wp:effectExtent l="0" t="0" r="8890" b="15240"/>
            <wp:docPr id="1" name="图片 1" descr="05 村庄规划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 村庄规划总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069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图：村庄规划总图</w:t>
      </w:r>
    </w:p>
    <w:p w14:paraId="1E87AF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宅基地建设及风貌管控</w:t>
      </w:r>
    </w:p>
    <w:p w14:paraId="333D1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严格执行“农村村民一户只能拥有一处宅基地”的法律规定，根据《兴宁市人民政府关于印发兴宁市规范农村建房管理实施细则（试行）的通知》（兴市府〔2014〕59号），村民建房每户宅基地面积不得超过150平方米，建筑面积不超过450平方米，建筑层数不得超过4层且建筑高度不能超过15米（含楼梯间），鼓励采用坡屋顶。</w:t>
      </w:r>
    </w:p>
    <w:p w14:paraId="3FB7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新建农村住房应依据《兴宁市规范农村建房管理实施细则（试行）》参考《兴宁市农村住宅建筑设计图集》提供的客家风格建筑进行建设。新建农房应注重突出</w:t>
      </w: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向前</w:t>
      </w: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村的乡村特色和客家民居建筑风格，在充分尊重村民意愿的基础上，对传统民居进行提升，对与传统风貌不协调的现代建筑进行整治。</w:t>
      </w:r>
    </w:p>
    <w:p w14:paraId="16BBB8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村庄建设规划</w:t>
      </w:r>
    </w:p>
    <w:p w14:paraId="1595F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近期建设以推动高质量发展为主题，结合广东省“百千万工程”典型村创建标准，依据和美乡业、和美乡貌、和美乡建、和美乡风、和美乡境、和美乡智、和美乡治等七大分类标准，建设产业兴旺、风貌怡人、惠民便利、文化厚重、生态秀丽、运行高效、治理有效的宜居村庄。</w:t>
      </w:r>
    </w:p>
    <w:p w14:paraId="6E345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向前村近期建设涉及产业发展、历史文化、公共服务设施建设、基础设施建设、人居环境整治、生态修复整治等六个方面，共投入资金约2398万元。</w:t>
      </w:r>
    </w:p>
    <w:p w14:paraId="3DEA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7820D88A">
      <w:pPr>
        <w:ind w:firstLineChars="0"/>
        <w:jc w:val="left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CEB5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647C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349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1535F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7E6C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D93CD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23D76"/>
    <w:multiLevelType w:val="singleLevel"/>
    <w:tmpl w:val="F9723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43"/>
    <w:rsid w:val="00033C94"/>
    <w:rsid w:val="000463F3"/>
    <w:rsid w:val="00090627"/>
    <w:rsid w:val="001155D3"/>
    <w:rsid w:val="00126178"/>
    <w:rsid w:val="001274F3"/>
    <w:rsid w:val="001714CE"/>
    <w:rsid w:val="001719C8"/>
    <w:rsid w:val="001E3273"/>
    <w:rsid w:val="001F0D0E"/>
    <w:rsid w:val="001F6A9D"/>
    <w:rsid w:val="001F76BA"/>
    <w:rsid w:val="00202F2B"/>
    <w:rsid w:val="002902D6"/>
    <w:rsid w:val="002C7FC0"/>
    <w:rsid w:val="00311DFC"/>
    <w:rsid w:val="00353F4A"/>
    <w:rsid w:val="00365EC5"/>
    <w:rsid w:val="003850CB"/>
    <w:rsid w:val="003D6557"/>
    <w:rsid w:val="003F7217"/>
    <w:rsid w:val="004038FC"/>
    <w:rsid w:val="00452E66"/>
    <w:rsid w:val="00470C00"/>
    <w:rsid w:val="00471502"/>
    <w:rsid w:val="00474060"/>
    <w:rsid w:val="00491C2C"/>
    <w:rsid w:val="004B46C9"/>
    <w:rsid w:val="004E0747"/>
    <w:rsid w:val="004E5BD8"/>
    <w:rsid w:val="004F1F44"/>
    <w:rsid w:val="00506E34"/>
    <w:rsid w:val="00565841"/>
    <w:rsid w:val="00585C9F"/>
    <w:rsid w:val="00676C9D"/>
    <w:rsid w:val="00696FCF"/>
    <w:rsid w:val="006D7B33"/>
    <w:rsid w:val="006E77A2"/>
    <w:rsid w:val="0072135A"/>
    <w:rsid w:val="0073661E"/>
    <w:rsid w:val="00741599"/>
    <w:rsid w:val="007426E5"/>
    <w:rsid w:val="007870C7"/>
    <w:rsid w:val="008843A2"/>
    <w:rsid w:val="008E7484"/>
    <w:rsid w:val="00904209"/>
    <w:rsid w:val="00951A7B"/>
    <w:rsid w:val="00964065"/>
    <w:rsid w:val="009F3BF7"/>
    <w:rsid w:val="00A600E9"/>
    <w:rsid w:val="00AA60F7"/>
    <w:rsid w:val="00BB72A1"/>
    <w:rsid w:val="00BC08AB"/>
    <w:rsid w:val="00C003C8"/>
    <w:rsid w:val="00C04345"/>
    <w:rsid w:val="00C44FD6"/>
    <w:rsid w:val="00C61E00"/>
    <w:rsid w:val="00C6716C"/>
    <w:rsid w:val="00C9752D"/>
    <w:rsid w:val="00CD2388"/>
    <w:rsid w:val="00D03E18"/>
    <w:rsid w:val="00D14EE2"/>
    <w:rsid w:val="00D828A5"/>
    <w:rsid w:val="00DD298F"/>
    <w:rsid w:val="00DD2E50"/>
    <w:rsid w:val="00E26664"/>
    <w:rsid w:val="00EA1D13"/>
    <w:rsid w:val="00ED278B"/>
    <w:rsid w:val="00ED29C0"/>
    <w:rsid w:val="00EF27FA"/>
    <w:rsid w:val="00F07D32"/>
    <w:rsid w:val="00F14D43"/>
    <w:rsid w:val="00FB28BC"/>
    <w:rsid w:val="00FC1DF4"/>
    <w:rsid w:val="015E6CE7"/>
    <w:rsid w:val="0185244B"/>
    <w:rsid w:val="01B03FA5"/>
    <w:rsid w:val="06D54619"/>
    <w:rsid w:val="06E263F4"/>
    <w:rsid w:val="07C73F6F"/>
    <w:rsid w:val="0B7E2671"/>
    <w:rsid w:val="0CD11C10"/>
    <w:rsid w:val="0D3E2A21"/>
    <w:rsid w:val="0D900463"/>
    <w:rsid w:val="0DC64493"/>
    <w:rsid w:val="0FB0484A"/>
    <w:rsid w:val="10495018"/>
    <w:rsid w:val="10D1072D"/>
    <w:rsid w:val="11DB48A0"/>
    <w:rsid w:val="127D2452"/>
    <w:rsid w:val="139A3313"/>
    <w:rsid w:val="14903125"/>
    <w:rsid w:val="15D26D2B"/>
    <w:rsid w:val="16763362"/>
    <w:rsid w:val="18EF5DE5"/>
    <w:rsid w:val="19FF6FE0"/>
    <w:rsid w:val="1B4A47F9"/>
    <w:rsid w:val="1BF35E17"/>
    <w:rsid w:val="1F5F1039"/>
    <w:rsid w:val="239C6D68"/>
    <w:rsid w:val="23A632BC"/>
    <w:rsid w:val="24C520F6"/>
    <w:rsid w:val="2614106A"/>
    <w:rsid w:val="265F13F3"/>
    <w:rsid w:val="26640A31"/>
    <w:rsid w:val="268B1AC1"/>
    <w:rsid w:val="26C14713"/>
    <w:rsid w:val="27454D98"/>
    <w:rsid w:val="27DD0CCB"/>
    <w:rsid w:val="28C53E5C"/>
    <w:rsid w:val="29695BC0"/>
    <w:rsid w:val="29E6778E"/>
    <w:rsid w:val="2AA70823"/>
    <w:rsid w:val="2BB03413"/>
    <w:rsid w:val="2D101BAB"/>
    <w:rsid w:val="2E564CFA"/>
    <w:rsid w:val="31DE3BAA"/>
    <w:rsid w:val="34086B47"/>
    <w:rsid w:val="37AA7266"/>
    <w:rsid w:val="38896AE0"/>
    <w:rsid w:val="3A5E20CC"/>
    <w:rsid w:val="3BE859BF"/>
    <w:rsid w:val="3D7062E7"/>
    <w:rsid w:val="3E7031A5"/>
    <w:rsid w:val="3F936693"/>
    <w:rsid w:val="41045E2E"/>
    <w:rsid w:val="41A34C7E"/>
    <w:rsid w:val="422179D5"/>
    <w:rsid w:val="432F282E"/>
    <w:rsid w:val="43F55226"/>
    <w:rsid w:val="44A452DA"/>
    <w:rsid w:val="48BB1632"/>
    <w:rsid w:val="4AFF0A76"/>
    <w:rsid w:val="4DDA58DA"/>
    <w:rsid w:val="4F24364A"/>
    <w:rsid w:val="4F414F00"/>
    <w:rsid w:val="4F4461FF"/>
    <w:rsid w:val="4F590569"/>
    <w:rsid w:val="4F733605"/>
    <w:rsid w:val="50BF6330"/>
    <w:rsid w:val="51553F54"/>
    <w:rsid w:val="515C173A"/>
    <w:rsid w:val="51C230D6"/>
    <w:rsid w:val="51C330E8"/>
    <w:rsid w:val="522C17CB"/>
    <w:rsid w:val="545C58C2"/>
    <w:rsid w:val="56E9047B"/>
    <w:rsid w:val="56F4100D"/>
    <w:rsid w:val="589F6207"/>
    <w:rsid w:val="594F2AAA"/>
    <w:rsid w:val="596A5151"/>
    <w:rsid w:val="596B2286"/>
    <w:rsid w:val="598463F8"/>
    <w:rsid w:val="59BC4754"/>
    <w:rsid w:val="5A717460"/>
    <w:rsid w:val="5A795DCE"/>
    <w:rsid w:val="5DA12E23"/>
    <w:rsid w:val="5E9F08E8"/>
    <w:rsid w:val="5F732EC6"/>
    <w:rsid w:val="60392C7D"/>
    <w:rsid w:val="62136BD3"/>
    <w:rsid w:val="638E5C58"/>
    <w:rsid w:val="66D2581B"/>
    <w:rsid w:val="69A0335C"/>
    <w:rsid w:val="6A35569A"/>
    <w:rsid w:val="6C87315C"/>
    <w:rsid w:val="6DC70216"/>
    <w:rsid w:val="6DDC6F6C"/>
    <w:rsid w:val="70F72C0D"/>
    <w:rsid w:val="71032AC5"/>
    <w:rsid w:val="74494B95"/>
    <w:rsid w:val="74CA38E6"/>
    <w:rsid w:val="76377FC1"/>
    <w:rsid w:val="78820C0E"/>
    <w:rsid w:val="79615E11"/>
    <w:rsid w:val="798C1DEA"/>
    <w:rsid w:val="7A075577"/>
    <w:rsid w:val="7A5D3420"/>
    <w:rsid w:val="7AF00803"/>
    <w:rsid w:val="7C8A19F7"/>
    <w:rsid w:val="7F1B7BDF"/>
    <w:rsid w:val="7FC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200"/>
      <w:jc w:val="left"/>
    </w:pPr>
    <w:rPr>
      <w:rFonts w:ascii="宋体" w:hAnsi="宋体" w:eastAsia="华文细黑" w:cs="宋体"/>
      <w:kern w:val="0"/>
    </w:rPr>
  </w:style>
  <w:style w:type="character" w:styleId="9">
    <w:name w:val="footnote reference"/>
    <w:basedOn w:val="8"/>
    <w:qFormat/>
    <w:uiPriority w:val="99"/>
    <w:rPr>
      <w:vertAlign w:val="superscript"/>
    </w:rPr>
  </w:style>
  <w:style w:type="table" w:customStyle="1" w:styleId="10">
    <w:name w:val="网格型1"/>
    <w:basedOn w:val="7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</w:style>
  <w:style w:type="paragraph" w:customStyle="1" w:styleId="12">
    <w:name w:val="图片"/>
    <w:basedOn w:val="1"/>
    <w:qFormat/>
    <w:uiPriority w:val="0"/>
    <w:pPr>
      <w:ind w:firstLine="480"/>
      <w:jc w:val="left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1364</Words>
  <Characters>1419</Characters>
  <Lines>13</Lines>
  <Paragraphs>3</Paragraphs>
  <TotalTime>38</TotalTime>
  <ScaleCrop>false</ScaleCrop>
  <LinksUpToDate>false</LinksUpToDate>
  <CharactersWithSpaces>1419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2024-01-17T09:16:00Z</dcterms:created>
  <dc:creator>Administrator</dc:creator>
  <cp:lastModifiedBy>Swei-Liu</cp:lastModifiedBy>
  <dcterms:modified xsi:type="dcterms:W3CDTF">2025-06-20T02:55:49Z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D0ACCF3D4979413BA22DAF2D4F82C3B6_13</vt:lpwstr>
  </property>
  <property fmtid="{D5CDD505-2E9C-101B-9397-08002B2CF9AE}" pid="4" name="KSOTemplateDocerSaveRecord">
    <vt:lpwstr>eyJoZGlkIjoiNTNiMzRiOGM1ODkzOThiNGVjNjUxODIzOWM2ZDYwYTYiLCJ1c2VySWQiOiIzMzY1MDQzODMifQ==</vt:lpwstr>
  </property>
</Properties>
</file>