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19D90">
      <w:pPr>
        <w:spacing w:line="660" w:lineRule="exact"/>
        <w:jc w:val="center"/>
        <w:rPr>
          <w:rFonts w:ascii="黑体" w:hAnsi="黑体" w:eastAsia="黑体" w:cs="黑体"/>
          <w:b/>
          <w:bCs/>
          <w:sz w:val="18"/>
          <w:szCs w:val="18"/>
        </w:rPr>
      </w:pPr>
      <w:r>
        <w:rPr>
          <w:rFonts w:hint="eastAsia" w:ascii="黑体" w:hAnsi="黑体" w:eastAsia="黑体" w:cs="黑体"/>
          <w:b/>
          <w:bCs/>
          <w:sz w:val="44"/>
          <w:szCs w:val="44"/>
        </w:rPr>
        <w:t>兴宁市南部新城</w:t>
      </w:r>
      <w:r>
        <w:rPr>
          <w:rFonts w:hint="eastAsia" w:ascii="黑体" w:hAnsi="黑体" w:eastAsia="黑体" w:cs="黑体"/>
          <w:b/>
          <w:bCs/>
          <w:sz w:val="44"/>
          <w:szCs w:val="44"/>
          <w:lang w:eastAsia="zh-CN"/>
        </w:rPr>
        <w:t>宁新</w:t>
      </w:r>
      <w:r>
        <w:rPr>
          <w:rFonts w:hint="eastAsia" w:ascii="黑体" w:hAnsi="黑体" w:eastAsia="黑体" w:cs="黑体"/>
          <w:b/>
          <w:bCs/>
          <w:sz w:val="44"/>
          <w:szCs w:val="44"/>
          <w:lang w:val="en-US" w:eastAsia="zh-CN"/>
        </w:rPr>
        <w:t>街道横湖村</w:t>
      </w:r>
      <w:r>
        <w:rPr>
          <w:rFonts w:hint="eastAsia" w:ascii="黑体" w:hAnsi="黑体" w:eastAsia="黑体" w:cs="黑体"/>
          <w:b/>
          <w:bCs/>
          <w:sz w:val="44"/>
          <w:szCs w:val="44"/>
        </w:rPr>
        <w:t>房屋征收补偿安置方案</w:t>
      </w:r>
    </w:p>
    <w:p w14:paraId="50990A74">
      <w:pPr>
        <w:spacing w:line="660" w:lineRule="exact"/>
        <w:jc w:val="center"/>
        <w:rPr>
          <w:rFonts w:ascii="黑体" w:hAnsi="黑体" w:eastAsia="黑体" w:cs="黑体"/>
          <w:b/>
          <w:bCs/>
          <w:sz w:val="18"/>
          <w:szCs w:val="18"/>
        </w:rPr>
      </w:pPr>
    </w:p>
    <w:p w14:paraId="7EBE03AE">
      <w:pPr>
        <w:widowControl/>
        <w:spacing w:line="560" w:lineRule="exact"/>
        <w:ind w:firstLine="2880" w:firstLineChars="900"/>
        <w:rPr>
          <w:rFonts w:ascii="仿宋_GB2312" w:eastAsia="仿宋_GB2312"/>
          <w:color w:val="000000"/>
          <w:sz w:val="18"/>
          <w:szCs w:val="18"/>
        </w:rPr>
      </w:pPr>
      <w:r>
        <w:rPr>
          <w:rFonts w:hint="eastAsia" w:ascii="仿宋_GB2312" w:eastAsia="仿宋_GB2312"/>
          <w:color w:val="000000"/>
          <w:sz w:val="32"/>
          <w:szCs w:val="32"/>
        </w:rPr>
        <w:t>（征求意见稿）</w:t>
      </w:r>
    </w:p>
    <w:p w14:paraId="386A0387">
      <w:pPr>
        <w:widowControl/>
        <w:spacing w:line="560" w:lineRule="exact"/>
        <w:ind w:firstLine="1620" w:firstLineChars="900"/>
        <w:rPr>
          <w:rFonts w:ascii="仿宋_GB2312" w:eastAsia="仿宋_GB2312"/>
          <w:color w:val="000000"/>
          <w:sz w:val="18"/>
          <w:szCs w:val="18"/>
        </w:rPr>
      </w:pPr>
    </w:p>
    <w:p w14:paraId="66D44AEA">
      <w:pPr>
        <w:spacing w:line="560" w:lineRule="exact"/>
        <w:ind w:firstLine="640" w:firstLineChars="200"/>
        <w:rPr>
          <w:rFonts w:ascii="仿宋_GB2312" w:eastAsia="仿宋_GB2312"/>
          <w:bCs/>
          <w:color w:val="000000"/>
          <w:kern w:val="0"/>
          <w:sz w:val="32"/>
          <w:szCs w:val="32"/>
        </w:rPr>
      </w:pPr>
      <w:r>
        <w:rPr>
          <w:rFonts w:hint="eastAsia" w:ascii="仿宋_GB2312" w:eastAsia="仿宋_GB2312"/>
          <w:color w:val="000000"/>
          <w:sz w:val="32"/>
          <w:szCs w:val="32"/>
        </w:rPr>
        <w:t>为了进一步规范我市土地房屋征收与补偿工作，维护被征收人的合法权益，促进</w:t>
      </w:r>
      <w:r>
        <w:rPr>
          <w:rFonts w:hint="eastAsia" w:ascii="仿宋_GB2312" w:eastAsia="仿宋_GB2312"/>
          <w:color w:val="000000"/>
          <w:sz w:val="32"/>
          <w:szCs w:val="32"/>
          <w:lang w:val="en-US" w:eastAsia="zh-CN"/>
        </w:rPr>
        <w:t>我市</w:t>
      </w:r>
      <w:r>
        <w:rPr>
          <w:rFonts w:hint="eastAsia" w:ascii="仿宋_GB2312" w:eastAsia="仿宋_GB2312"/>
          <w:color w:val="000000"/>
          <w:sz w:val="32"/>
          <w:szCs w:val="32"/>
        </w:rPr>
        <w:t>社会经济和谐发展，</w:t>
      </w:r>
      <w:r>
        <w:rPr>
          <w:rFonts w:hint="eastAsia" w:ascii="仿宋_GB2312" w:eastAsia="仿宋_GB2312"/>
          <w:bCs/>
          <w:color w:val="000000"/>
          <w:kern w:val="0"/>
          <w:sz w:val="32"/>
          <w:szCs w:val="32"/>
        </w:rPr>
        <w:t>根据《中华人民共和国土地管理法》、国务院《国有土地上房屋征收与补偿条例》（国务院令第590号）以及住建部《国有土地上房屋征收评估办法》（建房〔2011〕77号）等有关法律、法规、规章规定，结合</w:t>
      </w:r>
      <w:r>
        <w:rPr>
          <w:rFonts w:hint="eastAsia" w:ascii="仿宋_GB2312" w:eastAsia="仿宋_GB2312"/>
          <w:bCs/>
          <w:color w:val="000000"/>
          <w:kern w:val="0"/>
          <w:sz w:val="32"/>
          <w:szCs w:val="32"/>
          <w:lang w:val="en-US" w:eastAsia="zh-CN"/>
        </w:rPr>
        <w:t>本市</w:t>
      </w:r>
      <w:r>
        <w:rPr>
          <w:rFonts w:hint="eastAsia" w:ascii="仿宋_GB2312" w:eastAsia="仿宋_GB2312"/>
          <w:bCs/>
          <w:color w:val="000000"/>
          <w:kern w:val="0"/>
          <w:sz w:val="32"/>
          <w:szCs w:val="32"/>
        </w:rPr>
        <w:t>实际情况，</w:t>
      </w:r>
      <w:r>
        <w:rPr>
          <w:rFonts w:hint="eastAsia" w:ascii="仿宋_GB2312" w:eastAsia="仿宋_GB2312"/>
          <w:bCs/>
          <w:color w:val="000000"/>
          <w:kern w:val="0"/>
          <w:sz w:val="32"/>
          <w:szCs w:val="32"/>
          <w:lang w:val="en-US" w:eastAsia="zh-CN"/>
        </w:rPr>
        <w:t>制定</w:t>
      </w:r>
      <w:r>
        <w:rPr>
          <w:rFonts w:hint="eastAsia" w:ascii="仿宋_GB2312" w:eastAsia="仿宋_GB2312"/>
          <w:bCs/>
          <w:color w:val="000000"/>
          <w:kern w:val="0"/>
          <w:sz w:val="32"/>
          <w:szCs w:val="32"/>
        </w:rPr>
        <w:t>本方案。</w:t>
      </w:r>
    </w:p>
    <w:p w14:paraId="3D920062">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一、房屋征收与补偿安置的原则</w:t>
      </w:r>
    </w:p>
    <w:p w14:paraId="542E3EA2">
      <w:pPr>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房屋征收与补偿应当遵循规划先行、决策民主、程序正当、结果公开的原则。</w:t>
      </w:r>
    </w:p>
    <w:p w14:paraId="46A41F4C">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二、征收部门与实施单位</w:t>
      </w:r>
    </w:p>
    <w:p w14:paraId="41A3EA54">
      <w:pPr>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征收部门：兴宁市土地房屋征收安置中心。</w:t>
      </w:r>
    </w:p>
    <w:p w14:paraId="35C0EBF7">
      <w:pPr>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征收实施单位：兴宁市</w:t>
      </w:r>
      <w:r>
        <w:rPr>
          <w:rFonts w:hint="eastAsia" w:ascii="仿宋_GB2312" w:eastAsia="仿宋_GB2312"/>
          <w:color w:val="000000"/>
          <w:kern w:val="0"/>
          <w:sz w:val="32"/>
          <w:szCs w:val="32"/>
          <w:lang w:eastAsia="zh-CN"/>
        </w:rPr>
        <w:t>宁新</w:t>
      </w:r>
      <w:r>
        <w:rPr>
          <w:rFonts w:hint="eastAsia" w:ascii="仿宋_GB2312" w:eastAsia="仿宋_GB2312"/>
          <w:color w:val="000000"/>
          <w:kern w:val="0"/>
          <w:sz w:val="32"/>
          <w:szCs w:val="32"/>
        </w:rPr>
        <w:t>街道办事处。</w:t>
      </w:r>
    </w:p>
    <w:p w14:paraId="44358F38">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三、征收范围</w:t>
      </w:r>
    </w:p>
    <w:p w14:paraId="345B3AEF">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宁新街道横湖村薛屋、上排屋、新刁屋、大肖屋、刘屋、童屋、黄屋、细肖屋、下茔丘屋、花刁、罗屋</w:t>
      </w:r>
      <w:r>
        <w:rPr>
          <w:rFonts w:hint="eastAsia" w:ascii="仿宋_GB2312" w:eastAsia="仿宋_GB2312"/>
          <w:sz w:val="32"/>
          <w:szCs w:val="32"/>
          <w:lang w:eastAsia="zh-CN"/>
        </w:rPr>
        <w:t>。</w:t>
      </w:r>
    </w:p>
    <w:p w14:paraId="00FD5E01">
      <w:pPr>
        <w:spacing w:line="58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四、房屋征收补偿安置方式</w:t>
      </w:r>
    </w:p>
    <w:p w14:paraId="14E3F2AE">
      <w:pPr>
        <w:spacing w:line="580" w:lineRule="exact"/>
        <w:ind w:firstLine="640" w:firstLineChars="200"/>
        <w:rPr>
          <w:rFonts w:ascii="仿宋_GB2312" w:eastAsia="仿宋_GB2312"/>
          <w:sz w:val="32"/>
          <w:szCs w:val="32"/>
        </w:rPr>
      </w:pPr>
      <w:r>
        <w:rPr>
          <w:rFonts w:hint="eastAsia" w:ascii="仿宋_GB2312" w:eastAsia="仿宋_GB2312"/>
          <w:sz w:val="32"/>
          <w:szCs w:val="32"/>
        </w:rPr>
        <w:t>房屋征收实行货币补偿和产权调换两种方式，由被征收人自行选择方式进行补偿。</w:t>
      </w:r>
    </w:p>
    <w:p w14:paraId="770507F7">
      <w:pPr>
        <w:spacing w:line="580" w:lineRule="exact"/>
        <w:ind w:firstLine="640" w:firstLineChars="200"/>
        <w:rPr>
          <w:rFonts w:hint="eastAsia" w:ascii="仿宋_GB2312" w:hAnsi="仿宋" w:eastAsia="仿宋_GB2312"/>
          <w:b/>
          <w:color w:val="000000"/>
          <w:sz w:val="32"/>
          <w:szCs w:val="32"/>
        </w:rPr>
      </w:pPr>
      <w:r>
        <w:rPr>
          <w:rFonts w:hint="eastAsia" w:ascii="Times New Roman" w:hAnsi="Times New Roman" w:eastAsia="仿宋_GB2312" w:cs="Times New Roman"/>
          <w:color w:val="333333"/>
          <w:kern w:val="0"/>
          <w:sz w:val="32"/>
          <w:szCs w:val="32"/>
        </w:rPr>
        <w:t>征收市政工程和单位、学校、企业厂房、仓库、</w:t>
      </w:r>
      <w:r>
        <w:rPr>
          <w:rFonts w:hint="eastAsia" w:eastAsia="仿宋_GB2312" w:cs="Times New Roman"/>
          <w:color w:val="333333"/>
          <w:kern w:val="0"/>
          <w:sz w:val="32"/>
          <w:szCs w:val="32"/>
          <w:lang w:eastAsia="zh-CN"/>
        </w:rPr>
        <w:t>祖屋公共部分、</w:t>
      </w:r>
      <w:r>
        <w:rPr>
          <w:rFonts w:hint="eastAsia" w:ascii="Times New Roman" w:hAnsi="Times New Roman" w:eastAsia="仿宋_GB2312" w:cs="Times New Roman"/>
          <w:color w:val="333333"/>
          <w:kern w:val="0"/>
          <w:sz w:val="32"/>
          <w:szCs w:val="32"/>
        </w:rPr>
        <w:t>祠堂及公共设施等</w:t>
      </w:r>
      <w:r>
        <w:rPr>
          <w:rFonts w:hint="eastAsia" w:eastAsia="仿宋_GB2312" w:cs="Times New Roman"/>
          <w:color w:val="333333"/>
          <w:kern w:val="0"/>
          <w:sz w:val="32"/>
          <w:szCs w:val="32"/>
          <w:lang w:eastAsia="zh-CN"/>
        </w:rPr>
        <w:t>引导</w:t>
      </w:r>
      <w:r>
        <w:rPr>
          <w:rFonts w:hint="eastAsia" w:ascii="Times New Roman" w:hAnsi="Times New Roman" w:eastAsia="仿宋_GB2312" w:cs="Times New Roman"/>
          <w:color w:val="333333"/>
          <w:kern w:val="0"/>
          <w:sz w:val="32"/>
          <w:szCs w:val="32"/>
        </w:rPr>
        <w:t>实行货币补偿。</w:t>
      </w:r>
    </w:p>
    <w:p w14:paraId="6453B464">
      <w:pPr>
        <w:spacing w:line="58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五、房屋征收补偿安置标准和规则</w:t>
      </w:r>
    </w:p>
    <w:p w14:paraId="02D0D30B">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（一）货币补偿标准：</w:t>
      </w:r>
    </w:p>
    <w:p w14:paraId="479A0F3C">
      <w:pPr>
        <w:spacing w:line="580" w:lineRule="exact"/>
        <w:ind w:firstLine="640" w:firstLineChars="200"/>
        <w:rPr>
          <w:rFonts w:ascii="仿宋_GB2312" w:eastAsia="仿宋_GB2312"/>
          <w:sz w:val="32"/>
          <w:szCs w:val="32"/>
        </w:rPr>
      </w:pPr>
      <w:r>
        <w:rPr>
          <w:rFonts w:hint="eastAsia" w:ascii="仿宋_GB2312" w:eastAsia="仿宋_GB2312"/>
          <w:sz w:val="32"/>
          <w:szCs w:val="32"/>
        </w:rPr>
        <w:t>1．被征收房屋的价值，由具有相应资质的房地产价格评估机构</w:t>
      </w:r>
      <w:r>
        <w:rPr>
          <w:rFonts w:hint="eastAsia" w:ascii="仿宋_GB2312" w:eastAsia="仿宋_GB2312"/>
          <w:b w:val="0"/>
          <w:bCs w:val="0"/>
          <w:sz w:val="32"/>
          <w:szCs w:val="32"/>
          <w:lang w:eastAsia="zh-CN"/>
        </w:rPr>
        <w:t>按本</w:t>
      </w:r>
      <w:r>
        <w:rPr>
          <w:rFonts w:hint="eastAsia" w:ascii="仿宋_GB2312" w:eastAsia="仿宋_GB2312"/>
          <w:b w:val="0"/>
          <w:bCs w:val="0"/>
          <w:sz w:val="32"/>
          <w:szCs w:val="32"/>
          <w:lang w:val="en-US" w:eastAsia="zh-CN"/>
        </w:rPr>
        <w:t>方案</w:t>
      </w:r>
      <w:r>
        <w:rPr>
          <w:rFonts w:hint="eastAsia" w:ascii="仿宋_GB2312" w:eastAsia="仿宋_GB2312"/>
          <w:b w:val="0"/>
          <w:bCs w:val="0"/>
          <w:sz w:val="32"/>
          <w:szCs w:val="32"/>
          <w:lang w:eastAsia="zh-CN"/>
        </w:rPr>
        <w:t>印发之日为评估时点</w:t>
      </w:r>
      <w:r>
        <w:rPr>
          <w:rFonts w:hint="eastAsia" w:ascii="仿宋_GB2312" w:eastAsia="仿宋_GB2312"/>
          <w:sz w:val="32"/>
          <w:szCs w:val="32"/>
        </w:rPr>
        <w:t>评估确定。</w:t>
      </w:r>
    </w:p>
    <w:p w14:paraId="08F4A0EF">
      <w:pPr>
        <w:spacing w:line="580" w:lineRule="exact"/>
        <w:ind w:firstLine="640" w:firstLineChars="200"/>
        <w:rPr>
          <w:rFonts w:ascii="仿宋_GB2312" w:eastAsia="仿宋_GB2312"/>
          <w:sz w:val="32"/>
          <w:szCs w:val="32"/>
        </w:rPr>
      </w:pPr>
      <w:r>
        <w:rPr>
          <w:rFonts w:hint="eastAsia" w:ascii="仿宋_GB2312" w:eastAsia="仿宋_GB2312"/>
          <w:sz w:val="32"/>
          <w:szCs w:val="32"/>
        </w:rPr>
        <w:t>2．被征收房屋装修及附属设施的价值,由具有相应资质的房地产价格评估机构</w:t>
      </w:r>
      <w:r>
        <w:rPr>
          <w:rFonts w:hint="eastAsia" w:ascii="仿宋_GB2312" w:eastAsia="仿宋_GB2312"/>
          <w:b w:val="0"/>
          <w:bCs w:val="0"/>
          <w:sz w:val="32"/>
          <w:szCs w:val="32"/>
          <w:lang w:eastAsia="zh-CN"/>
        </w:rPr>
        <w:t>按本</w:t>
      </w:r>
      <w:r>
        <w:rPr>
          <w:rFonts w:hint="eastAsia" w:ascii="仿宋_GB2312" w:eastAsia="仿宋_GB2312"/>
          <w:b w:val="0"/>
          <w:bCs w:val="0"/>
          <w:sz w:val="32"/>
          <w:szCs w:val="32"/>
          <w:lang w:val="en-US" w:eastAsia="zh-CN"/>
        </w:rPr>
        <w:t>方案</w:t>
      </w:r>
      <w:r>
        <w:rPr>
          <w:rFonts w:hint="eastAsia" w:ascii="仿宋_GB2312" w:eastAsia="仿宋_GB2312"/>
          <w:b w:val="0"/>
          <w:bCs w:val="0"/>
          <w:sz w:val="32"/>
          <w:szCs w:val="32"/>
          <w:lang w:eastAsia="zh-CN"/>
        </w:rPr>
        <w:t>印发之日为评估时点</w:t>
      </w:r>
      <w:r>
        <w:rPr>
          <w:rFonts w:hint="eastAsia" w:ascii="仿宋_GB2312" w:eastAsia="仿宋_GB2312"/>
          <w:sz w:val="32"/>
          <w:szCs w:val="32"/>
        </w:rPr>
        <w:t>评估确定。</w:t>
      </w:r>
    </w:p>
    <w:p w14:paraId="4EDD0451">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（二）产权调换规则：</w:t>
      </w:r>
    </w:p>
    <w:p w14:paraId="7716C200">
      <w:pPr>
        <w:spacing w:line="600" w:lineRule="exact"/>
        <w:ind w:firstLine="640" w:firstLineChars="200"/>
        <w:rPr>
          <w:rFonts w:ascii="仿宋_GB2312" w:eastAsia="仿宋_GB2312"/>
          <w:sz w:val="32"/>
          <w:szCs w:val="32"/>
        </w:rPr>
      </w:pPr>
      <w:r>
        <w:rPr>
          <w:rFonts w:hint="eastAsia" w:ascii="仿宋_GB2312" w:eastAsia="仿宋_GB2312"/>
          <w:sz w:val="32"/>
          <w:szCs w:val="32"/>
        </w:rPr>
        <w:t>1．选择调换的安置房与被征收房屋原则上按建筑面积1:1调换，价值以被征收房屋评估价值和安置房评估价值互补差价结算。但每户产权调换建筑面积不得超过300</w:t>
      </w:r>
      <w:r>
        <w:rPr>
          <w:rFonts w:hint="eastAsia" w:ascii="宋体" w:hAnsi="宋体" w:cs="宋体"/>
          <w:sz w:val="32"/>
          <w:szCs w:val="32"/>
        </w:rPr>
        <w:t>㎡</w:t>
      </w:r>
      <w:r>
        <w:rPr>
          <w:rFonts w:hint="eastAsia" w:ascii="仿宋_GB2312" w:eastAsia="仿宋_GB2312"/>
          <w:sz w:val="32"/>
          <w:szCs w:val="32"/>
        </w:rPr>
        <w:t>（在城市规划区范围内，国家征收出让后的土地上建设的房屋并已领取房地产权证的除外），超过300</w:t>
      </w:r>
      <w:r>
        <w:rPr>
          <w:rFonts w:hint="eastAsia" w:ascii="宋体" w:hAnsi="宋体" w:cs="宋体"/>
          <w:sz w:val="32"/>
          <w:szCs w:val="32"/>
        </w:rPr>
        <w:t>㎡</w:t>
      </w:r>
      <w:r>
        <w:rPr>
          <w:rFonts w:hint="eastAsia" w:ascii="仿宋_GB2312" w:eastAsia="仿宋_GB2312"/>
          <w:sz w:val="32"/>
          <w:szCs w:val="32"/>
        </w:rPr>
        <w:t>的部分只实行货币补偿。</w:t>
      </w:r>
    </w:p>
    <w:p w14:paraId="27AF7A48">
      <w:pPr>
        <w:spacing w:line="600" w:lineRule="exact"/>
        <w:ind w:firstLine="640" w:firstLineChars="200"/>
        <w:rPr>
          <w:rFonts w:ascii="仿宋_GB2312" w:eastAsia="仿宋_GB2312"/>
          <w:sz w:val="32"/>
          <w:szCs w:val="32"/>
        </w:rPr>
      </w:pPr>
      <w:r>
        <w:rPr>
          <w:rFonts w:hint="eastAsia" w:ascii="仿宋_GB2312" w:eastAsia="仿宋_GB2312"/>
          <w:sz w:val="32"/>
          <w:szCs w:val="32"/>
        </w:rPr>
        <w:t>2．选择的安置房建筑面积超出被征收房屋（首层铺面除外）建筑面积20</w:t>
      </w:r>
      <w:r>
        <w:rPr>
          <w:rFonts w:hint="eastAsia" w:ascii="宋体" w:hAnsi="宋体" w:cs="宋体"/>
          <w:sz w:val="32"/>
          <w:szCs w:val="32"/>
        </w:rPr>
        <w:t>㎡</w:t>
      </w:r>
      <w:r>
        <w:rPr>
          <w:rFonts w:hint="eastAsia" w:ascii="仿宋_GB2312" w:eastAsia="仿宋_GB2312"/>
          <w:sz w:val="32"/>
          <w:szCs w:val="32"/>
        </w:rPr>
        <w:t>内的，按成本价进行结算，超过20</w:t>
      </w:r>
      <w:r>
        <w:rPr>
          <w:rFonts w:hint="eastAsia" w:ascii="宋体" w:hAnsi="宋体" w:cs="宋体"/>
          <w:sz w:val="32"/>
          <w:szCs w:val="32"/>
        </w:rPr>
        <w:t>㎡</w:t>
      </w:r>
      <w:r>
        <w:rPr>
          <w:rFonts w:hint="eastAsia" w:ascii="仿宋_GB2312" w:eastAsia="仿宋_GB2312"/>
          <w:sz w:val="32"/>
          <w:szCs w:val="32"/>
        </w:rPr>
        <w:t>的部分按市场价进行结算。</w:t>
      </w:r>
    </w:p>
    <w:p w14:paraId="620CD4E7">
      <w:pPr>
        <w:spacing w:line="600" w:lineRule="exact"/>
        <w:ind w:firstLine="640" w:firstLineChars="200"/>
        <w:rPr>
          <w:rFonts w:ascii="仿宋_GB2312" w:eastAsia="仿宋_GB2312"/>
          <w:sz w:val="32"/>
          <w:szCs w:val="32"/>
        </w:rPr>
      </w:pPr>
      <w:r>
        <w:rPr>
          <w:rFonts w:hint="eastAsia" w:ascii="仿宋_GB2312" w:eastAsia="仿宋_GB2312"/>
          <w:sz w:val="32"/>
          <w:szCs w:val="32"/>
        </w:rPr>
        <w:t>3．被征收人安置房建筑面积包括安置房套内建筑面积、本栋房屋的公共墙位、公共楼梯、公共走道及其他公共部分需分摊的建筑面积，面积以不动产权证书登记簿记载为准。</w:t>
      </w:r>
    </w:p>
    <w:p w14:paraId="293C6861">
      <w:pPr>
        <w:spacing w:line="600" w:lineRule="exact"/>
        <w:ind w:firstLine="640" w:firstLineChars="200"/>
        <w:rPr>
          <w:rFonts w:ascii="仿宋_GB2312" w:eastAsia="仿宋_GB2312"/>
          <w:sz w:val="32"/>
          <w:szCs w:val="32"/>
        </w:rPr>
      </w:pPr>
      <w:r>
        <w:rPr>
          <w:rFonts w:hint="eastAsia" w:ascii="仿宋_GB2312" w:eastAsia="仿宋_GB2312"/>
          <w:sz w:val="32"/>
          <w:szCs w:val="32"/>
        </w:rPr>
        <w:t>4．被征收人在规定时间内先签订房屋征收补偿安置协议书的，优先选择安置房。</w:t>
      </w:r>
    </w:p>
    <w:p w14:paraId="4AA3D351">
      <w:pPr>
        <w:spacing w:line="600" w:lineRule="exact"/>
        <w:ind w:firstLine="640" w:firstLineChars="200"/>
        <w:rPr>
          <w:rFonts w:ascii="仿宋_GB2312" w:eastAsia="仿宋_GB2312"/>
          <w:sz w:val="32"/>
          <w:szCs w:val="32"/>
        </w:rPr>
      </w:pPr>
      <w:r>
        <w:rPr>
          <w:rFonts w:hint="eastAsia" w:ascii="仿宋_GB2312" w:eastAsia="仿宋_GB2312"/>
          <w:sz w:val="32"/>
          <w:szCs w:val="32"/>
        </w:rPr>
        <w:t>5．选择产权调换的安置房和铺面，《不动产权证书》必须以被征收人的名义进行登记，相关手续由房屋征收部门统一办理，办证税费由房屋征收部门承担。</w:t>
      </w:r>
    </w:p>
    <w:p w14:paraId="79CBF928">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（三）安置房的位置、建设标准、价格：</w:t>
      </w:r>
    </w:p>
    <w:p w14:paraId="274CFD56">
      <w:pPr>
        <w:spacing w:line="600" w:lineRule="exact"/>
        <w:ind w:firstLine="640" w:firstLineChars="200"/>
        <w:rPr>
          <w:rFonts w:ascii="仿宋_GB2312" w:eastAsia="仿宋_GB2312"/>
          <w:sz w:val="32"/>
          <w:szCs w:val="32"/>
        </w:rPr>
      </w:pPr>
      <w:r>
        <w:rPr>
          <w:rFonts w:hint="eastAsia" w:ascii="仿宋_GB2312" w:eastAsia="仿宋_GB2312"/>
          <w:sz w:val="32"/>
          <w:szCs w:val="32"/>
        </w:rPr>
        <w:t>房屋征收部门提供</w:t>
      </w:r>
      <w:r>
        <w:rPr>
          <w:rFonts w:hint="eastAsia" w:ascii="仿宋_GB2312" w:eastAsia="仿宋_GB2312"/>
          <w:sz w:val="32"/>
          <w:szCs w:val="32"/>
          <w:lang w:eastAsia="zh-CN"/>
        </w:rPr>
        <w:t>文峰</w:t>
      </w:r>
      <w:r>
        <w:rPr>
          <w:rFonts w:hint="eastAsia" w:ascii="仿宋_GB2312" w:eastAsia="仿宋_GB2312"/>
          <w:sz w:val="32"/>
          <w:szCs w:val="32"/>
        </w:rPr>
        <w:t>新城</w:t>
      </w:r>
      <w:r>
        <w:rPr>
          <w:rFonts w:hint="eastAsia" w:ascii="仿宋_GB2312" w:eastAsia="仿宋_GB2312"/>
          <w:sz w:val="32"/>
          <w:szCs w:val="32"/>
          <w:lang w:val="en-US" w:eastAsia="zh-CN"/>
        </w:rPr>
        <w:t>三区</w:t>
      </w:r>
      <w:r>
        <w:rPr>
          <w:rFonts w:hint="eastAsia" w:ascii="仿宋_GB2312" w:eastAsia="仿宋_GB2312"/>
          <w:sz w:val="32"/>
          <w:szCs w:val="32"/>
        </w:rPr>
        <w:t>（</w:t>
      </w:r>
      <w:r>
        <w:rPr>
          <w:rFonts w:hint="eastAsia" w:ascii="仿宋_GB2312" w:eastAsia="仿宋_GB2312"/>
          <w:sz w:val="32"/>
          <w:szCs w:val="32"/>
          <w:lang w:eastAsia="zh-CN"/>
        </w:rPr>
        <w:t>宁新</w:t>
      </w:r>
      <w:r>
        <w:rPr>
          <w:rFonts w:hint="eastAsia" w:ascii="仿宋_GB2312" w:eastAsia="仿宋_GB2312"/>
          <w:sz w:val="32"/>
          <w:szCs w:val="32"/>
        </w:rPr>
        <w:t>安置区</w:t>
      </w:r>
      <w:r>
        <w:rPr>
          <w:rFonts w:hint="eastAsia" w:ascii="仿宋_GB2312" w:eastAsia="仿宋_GB2312"/>
          <w:sz w:val="32"/>
          <w:szCs w:val="32"/>
          <w:lang w:val="en-US" w:eastAsia="zh-CN"/>
        </w:rPr>
        <w:t>C区</w:t>
      </w:r>
      <w:r>
        <w:rPr>
          <w:rFonts w:hint="eastAsia" w:ascii="仿宋_GB2312" w:eastAsia="仿宋_GB2312"/>
          <w:sz w:val="32"/>
          <w:szCs w:val="32"/>
        </w:rPr>
        <w:t>）安置房供被征收人</w:t>
      </w:r>
      <w:r>
        <w:rPr>
          <w:rFonts w:hint="eastAsia" w:ascii="仿宋_GB2312" w:eastAsia="仿宋_GB2312"/>
          <w:sz w:val="32"/>
          <w:szCs w:val="32"/>
          <w:highlight w:val="none"/>
        </w:rPr>
        <w:t>自主选择</w:t>
      </w:r>
      <w:r>
        <w:rPr>
          <w:rFonts w:hint="eastAsia" w:ascii="仿宋_GB2312" w:eastAsia="仿宋_GB2312"/>
          <w:sz w:val="32"/>
          <w:szCs w:val="32"/>
        </w:rPr>
        <w:t>。</w:t>
      </w:r>
    </w:p>
    <w:p w14:paraId="585B147F">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文峰</w:t>
      </w:r>
      <w:r>
        <w:rPr>
          <w:rFonts w:hint="eastAsia" w:ascii="仿宋_GB2312" w:eastAsia="仿宋_GB2312"/>
          <w:sz w:val="32"/>
          <w:szCs w:val="32"/>
        </w:rPr>
        <w:t>新城</w:t>
      </w:r>
      <w:r>
        <w:rPr>
          <w:rFonts w:hint="eastAsia" w:ascii="仿宋_GB2312" w:eastAsia="仿宋_GB2312"/>
          <w:sz w:val="32"/>
          <w:szCs w:val="32"/>
          <w:lang w:val="en-US" w:eastAsia="zh-CN"/>
        </w:rPr>
        <w:t>三区</w:t>
      </w:r>
      <w:r>
        <w:rPr>
          <w:rFonts w:hint="eastAsia" w:ascii="仿宋_GB2312" w:eastAsia="仿宋_GB2312"/>
          <w:sz w:val="32"/>
          <w:szCs w:val="32"/>
        </w:rPr>
        <w:t>位于</w:t>
      </w:r>
      <w:r>
        <w:rPr>
          <w:rFonts w:hint="eastAsia" w:ascii="仿宋_GB2312" w:eastAsia="仿宋_GB2312"/>
          <w:sz w:val="32"/>
          <w:szCs w:val="32"/>
          <w:lang w:eastAsia="zh-CN"/>
        </w:rPr>
        <w:t>人民大道</w:t>
      </w:r>
      <w:r>
        <w:rPr>
          <w:rFonts w:hint="eastAsia" w:ascii="仿宋_GB2312" w:eastAsia="仿宋_GB2312"/>
          <w:sz w:val="32"/>
          <w:szCs w:val="32"/>
          <w:lang w:val="en-US" w:eastAsia="zh-CN"/>
        </w:rPr>
        <w:t>东</w:t>
      </w:r>
      <w:r>
        <w:rPr>
          <w:rFonts w:hint="eastAsia" w:ascii="仿宋_GB2312" w:eastAsia="仿宋_GB2312"/>
          <w:sz w:val="32"/>
          <w:szCs w:val="32"/>
          <w:lang w:eastAsia="zh-CN"/>
        </w:rPr>
        <w:t>南侧</w:t>
      </w:r>
      <w:r>
        <w:rPr>
          <w:rFonts w:hint="eastAsia" w:ascii="仿宋_GB2312" w:eastAsia="仿宋_GB2312"/>
          <w:sz w:val="32"/>
          <w:szCs w:val="32"/>
        </w:rPr>
        <w:t>地段。</w:t>
      </w:r>
    </w:p>
    <w:p w14:paraId="276BF23C">
      <w:pPr>
        <w:spacing w:line="600" w:lineRule="exact"/>
        <w:ind w:firstLine="640" w:firstLineChars="200"/>
        <w:rPr>
          <w:rFonts w:ascii="仿宋_GB2312" w:eastAsia="仿宋_GB2312"/>
          <w:sz w:val="32"/>
          <w:szCs w:val="32"/>
        </w:rPr>
      </w:pPr>
      <w:r>
        <w:rPr>
          <w:rFonts w:hint="eastAsia" w:ascii="仿宋_GB2312" w:eastAsia="仿宋_GB2312"/>
          <w:sz w:val="32"/>
          <w:szCs w:val="32"/>
        </w:rPr>
        <w:t>2．安置房的建设标准：</w:t>
      </w:r>
    </w:p>
    <w:p w14:paraId="0337EFD8">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安置小区</w:t>
      </w:r>
      <w:r>
        <w:rPr>
          <w:rFonts w:hint="eastAsia" w:ascii="仿宋_GB2312" w:eastAsia="仿宋_GB2312"/>
          <w:sz w:val="32"/>
          <w:szCs w:val="32"/>
        </w:rPr>
        <w:t>为花园式住宅小区，基本公共设施配套完善。容积率3.5以下，建筑密度30%以下。底层架空，可供娱乐休闲及配套服务设施使用。</w:t>
      </w:r>
    </w:p>
    <w:p w14:paraId="3E0E2216">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rPr>
        <w:t>（2）安置房的结构为钢筋混凝土框架结构电梯房，楼高十七层。外立面统一镶贴仿石材面砖、铝合金门窗；套房户型分别为四房两厅、三房两厅。</w:t>
      </w:r>
      <w:r>
        <w:rPr>
          <w:rFonts w:hint="eastAsia" w:ascii="仿宋_GB2312" w:eastAsia="仿宋_GB2312"/>
          <w:sz w:val="32"/>
          <w:szCs w:val="32"/>
          <w:highlight w:val="none"/>
        </w:rPr>
        <w:t>首层铺面可用于产权调换。</w:t>
      </w:r>
    </w:p>
    <w:p w14:paraId="59A38AA6">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文峰</w:t>
      </w:r>
      <w:r>
        <w:rPr>
          <w:rFonts w:hint="eastAsia" w:ascii="仿宋_GB2312" w:eastAsia="仿宋_GB2312"/>
          <w:sz w:val="32"/>
          <w:szCs w:val="32"/>
        </w:rPr>
        <w:t>新城套房、铺面室内均为毛坯房，供电、电话线、电视线、网络线等安装至户外门口，供排水、排污安装至厨房和卫生间。</w:t>
      </w:r>
    </w:p>
    <w:p w14:paraId="38512BEF">
      <w:pPr>
        <w:spacing w:line="580" w:lineRule="exact"/>
        <w:ind w:firstLine="640" w:firstLineChars="200"/>
        <w:rPr>
          <w:rFonts w:ascii="仿宋_GB2312" w:eastAsia="仿宋_GB2312"/>
          <w:sz w:val="32"/>
          <w:szCs w:val="32"/>
        </w:rPr>
      </w:pPr>
      <w:r>
        <w:rPr>
          <w:rFonts w:hint="eastAsia" w:ascii="仿宋_GB2312" w:eastAsia="仿宋_GB2312"/>
          <w:sz w:val="32"/>
          <w:szCs w:val="32"/>
        </w:rPr>
        <w:t>3．安置房（首层铺面除外）的价格：</w:t>
      </w:r>
    </w:p>
    <w:p w14:paraId="1ADF8D7B">
      <w:pPr>
        <w:spacing w:line="580" w:lineRule="exact"/>
        <w:ind w:firstLine="640" w:firstLineChars="200"/>
        <w:rPr>
          <w:rFonts w:ascii="仿宋_GB2312" w:eastAsia="仿宋_GB2312"/>
          <w:sz w:val="32"/>
          <w:szCs w:val="32"/>
        </w:rPr>
      </w:pPr>
      <w:r>
        <w:rPr>
          <w:rFonts w:hint="eastAsia" w:ascii="仿宋_GB2312" w:eastAsia="仿宋_GB2312"/>
          <w:sz w:val="32"/>
          <w:szCs w:val="32"/>
        </w:rPr>
        <w:t>（1）安置房十七层的成本评估均价</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。在安置房交付使用时，如果实际成本均价低于</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，按实际成本</w:t>
      </w:r>
      <w:r>
        <w:rPr>
          <w:rFonts w:hint="eastAsia" w:ascii="仿宋_GB2312" w:eastAsia="仿宋_GB2312"/>
          <w:spacing w:val="6"/>
          <w:sz w:val="32"/>
          <w:szCs w:val="32"/>
        </w:rPr>
        <w:t>均价结算，计算公式为：楼层实际成本价=对应楼层成本评估</w:t>
      </w:r>
      <w:r>
        <w:rPr>
          <w:rFonts w:hint="eastAsia" w:ascii="仿宋_GB2312" w:eastAsia="仿宋_GB2312"/>
          <w:spacing w:val="-12"/>
          <w:sz w:val="32"/>
          <w:szCs w:val="32"/>
        </w:rPr>
        <w:t>价－（</w:t>
      </w:r>
      <w:r>
        <w:rPr>
          <w:rFonts w:hint="eastAsia" w:ascii="仿宋_GB2312" w:eastAsia="仿宋_GB2312"/>
          <w:sz w:val="32"/>
          <w:szCs w:val="32"/>
          <w:lang w:val="en-US" w:eastAsia="zh-CN"/>
        </w:rPr>
        <w:t>272</w:t>
      </w:r>
      <w:r>
        <w:rPr>
          <w:rFonts w:hint="eastAsia" w:ascii="仿宋_GB2312" w:eastAsia="仿宋_GB2312"/>
          <w:sz w:val="32"/>
          <w:szCs w:val="32"/>
        </w:rPr>
        <w:t>0</w:t>
      </w:r>
      <w:r>
        <w:rPr>
          <w:rFonts w:hint="eastAsia" w:ascii="仿宋_GB2312" w:eastAsia="仿宋_GB2312"/>
          <w:spacing w:val="-12"/>
          <w:sz w:val="32"/>
          <w:szCs w:val="32"/>
        </w:rPr>
        <w:t>元－实际成本均价）；如果实际成本均价高于</w:t>
      </w:r>
      <w:r>
        <w:rPr>
          <w:rFonts w:hint="eastAsia" w:ascii="仿宋_GB2312" w:eastAsia="仿宋_GB2312"/>
          <w:sz w:val="32"/>
          <w:szCs w:val="32"/>
          <w:lang w:val="en-US" w:eastAsia="zh-CN"/>
        </w:rPr>
        <w:t>272</w:t>
      </w:r>
      <w:r>
        <w:rPr>
          <w:rFonts w:hint="eastAsia" w:ascii="仿宋_GB2312" w:eastAsia="仿宋_GB2312"/>
          <w:sz w:val="32"/>
          <w:szCs w:val="32"/>
        </w:rPr>
        <w:t>0</w:t>
      </w:r>
      <w:r>
        <w:rPr>
          <w:rFonts w:hint="eastAsia" w:ascii="仿宋_GB2312" w:eastAsia="仿宋_GB2312"/>
          <w:spacing w:val="-12"/>
          <w:sz w:val="32"/>
          <w:szCs w:val="32"/>
        </w:rPr>
        <w:t>元/</w:t>
      </w:r>
      <w:r>
        <w:rPr>
          <w:rFonts w:hint="eastAsia" w:ascii="宋体" w:hAnsi="宋体" w:cs="宋体"/>
          <w:sz w:val="32"/>
          <w:szCs w:val="32"/>
        </w:rPr>
        <w:t>㎡</w:t>
      </w:r>
      <w:r>
        <w:rPr>
          <w:rFonts w:hint="eastAsia" w:ascii="仿宋_GB2312" w:eastAsia="仿宋_GB2312"/>
          <w:spacing w:val="-12"/>
          <w:sz w:val="32"/>
          <w:szCs w:val="32"/>
        </w:rPr>
        <w:t>，</w:t>
      </w:r>
      <w:r>
        <w:rPr>
          <w:rFonts w:hint="eastAsia" w:ascii="仿宋_GB2312" w:eastAsia="仿宋_GB2312"/>
          <w:sz w:val="32"/>
          <w:szCs w:val="32"/>
        </w:rPr>
        <w:t>则按</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结算。</w:t>
      </w:r>
    </w:p>
    <w:p w14:paraId="40700DE5">
      <w:pPr>
        <w:spacing w:line="560" w:lineRule="exact"/>
        <w:ind w:firstLine="640" w:firstLineChars="200"/>
        <w:rPr>
          <w:rFonts w:ascii="仿宋_GB2312" w:eastAsia="仿宋_GB2312"/>
          <w:sz w:val="32"/>
          <w:szCs w:val="32"/>
        </w:rPr>
      </w:pPr>
      <w:r>
        <w:rPr>
          <w:rFonts w:hint="eastAsia" w:ascii="仿宋_GB2312" w:eastAsia="仿宋_GB2312"/>
          <w:sz w:val="32"/>
          <w:szCs w:val="32"/>
        </w:rPr>
        <w:t>具体楼层成本评估价分别为：</w:t>
      </w:r>
    </w:p>
    <w:tbl>
      <w:tblPr>
        <w:tblStyle w:val="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674"/>
        <w:gridCol w:w="3194"/>
      </w:tblGrid>
      <w:tr w14:paraId="58DE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83" w:type="dxa"/>
            <w:vAlign w:val="center"/>
          </w:tcPr>
          <w:p w14:paraId="42BD1DD8">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楼层</w:t>
            </w:r>
          </w:p>
        </w:tc>
        <w:tc>
          <w:tcPr>
            <w:tcW w:w="3674" w:type="dxa"/>
            <w:vAlign w:val="center"/>
          </w:tcPr>
          <w:p w14:paraId="0A3AE6B4">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价格（元）</w:t>
            </w:r>
          </w:p>
        </w:tc>
        <w:tc>
          <w:tcPr>
            <w:tcW w:w="3194" w:type="dxa"/>
            <w:vAlign w:val="center"/>
          </w:tcPr>
          <w:p w14:paraId="220E72AD">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楼层增加价格（元）</w:t>
            </w:r>
          </w:p>
        </w:tc>
      </w:tr>
      <w:tr w14:paraId="6B7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40257300">
            <w:pPr>
              <w:spacing w:line="560" w:lineRule="exact"/>
              <w:jc w:val="center"/>
              <w:rPr>
                <w:rFonts w:ascii="仿宋_GB2312" w:eastAsia="仿宋_GB2312"/>
                <w:sz w:val="32"/>
                <w:szCs w:val="32"/>
              </w:rPr>
            </w:pPr>
            <w:r>
              <w:rPr>
                <w:rFonts w:hint="eastAsia" w:ascii="仿宋_GB2312" w:eastAsia="仿宋_GB2312"/>
                <w:sz w:val="32"/>
                <w:szCs w:val="32"/>
              </w:rPr>
              <w:t>第二层</w:t>
            </w:r>
          </w:p>
        </w:tc>
        <w:tc>
          <w:tcPr>
            <w:tcW w:w="3674" w:type="dxa"/>
            <w:vAlign w:val="center"/>
          </w:tcPr>
          <w:p w14:paraId="27B2D976">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330</w:t>
            </w:r>
          </w:p>
        </w:tc>
        <w:tc>
          <w:tcPr>
            <w:tcW w:w="3194" w:type="dxa"/>
            <w:vAlign w:val="center"/>
          </w:tcPr>
          <w:p w14:paraId="4FF96F32">
            <w:pPr>
              <w:spacing w:line="560" w:lineRule="exact"/>
              <w:jc w:val="center"/>
              <w:rPr>
                <w:rFonts w:ascii="仿宋_GB2312" w:eastAsia="仿宋_GB2312"/>
                <w:sz w:val="32"/>
                <w:szCs w:val="32"/>
              </w:rPr>
            </w:pPr>
            <w:r>
              <w:rPr>
                <w:rFonts w:hint="eastAsia" w:ascii="仿宋_GB2312" w:eastAsia="仿宋_GB2312"/>
                <w:sz w:val="32"/>
                <w:szCs w:val="32"/>
              </w:rPr>
              <w:t>起价</w:t>
            </w:r>
          </w:p>
        </w:tc>
      </w:tr>
      <w:tr w14:paraId="07C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78D3CEC5">
            <w:pPr>
              <w:spacing w:line="560" w:lineRule="exact"/>
              <w:jc w:val="center"/>
              <w:rPr>
                <w:rFonts w:ascii="仿宋_GB2312" w:eastAsia="仿宋_GB2312"/>
                <w:sz w:val="32"/>
                <w:szCs w:val="32"/>
              </w:rPr>
            </w:pPr>
            <w:r>
              <w:rPr>
                <w:rFonts w:hint="eastAsia" w:ascii="仿宋_GB2312" w:eastAsia="仿宋_GB2312"/>
                <w:sz w:val="32"/>
                <w:szCs w:val="32"/>
              </w:rPr>
              <w:t>第三层</w:t>
            </w:r>
          </w:p>
        </w:tc>
        <w:tc>
          <w:tcPr>
            <w:tcW w:w="3674" w:type="dxa"/>
            <w:vAlign w:val="center"/>
          </w:tcPr>
          <w:p w14:paraId="76FA9AC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360</w:t>
            </w:r>
          </w:p>
        </w:tc>
        <w:tc>
          <w:tcPr>
            <w:tcW w:w="3194" w:type="dxa"/>
            <w:vAlign w:val="center"/>
          </w:tcPr>
          <w:p w14:paraId="3994F212">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41FF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0BA08746">
            <w:pPr>
              <w:spacing w:line="560" w:lineRule="exact"/>
              <w:jc w:val="center"/>
              <w:rPr>
                <w:rFonts w:ascii="仿宋_GB2312" w:eastAsia="仿宋_GB2312"/>
                <w:sz w:val="32"/>
                <w:szCs w:val="32"/>
              </w:rPr>
            </w:pPr>
            <w:r>
              <w:rPr>
                <w:rFonts w:hint="eastAsia" w:ascii="仿宋_GB2312" w:eastAsia="仿宋_GB2312"/>
                <w:sz w:val="32"/>
                <w:szCs w:val="32"/>
              </w:rPr>
              <w:t>第四层</w:t>
            </w:r>
          </w:p>
        </w:tc>
        <w:tc>
          <w:tcPr>
            <w:tcW w:w="3674" w:type="dxa"/>
            <w:vAlign w:val="center"/>
          </w:tcPr>
          <w:p w14:paraId="738CE28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390</w:t>
            </w:r>
          </w:p>
        </w:tc>
        <w:tc>
          <w:tcPr>
            <w:tcW w:w="3194" w:type="dxa"/>
            <w:vAlign w:val="center"/>
          </w:tcPr>
          <w:p w14:paraId="57B38D97">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35E8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54CCBAE">
            <w:pPr>
              <w:spacing w:line="560" w:lineRule="exact"/>
              <w:jc w:val="center"/>
              <w:rPr>
                <w:rFonts w:ascii="仿宋_GB2312" w:eastAsia="仿宋_GB2312"/>
                <w:sz w:val="32"/>
                <w:szCs w:val="32"/>
              </w:rPr>
            </w:pPr>
            <w:r>
              <w:rPr>
                <w:rFonts w:hint="eastAsia" w:ascii="仿宋_GB2312" w:eastAsia="仿宋_GB2312"/>
                <w:sz w:val="32"/>
                <w:szCs w:val="32"/>
              </w:rPr>
              <w:t>第五层</w:t>
            </w:r>
          </w:p>
        </w:tc>
        <w:tc>
          <w:tcPr>
            <w:tcW w:w="3674" w:type="dxa"/>
            <w:vAlign w:val="center"/>
          </w:tcPr>
          <w:p w14:paraId="63D300D1">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420</w:t>
            </w:r>
          </w:p>
        </w:tc>
        <w:tc>
          <w:tcPr>
            <w:tcW w:w="3194" w:type="dxa"/>
            <w:vAlign w:val="center"/>
          </w:tcPr>
          <w:p w14:paraId="44682433">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4B1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1D7652BF">
            <w:pPr>
              <w:spacing w:line="560" w:lineRule="exact"/>
              <w:jc w:val="center"/>
              <w:rPr>
                <w:rFonts w:ascii="仿宋_GB2312" w:eastAsia="仿宋_GB2312"/>
                <w:sz w:val="32"/>
                <w:szCs w:val="32"/>
              </w:rPr>
            </w:pPr>
            <w:r>
              <w:rPr>
                <w:rFonts w:hint="eastAsia" w:ascii="仿宋_GB2312" w:eastAsia="仿宋_GB2312"/>
                <w:sz w:val="32"/>
                <w:szCs w:val="32"/>
              </w:rPr>
              <w:t>第六层</w:t>
            </w:r>
          </w:p>
        </w:tc>
        <w:tc>
          <w:tcPr>
            <w:tcW w:w="3674" w:type="dxa"/>
            <w:vAlign w:val="center"/>
          </w:tcPr>
          <w:p w14:paraId="784CCC7B">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480</w:t>
            </w:r>
          </w:p>
        </w:tc>
        <w:tc>
          <w:tcPr>
            <w:tcW w:w="3194" w:type="dxa"/>
            <w:vAlign w:val="center"/>
          </w:tcPr>
          <w:p w14:paraId="031E0CED">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0500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3E1F4380">
            <w:pPr>
              <w:spacing w:line="560" w:lineRule="exact"/>
              <w:jc w:val="center"/>
              <w:rPr>
                <w:rFonts w:ascii="仿宋_GB2312" w:eastAsia="仿宋_GB2312"/>
                <w:sz w:val="32"/>
                <w:szCs w:val="32"/>
              </w:rPr>
            </w:pPr>
            <w:r>
              <w:rPr>
                <w:rFonts w:hint="eastAsia" w:ascii="仿宋_GB2312" w:eastAsia="仿宋_GB2312"/>
                <w:sz w:val="32"/>
                <w:szCs w:val="32"/>
              </w:rPr>
              <w:t>第七层</w:t>
            </w:r>
          </w:p>
        </w:tc>
        <w:tc>
          <w:tcPr>
            <w:tcW w:w="3674" w:type="dxa"/>
            <w:vAlign w:val="center"/>
          </w:tcPr>
          <w:p w14:paraId="31ED275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2540</w:t>
            </w:r>
          </w:p>
        </w:tc>
        <w:tc>
          <w:tcPr>
            <w:tcW w:w="3194" w:type="dxa"/>
            <w:vAlign w:val="center"/>
          </w:tcPr>
          <w:p w14:paraId="16E20047">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4E4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5B79346">
            <w:pPr>
              <w:spacing w:line="560" w:lineRule="exact"/>
              <w:jc w:val="center"/>
              <w:rPr>
                <w:rFonts w:ascii="仿宋_GB2312" w:eastAsia="仿宋_GB2312"/>
                <w:sz w:val="32"/>
                <w:szCs w:val="32"/>
              </w:rPr>
            </w:pPr>
            <w:r>
              <w:rPr>
                <w:rFonts w:hint="eastAsia" w:ascii="仿宋_GB2312" w:eastAsia="仿宋_GB2312"/>
                <w:sz w:val="32"/>
                <w:szCs w:val="32"/>
              </w:rPr>
              <w:t>第八层</w:t>
            </w:r>
          </w:p>
        </w:tc>
        <w:tc>
          <w:tcPr>
            <w:tcW w:w="3674" w:type="dxa"/>
            <w:vAlign w:val="center"/>
          </w:tcPr>
          <w:p w14:paraId="279B20F4">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2600</w:t>
            </w:r>
          </w:p>
        </w:tc>
        <w:tc>
          <w:tcPr>
            <w:tcW w:w="3194" w:type="dxa"/>
            <w:vAlign w:val="center"/>
          </w:tcPr>
          <w:p w14:paraId="74DD8813">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02F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203683C0">
            <w:pPr>
              <w:spacing w:line="560" w:lineRule="exact"/>
              <w:jc w:val="center"/>
              <w:rPr>
                <w:rFonts w:ascii="仿宋_GB2312" w:eastAsia="仿宋_GB2312"/>
                <w:sz w:val="32"/>
                <w:szCs w:val="32"/>
              </w:rPr>
            </w:pPr>
            <w:r>
              <w:rPr>
                <w:rFonts w:hint="eastAsia" w:ascii="仿宋_GB2312" w:eastAsia="仿宋_GB2312"/>
                <w:sz w:val="32"/>
                <w:szCs w:val="32"/>
              </w:rPr>
              <w:t>第九层</w:t>
            </w:r>
          </w:p>
        </w:tc>
        <w:tc>
          <w:tcPr>
            <w:tcW w:w="3674" w:type="dxa"/>
            <w:vAlign w:val="center"/>
          </w:tcPr>
          <w:p w14:paraId="70180BFF">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2660</w:t>
            </w:r>
          </w:p>
        </w:tc>
        <w:tc>
          <w:tcPr>
            <w:tcW w:w="3194" w:type="dxa"/>
            <w:vAlign w:val="center"/>
          </w:tcPr>
          <w:p w14:paraId="4504DE33">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6714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0530081B">
            <w:pPr>
              <w:spacing w:line="560" w:lineRule="exact"/>
              <w:jc w:val="center"/>
              <w:rPr>
                <w:rFonts w:ascii="仿宋_GB2312" w:eastAsia="仿宋_GB2312"/>
                <w:sz w:val="32"/>
                <w:szCs w:val="32"/>
              </w:rPr>
            </w:pPr>
            <w:r>
              <w:rPr>
                <w:rFonts w:hint="eastAsia" w:ascii="仿宋_GB2312" w:eastAsia="仿宋_GB2312"/>
                <w:sz w:val="32"/>
                <w:szCs w:val="32"/>
              </w:rPr>
              <w:t>第十层</w:t>
            </w:r>
          </w:p>
        </w:tc>
        <w:tc>
          <w:tcPr>
            <w:tcW w:w="3674" w:type="dxa"/>
            <w:vAlign w:val="center"/>
          </w:tcPr>
          <w:p w14:paraId="5BDE9F8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2720</w:t>
            </w:r>
          </w:p>
        </w:tc>
        <w:tc>
          <w:tcPr>
            <w:tcW w:w="3194" w:type="dxa"/>
            <w:vAlign w:val="center"/>
          </w:tcPr>
          <w:p w14:paraId="4273D9A8">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191F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4DB02D0">
            <w:pPr>
              <w:spacing w:line="560" w:lineRule="exact"/>
              <w:jc w:val="center"/>
              <w:rPr>
                <w:rFonts w:ascii="仿宋_GB2312" w:eastAsia="仿宋_GB2312"/>
                <w:sz w:val="32"/>
                <w:szCs w:val="32"/>
              </w:rPr>
            </w:pPr>
            <w:r>
              <w:rPr>
                <w:rFonts w:hint="eastAsia" w:ascii="仿宋_GB2312" w:eastAsia="仿宋_GB2312"/>
                <w:sz w:val="32"/>
                <w:szCs w:val="32"/>
              </w:rPr>
              <w:t>第十一层</w:t>
            </w:r>
          </w:p>
        </w:tc>
        <w:tc>
          <w:tcPr>
            <w:tcW w:w="3674" w:type="dxa"/>
            <w:vAlign w:val="center"/>
          </w:tcPr>
          <w:p w14:paraId="5DBA64CF">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2780</w:t>
            </w:r>
          </w:p>
        </w:tc>
        <w:tc>
          <w:tcPr>
            <w:tcW w:w="3194" w:type="dxa"/>
            <w:vAlign w:val="center"/>
          </w:tcPr>
          <w:p w14:paraId="13DAE79A">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B31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1331F463">
            <w:pPr>
              <w:spacing w:line="560" w:lineRule="exact"/>
              <w:jc w:val="center"/>
              <w:rPr>
                <w:rFonts w:ascii="仿宋_GB2312" w:eastAsia="仿宋_GB2312"/>
                <w:sz w:val="32"/>
                <w:szCs w:val="32"/>
              </w:rPr>
            </w:pPr>
            <w:r>
              <w:rPr>
                <w:rFonts w:hint="eastAsia" w:ascii="仿宋_GB2312" w:eastAsia="仿宋_GB2312"/>
                <w:sz w:val="32"/>
                <w:szCs w:val="32"/>
              </w:rPr>
              <w:t>第十二层</w:t>
            </w:r>
          </w:p>
        </w:tc>
        <w:tc>
          <w:tcPr>
            <w:tcW w:w="3674" w:type="dxa"/>
            <w:vAlign w:val="center"/>
          </w:tcPr>
          <w:p w14:paraId="0CDFD140">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2860</w:t>
            </w:r>
          </w:p>
        </w:tc>
        <w:tc>
          <w:tcPr>
            <w:tcW w:w="3194" w:type="dxa"/>
            <w:vAlign w:val="center"/>
          </w:tcPr>
          <w:p w14:paraId="5FD45F75">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02E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43D5FBFE">
            <w:pPr>
              <w:spacing w:line="560" w:lineRule="exact"/>
              <w:jc w:val="center"/>
              <w:rPr>
                <w:rFonts w:ascii="仿宋_GB2312" w:eastAsia="仿宋_GB2312"/>
                <w:sz w:val="32"/>
                <w:szCs w:val="32"/>
              </w:rPr>
            </w:pPr>
            <w:r>
              <w:rPr>
                <w:rFonts w:hint="eastAsia" w:ascii="仿宋_GB2312" w:eastAsia="仿宋_GB2312"/>
                <w:sz w:val="32"/>
                <w:szCs w:val="32"/>
              </w:rPr>
              <w:t>第十三层</w:t>
            </w:r>
          </w:p>
        </w:tc>
        <w:tc>
          <w:tcPr>
            <w:tcW w:w="3674" w:type="dxa"/>
            <w:vAlign w:val="center"/>
          </w:tcPr>
          <w:p w14:paraId="1A034D1D">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2940</w:t>
            </w:r>
          </w:p>
        </w:tc>
        <w:tc>
          <w:tcPr>
            <w:tcW w:w="3194" w:type="dxa"/>
            <w:vAlign w:val="center"/>
          </w:tcPr>
          <w:p w14:paraId="709C1EDF">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128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85163AC">
            <w:pPr>
              <w:spacing w:line="560" w:lineRule="exact"/>
              <w:jc w:val="center"/>
              <w:rPr>
                <w:rFonts w:ascii="仿宋_GB2312" w:eastAsia="仿宋_GB2312"/>
                <w:sz w:val="32"/>
                <w:szCs w:val="32"/>
              </w:rPr>
            </w:pPr>
            <w:r>
              <w:rPr>
                <w:rFonts w:hint="eastAsia" w:ascii="仿宋_GB2312" w:eastAsia="仿宋_GB2312"/>
                <w:sz w:val="32"/>
                <w:szCs w:val="32"/>
              </w:rPr>
              <w:t>第十四层</w:t>
            </w:r>
          </w:p>
        </w:tc>
        <w:tc>
          <w:tcPr>
            <w:tcW w:w="3674" w:type="dxa"/>
            <w:vAlign w:val="center"/>
          </w:tcPr>
          <w:p w14:paraId="5BC2F65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020</w:t>
            </w:r>
          </w:p>
        </w:tc>
        <w:tc>
          <w:tcPr>
            <w:tcW w:w="3194" w:type="dxa"/>
            <w:vAlign w:val="center"/>
          </w:tcPr>
          <w:p w14:paraId="20771916">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5328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25DF4449">
            <w:pPr>
              <w:spacing w:line="560" w:lineRule="exact"/>
              <w:jc w:val="center"/>
              <w:rPr>
                <w:rFonts w:ascii="仿宋_GB2312" w:eastAsia="仿宋_GB2312"/>
                <w:sz w:val="32"/>
                <w:szCs w:val="32"/>
              </w:rPr>
            </w:pPr>
            <w:r>
              <w:rPr>
                <w:rFonts w:hint="eastAsia" w:ascii="仿宋_GB2312" w:eastAsia="仿宋_GB2312"/>
                <w:sz w:val="32"/>
                <w:szCs w:val="32"/>
              </w:rPr>
              <w:t>第十五层</w:t>
            </w:r>
          </w:p>
        </w:tc>
        <w:tc>
          <w:tcPr>
            <w:tcW w:w="3674" w:type="dxa"/>
            <w:vAlign w:val="center"/>
          </w:tcPr>
          <w:p w14:paraId="3A7C7910">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100</w:t>
            </w:r>
          </w:p>
        </w:tc>
        <w:tc>
          <w:tcPr>
            <w:tcW w:w="3194" w:type="dxa"/>
            <w:vAlign w:val="center"/>
          </w:tcPr>
          <w:p w14:paraId="1FE17CC5">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3818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4164641">
            <w:pPr>
              <w:spacing w:line="560" w:lineRule="exact"/>
              <w:jc w:val="center"/>
              <w:rPr>
                <w:rFonts w:ascii="仿宋_GB2312" w:eastAsia="仿宋_GB2312"/>
                <w:sz w:val="32"/>
                <w:szCs w:val="32"/>
              </w:rPr>
            </w:pPr>
            <w:r>
              <w:rPr>
                <w:rFonts w:hint="eastAsia" w:ascii="仿宋_GB2312" w:eastAsia="仿宋_GB2312"/>
                <w:sz w:val="32"/>
                <w:szCs w:val="32"/>
              </w:rPr>
              <w:t>第十六层</w:t>
            </w:r>
          </w:p>
        </w:tc>
        <w:tc>
          <w:tcPr>
            <w:tcW w:w="3674" w:type="dxa"/>
            <w:vAlign w:val="center"/>
          </w:tcPr>
          <w:p w14:paraId="66E389E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180</w:t>
            </w:r>
          </w:p>
        </w:tc>
        <w:tc>
          <w:tcPr>
            <w:tcW w:w="3194" w:type="dxa"/>
            <w:vAlign w:val="center"/>
          </w:tcPr>
          <w:p w14:paraId="357204FC">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12D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00425E8">
            <w:pPr>
              <w:spacing w:line="560" w:lineRule="exact"/>
              <w:jc w:val="center"/>
              <w:rPr>
                <w:rFonts w:ascii="仿宋_GB2312" w:eastAsia="仿宋_GB2312"/>
                <w:sz w:val="32"/>
                <w:szCs w:val="32"/>
              </w:rPr>
            </w:pPr>
            <w:r>
              <w:rPr>
                <w:rFonts w:hint="eastAsia" w:ascii="仿宋_GB2312" w:eastAsia="仿宋_GB2312"/>
                <w:sz w:val="32"/>
                <w:szCs w:val="32"/>
              </w:rPr>
              <w:t>第十七层</w:t>
            </w:r>
          </w:p>
        </w:tc>
        <w:tc>
          <w:tcPr>
            <w:tcW w:w="3674" w:type="dxa"/>
            <w:vAlign w:val="center"/>
          </w:tcPr>
          <w:p w14:paraId="0FCE2794">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2720</w:t>
            </w:r>
          </w:p>
        </w:tc>
        <w:tc>
          <w:tcPr>
            <w:tcW w:w="3194" w:type="dxa"/>
            <w:vAlign w:val="center"/>
          </w:tcPr>
          <w:p w14:paraId="7B42F312">
            <w:pPr>
              <w:spacing w:line="560" w:lineRule="exact"/>
              <w:jc w:val="center"/>
              <w:rPr>
                <w:rFonts w:ascii="仿宋_GB2312" w:eastAsia="仿宋_GB2312"/>
                <w:sz w:val="32"/>
                <w:szCs w:val="32"/>
              </w:rPr>
            </w:pPr>
          </w:p>
        </w:tc>
      </w:tr>
      <w:tr w14:paraId="419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C284B35">
            <w:pPr>
              <w:spacing w:line="560" w:lineRule="exact"/>
              <w:jc w:val="center"/>
              <w:rPr>
                <w:rFonts w:ascii="仿宋_GB2312" w:eastAsia="仿宋_GB2312"/>
                <w:sz w:val="32"/>
                <w:szCs w:val="32"/>
              </w:rPr>
            </w:pPr>
            <w:r>
              <w:rPr>
                <w:rFonts w:hint="eastAsia" w:ascii="仿宋_GB2312" w:eastAsia="仿宋_GB2312"/>
                <w:sz w:val="32"/>
                <w:szCs w:val="32"/>
              </w:rPr>
              <w:t>备注</w:t>
            </w:r>
          </w:p>
        </w:tc>
        <w:tc>
          <w:tcPr>
            <w:tcW w:w="6868" w:type="dxa"/>
            <w:gridSpan w:val="2"/>
            <w:vAlign w:val="center"/>
          </w:tcPr>
          <w:p w14:paraId="4FABDB31">
            <w:pPr>
              <w:spacing w:line="560" w:lineRule="exact"/>
              <w:jc w:val="center"/>
              <w:rPr>
                <w:rFonts w:ascii="仿宋_GB2312" w:eastAsia="仿宋_GB2312"/>
                <w:sz w:val="32"/>
                <w:szCs w:val="32"/>
              </w:rPr>
            </w:pPr>
            <w:r>
              <w:rPr>
                <w:rFonts w:hint="eastAsia" w:ascii="仿宋_GB2312" w:eastAsia="仿宋_GB2312"/>
                <w:sz w:val="32"/>
                <w:szCs w:val="32"/>
              </w:rPr>
              <w:t>第十七层为单层套房</w:t>
            </w:r>
          </w:p>
        </w:tc>
      </w:tr>
    </w:tbl>
    <w:p w14:paraId="768802C5">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安置房市场价格按评估机构评估确定。</w:t>
      </w:r>
    </w:p>
    <w:p w14:paraId="71189604">
      <w:pPr>
        <w:spacing w:line="57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（四）沿街（城市规划道路）的首层铺面按下列原则和方式进行产权调换：</w:t>
      </w:r>
    </w:p>
    <w:p w14:paraId="169581D3">
      <w:pPr>
        <w:spacing w:line="570" w:lineRule="exact"/>
        <w:ind w:firstLine="640" w:firstLineChars="200"/>
        <w:rPr>
          <w:rFonts w:ascii="仿宋_GB2312" w:eastAsia="仿宋_GB2312"/>
          <w:sz w:val="32"/>
          <w:szCs w:val="32"/>
        </w:rPr>
      </w:pPr>
      <w:r>
        <w:rPr>
          <w:rFonts w:hint="eastAsia" w:ascii="仿宋_GB2312" w:eastAsia="仿宋_GB2312"/>
          <w:sz w:val="32"/>
          <w:szCs w:val="32"/>
        </w:rPr>
        <w:t>1．首层铺面选择产权调换的，原则上按建筑面积1:1调换。调换后被征收铺面剩余面积达到调换铺面单元面积的50%以上（含50%），被征收人可再行申请调换另一单元的铺面，不足50%的部分不予调换,按评估机构评估价格给予货币补偿。</w:t>
      </w:r>
    </w:p>
    <w:p w14:paraId="42D6C310">
      <w:pPr>
        <w:spacing w:line="570" w:lineRule="exact"/>
        <w:ind w:firstLine="640" w:firstLineChars="200"/>
        <w:rPr>
          <w:rFonts w:ascii="仿宋_GB2312" w:eastAsia="仿宋_GB2312"/>
          <w:sz w:val="32"/>
          <w:szCs w:val="32"/>
        </w:rPr>
      </w:pPr>
      <w:r>
        <w:rPr>
          <w:rFonts w:hint="eastAsia" w:ascii="仿宋_GB2312" w:eastAsia="仿宋_GB2312"/>
          <w:sz w:val="32"/>
          <w:szCs w:val="32"/>
        </w:rPr>
        <w:t>2．被征收铺面的市场价和产权调换铺面的市场价均按评估机构评估价值确定，评估后互补差价结算，多还少补。</w:t>
      </w:r>
    </w:p>
    <w:p w14:paraId="4A334283">
      <w:pPr>
        <w:spacing w:line="570" w:lineRule="exact"/>
        <w:ind w:firstLine="640" w:firstLineChars="200"/>
        <w:rPr>
          <w:rFonts w:ascii="仿宋_GB2312" w:eastAsia="仿宋_GB2312"/>
          <w:sz w:val="32"/>
          <w:szCs w:val="32"/>
        </w:rPr>
      </w:pPr>
      <w:r>
        <w:rPr>
          <w:rFonts w:hint="eastAsia" w:ascii="仿宋_GB2312" w:eastAsia="仿宋_GB2312"/>
          <w:sz w:val="32"/>
          <w:szCs w:val="32"/>
        </w:rPr>
        <w:t>3．产权调换的铺面，由被征收人按签订补偿安置协议的先后顺序，在安置区内的铺面中进行选择，调换完即止。</w:t>
      </w:r>
    </w:p>
    <w:p w14:paraId="1E4BFD33">
      <w:pPr>
        <w:spacing w:line="57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五</w:t>
      </w:r>
      <w:r>
        <w:rPr>
          <w:rFonts w:hint="eastAsia" w:ascii="仿宋_GB2312" w:hAnsi="仿宋" w:eastAsia="仿宋_GB2312"/>
          <w:b/>
          <w:sz w:val="32"/>
          <w:szCs w:val="32"/>
        </w:rPr>
        <w:t>）住宅房屋临迁过渡安置</w:t>
      </w:r>
    </w:p>
    <w:p w14:paraId="19BA4602">
      <w:pPr>
        <w:spacing w:line="576" w:lineRule="exact"/>
        <w:ind w:firstLine="656" w:firstLineChars="200"/>
        <w:rPr>
          <w:rFonts w:ascii="仿宋_GB2312" w:eastAsia="仿宋_GB2312"/>
          <w:sz w:val="32"/>
          <w:szCs w:val="32"/>
        </w:rPr>
      </w:pPr>
      <w:r>
        <w:rPr>
          <w:rFonts w:hint="eastAsia" w:ascii="仿宋_GB2312" w:eastAsia="仿宋_GB2312"/>
          <w:spacing w:val="4"/>
          <w:sz w:val="32"/>
          <w:szCs w:val="32"/>
        </w:rPr>
        <w:t>1</w:t>
      </w:r>
      <w:r>
        <w:rPr>
          <w:rFonts w:hint="eastAsia" w:ascii="仿宋_GB2312" w:eastAsia="仿宋_GB2312"/>
          <w:spacing w:val="4"/>
          <w:sz w:val="32"/>
          <w:szCs w:val="32"/>
          <w:lang w:eastAsia="zh-CN"/>
        </w:rPr>
        <w:t>.</w:t>
      </w:r>
      <w:r>
        <w:rPr>
          <w:rFonts w:hint="eastAsia" w:ascii="仿宋_GB2312" w:eastAsia="仿宋_GB2312"/>
          <w:spacing w:val="4"/>
          <w:sz w:val="32"/>
          <w:szCs w:val="32"/>
        </w:rPr>
        <w:t>被征收人选择房屋货币补偿，且在签订房屋征收补偿安置协议书约定时间一个月内搬迁完毕的，按被征收房屋建筑面积</w:t>
      </w:r>
      <w:r>
        <w:rPr>
          <w:rFonts w:hint="eastAsia" w:ascii="仿宋_GB2312" w:eastAsia="仿宋_GB2312"/>
          <w:spacing w:val="4"/>
          <w:sz w:val="32"/>
          <w:szCs w:val="32"/>
          <w:lang w:val="en-US" w:eastAsia="zh-CN"/>
        </w:rPr>
        <w:t>6</w:t>
      </w:r>
      <w:r>
        <w:rPr>
          <w:rFonts w:hint="eastAsia" w:ascii="仿宋_GB2312" w:eastAsia="仿宋_GB2312"/>
          <w:spacing w:val="4"/>
          <w:sz w:val="32"/>
          <w:szCs w:val="32"/>
        </w:rPr>
        <w:t>元/</w:t>
      </w:r>
      <w:r>
        <w:rPr>
          <w:rFonts w:hint="eastAsia" w:ascii="仿宋_GB2312"/>
          <w:spacing w:val="4"/>
          <w:sz w:val="32"/>
          <w:szCs w:val="32"/>
        </w:rPr>
        <w:t>㎡</w:t>
      </w:r>
      <w:r>
        <w:rPr>
          <w:rFonts w:hint="eastAsia" w:ascii="仿宋_GB2312" w:eastAsia="仿宋_GB2312"/>
          <w:spacing w:val="4"/>
          <w:sz w:val="32"/>
          <w:szCs w:val="32"/>
        </w:rPr>
        <w:t>·月向被征收人支付3个月的临时安置补助费。每月</w:t>
      </w:r>
      <w:r>
        <w:rPr>
          <w:rFonts w:hint="eastAsia" w:ascii="仿宋_GB2312" w:eastAsia="仿宋_GB2312"/>
          <w:spacing w:val="4"/>
          <w:sz w:val="32"/>
          <w:szCs w:val="32"/>
          <w:lang w:eastAsia="zh-CN"/>
        </w:rPr>
        <w:t>每户</w:t>
      </w:r>
      <w:r>
        <w:rPr>
          <w:rFonts w:hint="eastAsia" w:ascii="仿宋_GB2312" w:eastAsia="仿宋_GB2312"/>
          <w:spacing w:val="4"/>
          <w:sz w:val="32"/>
          <w:szCs w:val="32"/>
        </w:rPr>
        <w:t>最高限额为</w:t>
      </w:r>
      <w:r>
        <w:rPr>
          <w:rFonts w:hint="eastAsia" w:ascii="仿宋_GB2312" w:eastAsia="仿宋_GB2312"/>
          <w:spacing w:val="4"/>
          <w:sz w:val="32"/>
          <w:szCs w:val="32"/>
          <w:lang w:val="en-US" w:eastAsia="zh-CN"/>
        </w:rPr>
        <w:t>15</w:t>
      </w:r>
      <w:r>
        <w:rPr>
          <w:rFonts w:hint="eastAsia" w:ascii="仿宋_GB2312" w:eastAsia="仿宋_GB2312"/>
          <w:spacing w:val="4"/>
          <w:sz w:val="32"/>
          <w:szCs w:val="32"/>
        </w:rPr>
        <w:t>00元。</w:t>
      </w:r>
      <w:r>
        <w:rPr>
          <w:rFonts w:hint="eastAsia" w:ascii="仿宋_GB2312" w:eastAsia="仿宋_GB2312"/>
          <w:sz w:val="32"/>
          <w:szCs w:val="32"/>
        </w:rPr>
        <w:t>临时安置补助费一次性支付给被征收人。</w:t>
      </w:r>
    </w:p>
    <w:p w14:paraId="58B11E70">
      <w:pPr>
        <w:spacing w:line="576" w:lineRule="exact"/>
        <w:ind w:firstLine="640" w:firstLineChars="200"/>
        <w:rPr>
          <w:rFonts w:ascii="仿宋_GB2312" w:eastAsia="仿宋_GB2312"/>
          <w:spacing w:val="4"/>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pacing w:val="4"/>
          <w:sz w:val="32"/>
          <w:szCs w:val="32"/>
        </w:rPr>
        <w:t>被征收人选择房屋产权调换的，产权调换房屋交付前，被征收人自行安排住处的,向被征收人支付临时安置费，</w:t>
      </w:r>
      <w:r>
        <w:rPr>
          <w:rFonts w:hint="eastAsia" w:ascii="仿宋_GB2312" w:eastAsia="仿宋_GB2312"/>
          <w:spacing w:val="2"/>
          <w:sz w:val="32"/>
          <w:szCs w:val="32"/>
        </w:rPr>
        <w:t>按用于调换安置房的建筑面积，</w:t>
      </w:r>
      <w:r>
        <w:rPr>
          <w:rFonts w:hint="eastAsia" w:ascii="仿宋_GB2312" w:eastAsia="仿宋_GB2312"/>
          <w:spacing w:val="-4"/>
          <w:sz w:val="32"/>
          <w:szCs w:val="32"/>
        </w:rPr>
        <w:t>向被征收人支付临时安置费</w:t>
      </w:r>
      <w:r>
        <w:rPr>
          <w:rFonts w:hint="eastAsia" w:ascii="仿宋_GB2312" w:eastAsia="仿宋_GB2312"/>
          <w:spacing w:val="-4"/>
          <w:sz w:val="32"/>
          <w:szCs w:val="32"/>
          <w:lang w:val="en-US" w:eastAsia="zh-CN"/>
        </w:rPr>
        <w:t>6</w:t>
      </w:r>
      <w:r>
        <w:rPr>
          <w:rFonts w:hint="eastAsia" w:ascii="仿宋_GB2312" w:eastAsia="仿宋_GB2312"/>
          <w:spacing w:val="-4"/>
          <w:sz w:val="32"/>
          <w:szCs w:val="32"/>
        </w:rPr>
        <w:t>元/</w:t>
      </w:r>
      <w:r>
        <w:rPr>
          <w:rFonts w:hint="eastAsia" w:ascii="仿宋_GB2312"/>
          <w:spacing w:val="-4"/>
          <w:sz w:val="32"/>
          <w:szCs w:val="32"/>
        </w:rPr>
        <w:t>㎡</w:t>
      </w:r>
      <w:r>
        <w:rPr>
          <w:rFonts w:hint="eastAsia" w:ascii="仿宋_GB2312" w:eastAsia="仿宋_GB2312"/>
          <w:spacing w:val="4"/>
          <w:sz w:val="32"/>
          <w:szCs w:val="32"/>
        </w:rPr>
        <w:t>·</w:t>
      </w:r>
      <w:r>
        <w:rPr>
          <w:rFonts w:hint="eastAsia" w:ascii="仿宋_GB2312" w:eastAsia="仿宋_GB2312"/>
          <w:spacing w:val="-4"/>
          <w:sz w:val="32"/>
          <w:szCs w:val="32"/>
        </w:rPr>
        <w:t>月，</w:t>
      </w:r>
      <w:r>
        <w:rPr>
          <w:rFonts w:hint="eastAsia" w:ascii="仿宋_GB2312" w:eastAsia="仿宋_GB2312"/>
          <w:spacing w:val="4"/>
          <w:sz w:val="32"/>
          <w:szCs w:val="32"/>
        </w:rPr>
        <w:t>每月</w:t>
      </w:r>
      <w:r>
        <w:rPr>
          <w:rFonts w:hint="eastAsia" w:ascii="仿宋_GB2312" w:eastAsia="仿宋_GB2312"/>
          <w:color w:val="333333"/>
          <w:kern w:val="0"/>
          <w:sz w:val="32"/>
          <w:szCs w:val="32"/>
          <w:lang w:eastAsia="zh-CN"/>
        </w:rPr>
        <w:t>每户</w:t>
      </w:r>
      <w:r>
        <w:rPr>
          <w:rFonts w:hint="eastAsia" w:ascii="仿宋_GB2312" w:eastAsia="仿宋_GB2312"/>
          <w:spacing w:val="4"/>
          <w:sz w:val="32"/>
          <w:szCs w:val="32"/>
        </w:rPr>
        <w:t>最高限额为</w:t>
      </w:r>
      <w:r>
        <w:rPr>
          <w:rFonts w:hint="eastAsia" w:ascii="仿宋_GB2312" w:eastAsia="仿宋_GB2312"/>
          <w:spacing w:val="4"/>
          <w:sz w:val="32"/>
          <w:szCs w:val="32"/>
          <w:lang w:val="en-US" w:eastAsia="zh-CN"/>
        </w:rPr>
        <w:t>15</w:t>
      </w:r>
      <w:r>
        <w:rPr>
          <w:rFonts w:hint="eastAsia" w:ascii="仿宋_GB2312" w:eastAsia="仿宋_GB2312"/>
          <w:spacing w:val="4"/>
          <w:sz w:val="32"/>
          <w:szCs w:val="32"/>
        </w:rPr>
        <w:t>00元。临时安置补助费的发放从被征收人交出被征收房屋起到交付安置用房后满三个月止。</w:t>
      </w:r>
    </w:p>
    <w:p w14:paraId="2D5171B8">
      <w:pPr>
        <w:spacing w:line="576"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被征收人选择房屋产权调换的，产权调换房屋交付前，被征收人使用房屋征收部门提供周转用房的，不支付临时安置补助费。在过渡期内，周转用房的水、电</w:t>
      </w:r>
      <w:r>
        <w:rPr>
          <w:rFonts w:hint="eastAsia" w:eastAsia="仿宋_GB2312"/>
          <w:color w:val="333333"/>
          <w:kern w:val="0"/>
          <w:sz w:val="28"/>
          <w:szCs w:val="28"/>
        </w:rPr>
        <w:t>、</w:t>
      </w:r>
      <w:r>
        <w:rPr>
          <w:rFonts w:hint="eastAsia" w:eastAsia="仿宋_GB2312"/>
          <w:color w:val="333333"/>
          <w:kern w:val="0"/>
          <w:sz w:val="32"/>
          <w:szCs w:val="32"/>
        </w:rPr>
        <w:t>物业、电话、网络、有线电视、燃气</w:t>
      </w:r>
      <w:r>
        <w:rPr>
          <w:rFonts w:hint="eastAsia" w:ascii="仿宋_GB2312" w:eastAsia="仿宋_GB2312"/>
          <w:sz w:val="32"/>
          <w:szCs w:val="32"/>
        </w:rPr>
        <w:t>等费用由被征收人负责。</w:t>
      </w:r>
    </w:p>
    <w:p w14:paraId="33AB8DBE">
      <w:pPr>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六</w:t>
      </w:r>
      <w:r>
        <w:rPr>
          <w:rFonts w:hint="eastAsia" w:ascii="仿宋_GB2312" w:hAnsi="仿宋" w:eastAsia="仿宋_GB2312"/>
          <w:b/>
          <w:sz w:val="32"/>
          <w:szCs w:val="32"/>
        </w:rPr>
        <w:t>）房屋可迁附属物的补偿</w:t>
      </w:r>
    </w:p>
    <w:p w14:paraId="2220D714">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征收房屋内的电话、网络、有线电视、空调等附属设备迁移费，按现行收费标准据实支付。</w:t>
      </w:r>
    </w:p>
    <w:p w14:paraId="5676DBE2">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七</w:t>
      </w:r>
      <w:r>
        <w:rPr>
          <w:rFonts w:hint="eastAsia" w:ascii="仿宋_GB2312" w:hAnsi="仿宋" w:eastAsia="仿宋_GB2312"/>
          <w:b/>
          <w:spacing w:val="2"/>
          <w:sz w:val="32"/>
          <w:szCs w:val="32"/>
        </w:rPr>
        <w:t>）企业、商业用房因征收房屋造成停产停业损失的补偿</w:t>
      </w:r>
    </w:p>
    <w:p w14:paraId="10423CD6">
      <w:pPr>
        <w:spacing w:line="576" w:lineRule="exact"/>
        <w:ind w:firstLine="640" w:firstLineChars="200"/>
        <w:rPr>
          <w:rFonts w:ascii="仿宋_GB2312" w:eastAsia="仿宋_GB2312"/>
          <w:sz w:val="32"/>
          <w:szCs w:val="32"/>
        </w:rPr>
      </w:pPr>
      <w:r>
        <w:rPr>
          <w:rFonts w:hint="eastAsia" w:ascii="仿宋_GB2312" w:eastAsia="仿宋_GB2312"/>
          <w:sz w:val="32"/>
          <w:szCs w:val="32"/>
        </w:rPr>
        <w:t>1．经营中的铺面，按实际经营面积（建筑面积）</w:t>
      </w:r>
      <w:r>
        <w:rPr>
          <w:rFonts w:hint="eastAsia" w:ascii="仿宋_GB2312" w:eastAsia="仿宋_GB2312"/>
          <w:sz w:val="32"/>
          <w:szCs w:val="32"/>
          <w:lang w:val="en-US" w:eastAsia="zh-CN"/>
        </w:rPr>
        <w:t>5</w:t>
      </w:r>
      <w:r>
        <w:rPr>
          <w:rFonts w:hint="eastAsia" w:ascii="仿宋_GB2312" w:eastAsia="仿宋_GB2312"/>
          <w:sz w:val="32"/>
          <w:szCs w:val="32"/>
        </w:rPr>
        <w:t>0元/</w:t>
      </w:r>
      <w:r>
        <w:rPr>
          <w:rFonts w:hint="eastAsia" w:ascii="仿宋_GB2312"/>
          <w:sz w:val="32"/>
          <w:szCs w:val="32"/>
        </w:rPr>
        <w:t>㎡</w:t>
      </w:r>
      <w:r>
        <w:rPr>
          <w:rFonts w:hint="eastAsia" w:ascii="仿宋_GB2312" w:eastAsia="仿宋_GB2312"/>
          <w:sz w:val="32"/>
          <w:szCs w:val="32"/>
        </w:rPr>
        <w:t>的标准一次性补偿给经营者停产停业损失或按税务部门提供税单为依据进行评估补偿。</w:t>
      </w:r>
    </w:p>
    <w:p w14:paraId="45A11139">
      <w:pPr>
        <w:spacing w:line="576" w:lineRule="exact"/>
        <w:ind w:firstLine="640" w:firstLineChars="200"/>
        <w:rPr>
          <w:rFonts w:ascii="仿宋_GB2312" w:eastAsia="仿宋_GB2312"/>
          <w:sz w:val="32"/>
          <w:szCs w:val="32"/>
        </w:rPr>
      </w:pPr>
      <w:r>
        <w:rPr>
          <w:rFonts w:hint="eastAsia" w:ascii="仿宋_GB2312" w:eastAsia="仿宋_GB2312"/>
          <w:sz w:val="32"/>
          <w:szCs w:val="32"/>
        </w:rPr>
        <w:t>城市规划道路外的房屋，已依法取得营业执照，可根据经营情况、经营年限及纳税等实际情况适当补偿给经营者。</w:t>
      </w:r>
    </w:p>
    <w:p w14:paraId="0879FA6D">
      <w:pPr>
        <w:spacing w:line="576" w:lineRule="exact"/>
        <w:ind w:firstLine="640" w:firstLineChars="200"/>
        <w:rPr>
          <w:rFonts w:ascii="仿宋_GB2312" w:eastAsia="仿宋_GB2312"/>
          <w:sz w:val="32"/>
          <w:szCs w:val="32"/>
        </w:rPr>
      </w:pPr>
      <w:r>
        <w:rPr>
          <w:rFonts w:hint="eastAsia" w:ascii="仿宋_GB2312" w:eastAsia="仿宋_GB2312"/>
          <w:sz w:val="32"/>
          <w:szCs w:val="32"/>
        </w:rPr>
        <w:t>2．在产权调换期间被征收铺面的租金损失，按评估机构评估价格进行补偿,补偿期限从被征收人移交铺面给征收部门之日起至产权调换铺面交付之日止。</w:t>
      </w:r>
    </w:p>
    <w:p w14:paraId="7FD0C5F8">
      <w:pPr>
        <w:widowControl/>
        <w:adjustRightInd w:val="0"/>
        <w:snapToGrid w:val="0"/>
        <w:spacing w:line="576" w:lineRule="exact"/>
        <w:ind w:firstLine="641"/>
        <w:rPr>
          <w:rFonts w:ascii="仿宋_GB2312" w:eastAsia="仿宋_GB2312"/>
          <w:color w:val="333333"/>
          <w:kern w:val="0"/>
          <w:sz w:val="32"/>
          <w:szCs w:val="32"/>
        </w:rPr>
      </w:pPr>
      <w:r>
        <w:rPr>
          <w:rFonts w:hint="eastAsia" w:ascii="仿宋_GB2312" w:eastAsia="仿宋_GB2312"/>
          <w:sz w:val="32"/>
          <w:szCs w:val="32"/>
        </w:rPr>
        <w:t>3．</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企业工厂停产停业损失的补偿，按广东省住房和城乡建设厅</w:t>
      </w:r>
      <w:r>
        <w:rPr>
          <w:rFonts w:hint="eastAsia" w:ascii="仿宋_GB2312" w:eastAsia="仿宋_GB2312"/>
          <w:color w:val="0D0D0D" w:themeColor="text1" w:themeTint="F2"/>
          <w:kern w:val="0"/>
          <w:sz w:val="32"/>
          <w:szCs w:val="32"/>
          <w:highlight w:val="none"/>
          <w14:textFill>
            <w14:solidFill>
              <w14:schemeClr w14:val="tx1">
                <w14:lumMod w14:val="95000"/>
                <w14:lumOff w14:val="5000"/>
              </w14:schemeClr>
            </w14:solidFill>
          </w14:textFill>
        </w:rPr>
        <w:t>《关于实施＜国有土地上房屋征收与补偿条例＞有关具体问题的通知》（粤建房〔2013〕26号）执</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行。房屋征收决定公告之日前已停产停业的企业工厂不给予停产停业损失补偿。</w:t>
      </w:r>
    </w:p>
    <w:p w14:paraId="2C87243D">
      <w:pPr>
        <w:spacing w:line="576" w:lineRule="exact"/>
        <w:ind w:firstLine="640" w:firstLineChars="200"/>
        <w:rPr>
          <w:rFonts w:ascii="仿宋_GB2312" w:eastAsia="仿宋_GB2312"/>
          <w:sz w:val="32"/>
          <w:szCs w:val="32"/>
        </w:rPr>
      </w:pPr>
      <w:r>
        <w:rPr>
          <w:rFonts w:hint="eastAsia" w:ascii="仿宋_GB2312" w:eastAsia="仿宋_GB2312"/>
          <w:sz w:val="32"/>
          <w:szCs w:val="32"/>
        </w:rPr>
        <w:t>4.</w:t>
      </w:r>
      <w:bookmarkStart w:id="0" w:name="_Hlk69808315"/>
      <w:bookmarkStart w:id="1" w:name="_Hlk69895700"/>
      <w:r>
        <w:rPr>
          <w:rFonts w:hint="eastAsia" w:eastAsia="仿宋_GB2312"/>
          <w:color w:val="333333"/>
          <w:kern w:val="0"/>
          <w:sz w:val="28"/>
          <w:szCs w:val="28"/>
        </w:rPr>
        <w:t xml:space="preserve"> </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企业因房屋征收搬迁造成的停产停业期间工人工资按</w:t>
      </w:r>
      <w:bookmarkStart w:id="2" w:name="_Hlk71214695"/>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房屋征收决定公告时点梅州市最低工资标准给予补助</w:t>
      </w:r>
      <w:bookmarkEnd w:id="2"/>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，最高不超过6个月</w:t>
      </w:r>
      <w:bookmarkEnd w:id="0"/>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。补助人数根据企业缴纳社会保险、签订劳动合同的人员名册确定。无法提供社保证明的，以房屋征收实施单位核实的企业上一年度平均人数为准</w:t>
      </w:r>
      <w:bookmarkEnd w:id="1"/>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w:t>
      </w:r>
    </w:p>
    <w:p w14:paraId="3F1919AE">
      <w:pPr>
        <w:spacing w:line="576" w:lineRule="exact"/>
        <w:ind w:firstLine="640" w:firstLineChars="200"/>
        <w:rPr>
          <w:rFonts w:ascii="仿宋_GB2312" w:eastAsia="仿宋_GB2312"/>
          <w:sz w:val="32"/>
          <w:szCs w:val="32"/>
        </w:rPr>
      </w:pPr>
      <w:r>
        <w:rPr>
          <w:rFonts w:hint="eastAsia" w:ascii="仿宋_GB2312" w:eastAsia="仿宋_GB2312"/>
          <w:sz w:val="32"/>
          <w:szCs w:val="32"/>
        </w:rPr>
        <w:t>5．企业、工厂设施无法搬迁的或一次性设备拆卸后无法再使用的，按评估机构评估价格进行补偿。</w:t>
      </w:r>
    </w:p>
    <w:p w14:paraId="6A63E147">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八</w:t>
      </w:r>
      <w:r>
        <w:rPr>
          <w:rFonts w:hint="eastAsia" w:ascii="仿宋_GB2312" w:hAnsi="仿宋" w:eastAsia="仿宋_GB2312"/>
          <w:b/>
          <w:spacing w:val="2"/>
          <w:sz w:val="32"/>
          <w:szCs w:val="32"/>
        </w:rPr>
        <w:t>）搬迁补助费</w:t>
      </w:r>
    </w:p>
    <w:p w14:paraId="0302522A">
      <w:pPr>
        <w:spacing w:line="576" w:lineRule="exact"/>
        <w:ind w:firstLine="640" w:firstLineChars="200"/>
        <w:rPr>
          <w:rFonts w:ascii="仿宋_GB2312" w:eastAsia="仿宋_GB2312"/>
          <w:sz w:val="32"/>
          <w:szCs w:val="32"/>
        </w:rPr>
      </w:pPr>
      <w:r>
        <w:rPr>
          <w:rFonts w:hint="eastAsia" w:ascii="仿宋_GB2312" w:eastAsia="仿宋_GB2312"/>
          <w:sz w:val="32"/>
          <w:szCs w:val="32"/>
        </w:rPr>
        <w:t>1．按被征收房屋建筑面积计算搬迁补助费：30元/</w:t>
      </w:r>
      <w:r>
        <w:rPr>
          <w:rFonts w:hint="eastAsia" w:ascii="仿宋_GB2312"/>
          <w:sz w:val="32"/>
          <w:szCs w:val="32"/>
        </w:rPr>
        <w:t>㎡</w:t>
      </w:r>
      <w:r>
        <w:rPr>
          <w:rFonts w:hint="eastAsia" w:ascii="仿宋_GB2312" w:eastAsia="仿宋_GB2312"/>
          <w:sz w:val="32"/>
          <w:szCs w:val="32"/>
        </w:rPr>
        <w:t>。</w:t>
      </w:r>
    </w:p>
    <w:p w14:paraId="67747B52">
      <w:pPr>
        <w:spacing w:line="576" w:lineRule="exact"/>
        <w:ind w:firstLine="640" w:firstLineChars="200"/>
        <w:rPr>
          <w:rFonts w:ascii="仿宋_GB2312" w:eastAsia="仿宋_GB2312"/>
          <w:sz w:val="32"/>
          <w:szCs w:val="32"/>
        </w:rPr>
      </w:pPr>
      <w:r>
        <w:rPr>
          <w:rFonts w:hint="eastAsia" w:ascii="仿宋_GB2312" w:eastAsia="仿宋_GB2312"/>
          <w:sz w:val="32"/>
          <w:szCs w:val="32"/>
        </w:rPr>
        <w:t>2．企业、机关和事业单位用房、设备、设施、仓库等的搬迁补助费，按房地产评估机构对搬迁费用的评估结果予以补助。</w:t>
      </w:r>
    </w:p>
    <w:p w14:paraId="0F60D14E">
      <w:pPr>
        <w:spacing w:line="576" w:lineRule="exact"/>
        <w:ind w:firstLine="640" w:firstLineChars="200"/>
        <w:rPr>
          <w:rFonts w:ascii="仿宋_GB2312" w:eastAsia="仿宋_GB2312"/>
          <w:sz w:val="32"/>
          <w:szCs w:val="32"/>
        </w:rPr>
      </w:pPr>
      <w:r>
        <w:rPr>
          <w:rFonts w:hint="eastAsia" w:ascii="仿宋_GB2312" w:eastAsia="仿宋_GB2312"/>
          <w:sz w:val="32"/>
          <w:szCs w:val="32"/>
        </w:rPr>
        <w:t>3．被征收房屋需依法实施强制执行的不给予搬迁补助费。</w:t>
      </w:r>
    </w:p>
    <w:p w14:paraId="5B018908">
      <w:pPr>
        <w:widowControl/>
        <w:adjustRightInd w:val="0"/>
        <w:snapToGrid w:val="0"/>
        <w:spacing w:line="576" w:lineRule="exact"/>
        <w:ind w:firstLine="641"/>
        <w:rPr>
          <w:rFonts w:eastAsia="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九</w:t>
      </w:r>
      <w:r>
        <w:rPr>
          <w:rFonts w:hint="eastAsia" w:ascii="仿宋_GB2312" w:hAnsi="仿宋" w:eastAsia="仿宋_GB2312"/>
          <w:b/>
          <w:spacing w:val="2"/>
          <w:sz w:val="32"/>
          <w:szCs w:val="32"/>
        </w:rPr>
        <w:t>）</w:t>
      </w:r>
      <w:r>
        <w:rPr>
          <w:rFonts w:hint="eastAsia" w:eastAsia="仿宋_GB2312"/>
          <w:b/>
          <w:color w:val="0D0D0D" w:themeColor="text1" w:themeTint="F2"/>
          <w:kern w:val="0"/>
          <w:sz w:val="32"/>
          <w:szCs w:val="32"/>
          <w14:textFill>
            <w14:solidFill>
              <w14:schemeClr w14:val="tx1">
                <w14:lumMod w14:val="95000"/>
                <w14:lumOff w14:val="5000"/>
              </w14:schemeClr>
            </w14:solidFill>
          </w14:textFill>
        </w:rPr>
        <w:t>有效证件的补偿</w:t>
      </w:r>
    </w:p>
    <w:p w14:paraId="07947040">
      <w:pPr>
        <w:widowControl/>
        <w:adjustRightInd w:val="0"/>
        <w:snapToGrid w:val="0"/>
        <w:spacing w:line="576" w:lineRule="exact"/>
        <w:ind w:firstLine="641"/>
        <w:rPr>
          <w:rFonts w:eastAsia="仿宋_GB2312"/>
          <w:color w:val="0D0D0D" w:themeColor="text1" w:themeTint="F2"/>
          <w:kern w:val="0"/>
          <w:sz w:val="32"/>
          <w:szCs w:val="32"/>
          <w14:textFill>
            <w14:solidFill>
              <w14:schemeClr w14:val="tx1">
                <w14:lumMod w14:val="95000"/>
                <w14:lumOff w14:val="5000"/>
              </w14:schemeClr>
            </w14:solidFill>
          </w14:textFill>
        </w:rPr>
      </w:pPr>
      <w:r>
        <w:rPr>
          <w:rFonts w:hint="eastAsia" w:eastAsia="仿宋_GB2312"/>
          <w:color w:val="0D0D0D" w:themeColor="text1" w:themeTint="F2"/>
          <w:kern w:val="0"/>
          <w:sz w:val="32"/>
          <w:szCs w:val="32"/>
          <w14:textFill>
            <w14:solidFill>
              <w14:schemeClr w14:val="tx1">
                <w14:lumMod w14:val="95000"/>
                <w14:lumOff w14:val="5000"/>
              </w14:schemeClr>
            </w14:solidFill>
          </w14:textFill>
        </w:rPr>
        <w:t>被征收房屋已办理</w:t>
      </w:r>
      <w:r>
        <w:rPr>
          <w:rFonts w:eastAsia="仿宋_GB2312"/>
          <w:color w:val="0D0D0D" w:themeColor="text1" w:themeTint="F2"/>
          <w:kern w:val="0"/>
          <w:sz w:val="32"/>
          <w:szCs w:val="32"/>
          <w14:textFill>
            <w14:solidFill>
              <w14:schemeClr w14:val="tx1">
                <w14:lumMod w14:val="95000"/>
                <w14:lumOff w14:val="5000"/>
              </w14:schemeClr>
            </w14:solidFill>
          </w14:textFill>
        </w:rPr>
        <w:t>《国有土地使用证》</w:t>
      </w:r>
      <w:r>
        <w:rPr>
          <w:rFonts w:hint="eastAsia" w:eastAsia="仿宋_GB2312"/>
          <w:color w:val="0D0D0D" w:themeColor="text1" w:themeTint="F2"/>
          <w:kern w:val="0"/>
          <w:sz w:val="32"/>
          <w:szCs w:val="32"/>
          <w:lang w:eastAsia="zh-CN"/>
          <w14:textFill>
            <w14:solidFill>
              <w14:schemeClr w14:val="tx1">
                <w14:lumMod w14:val="95000"/>
                <w14:lumOff w14:val="5000"/>
              </w14:schemeClr>
            </w14:solidFill>
          </w14:textFill>
        </w:rPr>
        <w:t>、</w:t>
      </w:r>
      <w:r>
        <w:rPr>
          <w:rFonts w:hint="eastAsia" w:eastAsia="仿宋_GB2312"/>
          <w:color w:val="0D0D0D" w:themeColor="text1" w:themeTint="F2"/>
          <w:kern w:val="0"/>
          <w:sz w:val="32"/>
          <w:szCs w:val="32"/>
          <w14:textFill>
            <w14:solidFill>
              <w14:schemeClr w14:val="tx1">
                <w14:lumMod w14:val="95000"/>
                <w14:lumOff w14:val="5000"/>
              </w14:schemeClr>
            </w14:solidFill>
          </w14:textFill>
        </w:rPr>
        <w:t>《房屋所有权证》、《房地产权证》、《不动产权证》等有效证件的，根据提供的实际票据对办证费用进行全额补偿。</w:t>
      </w:r>
    </w:p>
    <w:p w14:paraId="79C12D28">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（十）被征收人已出租的住宅、商业用房，由被征收人负责解除租赁关系。</w:t>
      </w:r>
    </w:p>
    <w:p w14:paraId="6D3C5BCE">
      <w:pPr>
        <w:spacing w:line="576" w:lineRule="exact"/>
        <w:ind w:firstLine="643" w:firstLineChars="200"/>
        <w:rPr>
          <w:rFonts w:ascii="仿宋_GB2312" w:hAnsi="楷体" w:eastAsia="仿宋_GB2312"/>
          <w:b/>
          <w:color w:val="000000"/>
          <w:sz w:val="32"/>
          <w:szCs w:val="32"/>
        </w:rPr>
      </w:pPr>
      <w:r>
        <w:rPr>
          <w:rFonts w:hint="eastAsia" w:ascii="仿宋_GB2312" w:hAnsi="楷体" w:eastAsia="仿宋_GB2312"/>
          <w:b/>
          <w:color w:val="000000"/>
          <w:sz w:val="32"/>
          <w:szCs w:val="32"/>
        </w:rPr>
        <w:t>六、被征收房屋属性认定</w:t>
      </w:r>
    </w:p>
    <w:p w14:paraId="4D9A2F3D">
      <w:pPr>
        <w:spacing w:line="576" w:lineRule="exact"/>
        <w:ind w:firstLine="640" w:firstLineChars="200"/>
        <w:rPr>
          <w:rFonts w:ascii="仿宋_GB2312" w:eastAsia="仿宋_GB2312"/>
          <w:sz w:val="32"/>
          <w:szCs w:val="32"/>
        </w:rPr>
      </w:pPr>
      <w:r>
        <w:rPr>
          <w:rFonts w:hint="eastAsia" w:ascii="仿宋_GB2312" w:eastAsia="仿宋_GB2312"/>
          <w:sz w:val="32"/>
          <w:szCs w:val="32"/>
        </w:rPr>
        <w:t>（一）被征收房屋的权属、结构、用途及建筑面积，以房地产权证或土地使用权证、房屋所有权证登记记载为准。涉及房屋产权争议的，先由公证部门进行现场证据保全，再依法律程序确定权属。确定权属期间不影响征收工作进行。</w:t>
      </w:r>
    </w:p>
    <w:p w14:paraId="5962C057">
      <w:pPr>
        <w:spacing w:line="576"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sz w:val="32"/>
          <w:szCs w:val="32"/>
        </w:rPr>
        <w:t>（二）征收范围内未经登记的建筑，或房地产登记记载事项不明确或者与现状不符的建筑，</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由房屋征收实施单位和自然资源、住房城乡建设等相关部门联合组织力量依照《国有土地上房屋征收与补偿条例》（国务院令第590号）的规定进行调查登记、认定，并按下列方式处理：</w:t>
      </w:r>
    </w:p>
    <w:p w14:paraId="11757C24">
      <w:pPr>
        <w:spacing w:line="576" w:lineRule="exact"/>
        <w:ind w:firstLine="640" w:firstLineChars="200"/>
        <w:rPr>
          <w:rFonts w:ascii="仿宋_GB2312" w:eastAsia="仿宋_GB2312"/>
          <w:sz w:val="32"/>
          <w:szCs w:val="32"/>
        </w:rPr>
      </w:pPr>
      <w:r>
        <w:rPr>
          <w:rFonts w:hint="eastAsia" w:ascii="仿宋_GB2312" w:eastAsia="仿宋_GB2312"/>
          <w:sz w:val="32"/>
          <w:szCs w:val="32"/>
        </w:rPr>
        <w:t>1．1986年12月31日以前建造的房屋、1987年1月1日以后已办理《房屋产权证》或已办理《土地使用证》和《建设工程规划许可证》的房屋视为报建手续齐全。</w:t>
      </w:r>
    </w:p>
    <w:p w14:paraId="2310CCFF">
      <w:pPr>
        <w:spacing w:line="576" w:lineRule="exact"/>
        <w:ind w:firstLine="640" w:firstLineChars="200"/>
        <w:rPr>
          <w:rFonts w:ascii="仿宋_GB2312" w:eastAsia="仿宋_GB2312"/>
          <w:sz w:val="32"/>
          <w:szCs w:val="32"/>
          <w:highlight w:val="yellow"/>
        </w:rPr>
      </w:pPr>
      <w:r>
        <w:rPr>
          <w:rFonts w:hint="eastAsia" w:ascii="仿宋_GB2312" w:eastAsia="仿宋_GB2312"/>
          <w:sz w:val="32"/>
          <w:szCs w:val="32"/>
          <w:highlight w:val="yellow"/>
        </w:rPr>
        <w:t>2．自1987年1月1日至2012年8月23日期间建造的证件不全的房屋，在征收补偿过程中根据实际建筑面积计算补偿金额。</w:t>
      </w:r>
    </w:p>
    <w:p w14:paraId="56183BDC">
      <w:pPr>
        <w:spacing w:line="576" w:lineRule="exact"/>
        <w:ind w:firstLine="640" w:firstLineChars="200"/>
        <w:rPr>
          <w:rFonts w:ascii="仿宋_GB2312" w:eastAsia="仿宋_GB2312"/>
          <w:sz w:val="32"/>
          <w:szCs w:val="32"/>
        </w:rPr>
      </w:pPr>
      <w:r>
        <w:rPr>
          <w:rFonts w:hint="eastAsia" w:ascii="仿宋_GB2312" w:eastAsia="仿宋_GB2312"/>
          <w:sz w:val="32"/>
          <w:szCs w:val="32"/>
        </w:rPr>
        <w:t>3．自2012年8月23日以后建造的房屋，持证补偿，未按照要求办理任何证件的房屋，认定为违法建筑。</w:t>
      </w:r>
    </w:p>
    <w:p w14:paraId="60167D03">
      <w:pPr>
        <w:spacing w:line="576" w:lineRule="exact"/>
        <w:ind w:firstLine="640" w:firstLineChars="200"/>
        <w:rPr>
          <w:rFonts w:ascii="仿宋_GB2312" w:eastAsia="仿宋_GB2312"/>
          <w:sz w:val="32"/>
          <w:szCs w:val="32"/>
        </w:rPr>
      </w:pPr>
      <w:r>
        <w:rPr>
          <w:rFonts w:hint="eastAsia" w:ascii="仿宋_GB2312" w:eastAsia="仿宋_GB2312"/>
          <w:sz w:val="32"/>
          <w:szCs w:val="32"/>
        </w:rPr>
        <w:t>（三）违法建筑物，一律不给予补偿。对未超过批准期限的临时建筑或构筑物，按比例进行补偿；对超过批准期限的临时建筑或构筑物，不予补偿。</w:t>
      </w:r>
    </w:p>
    <w:p w14:paraId="4DC7B914">
      <w:pPr>
        <w:spacing w:line="576" w:lineRule="exact"/>
        <w:ind w:firstLine="640" w:firstLineChars="200"/>
        <w:rPr>
          <w:rFonts w:ascii="仿宋_GB2312" w:eastAsia="仿宋_GB2312"/>
          <w:sz w:val="32"/>
          <w:szCs w:val="32"/>
        </w:rPr>
      </w:pPr>
      <w:r>
        <w:rPr>
          <w:rFonts w:hint="eastAsia" w:ascii="仿宋_GB2312" w:eastAsia="仿宋_GB2312"/>
          <w:sz w:val="32"/>
          <w:szCs w:val="32"/>
        </w:rPr>
        <w:t>（四）对被征收房屋的权属、结构、用途及建筑面积以及被征收房屋的初步评估结果、被征收房屋的复核评估结果和补偿安置结果进行公示。</w:t>
      </w:r>
    </w:p>
    <w:p w14:paraId="70A550DA">
      <w:pPr>
        <w:spacing w:line="576" w:lineRule="exact"/>
        <w:ind w:firstLine="640" w:firstLineChars="200"/>
        <w:rPr>
          <w:rFonts w:ascii="仿宋_GB2312" w:eastAsia="仿宋_GB2312"/>
          <w:sz w:val="32"/>
          <w:szCs w:val="32"/>
        </w:rPr>
      </w:pPr>
      <w:r>
        <w:rPr>
          <w:rFonts w:hint="eastAsia" w:ascii="仿宋_GB2312" w:eastAsia="仿宋_GB2312"/>
          <w:sz w:val="32"/>
          <w:szCs w:val="32"/>
        </w:rPr>
        <w:t>（五）被征收人应如实向房屋征收实施单位申报个人被征收房屋现状。未如实申报的，责任自负。</w:t>
      </w:r>
    </w:p>
    <w:p w14:paraId="197366BE">
      <w:pPr>
        <w:spacing w:line="576"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七、征收房屋登记、丈量及计算建筑面积办法</w:t>
      </w:r>
    </w:p>
    <w:p w14:paraId="7FA0EC75">
      <w:pPr>
        <w:spacing w:line="576" w:lineRule="exact"/>
        <w:ind w:firstLine="640" w:firstLineChars="200"/>
        <w:rPr>
          <w:rFonts w:ascii="仿宋_GB2312" w:eastAsia="仿宋_GB2312"/>
          <w:color w:val="000000"/>
          <w:sz w:val="32"/>
          <w:szCs w:val="32"/>
        </w:rPr>
      </w:pPr>
      <w:r>
        <w:rPr>
          <w:rFonts w:hint="eastAsia" w:ascii="仿宋_GB2312" w:eastAsia="仿宋_GB2312"/>
          <w:color w:val="000000"/>
          <w:kern w:val="0"/>
          <w:sz w:val="32"/>
          <w:szCs w:val="32"/>
        </w:rPr>
        <w:t>（一）征收房屋登记、丈量及计算建筑面积办法，</w:t>
      </w:r>
      <w:r>
        <w:rPr>
          <w:rFonts w:hint="eastAsia" w:ascii="仿宋_GB2312" w:eastAsia="仿宋_GB2312"/>
          <w:color w:val="000000"/>
          <w:sz w:val="32"/>
          <w:szCs w:val="32"/>
        </w:rPr>
        <w:t>按《建筑工程建筑面积计算规范》</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GB/T50353-2013</w:t>
      </w:r>
      <w:r>
        <w:rPr>
          <w:rFonts w:hint="eastAsia" w:ascii="仿宋_GB2312" w:eastAsia="仿宋_GB2312"/>
          <w:color w:val="000000"/>
          <w:sz w:val="32"/>
          <w:szCs w:val="32"/>
          <w:highlight w:val="none"/>
        </w:rPr>
        <w:t>）</w:t>
      </w:r>
      <w:r>
        <w:rPr>
          <w:rFonts w:hint="eastAsia" w:ascii="仿宋_GB2312" w:eastAsia="仿宋_GB2312"/>
          <w:color w:val="000000"/>
          <w:sz w:val="32"/>
          <w:szCs w:val="32"/>
        </w:rPr>
        <w:t>执行。</w:t>
      </w:r>
    </w:p>
    <w:p w14:paraId="25CFB1BA">
      <w:pPr>
        <w:spacing w:line="576" w:lineRule="exact"/>
        <w:ind w:firstLine="640" w:firstLineChars="200"/>
        <w:rPr>
          <w:rFonts w:ascii="仿宋_GB2312" w:eastAsia="仿宋_GB2312"/>
          <w:sz w:val="32"/>
          <w:szCs w:val="32"/>
        </w:rPr>
      </w:pPr>
      <w:r>
        <w:rPr>
          <w:rFonts w:hint="eastAsia" w:ascii="仿宋_GB2312" w:eastAsia="仿宋_GB2312"/>
          <w:sz w:val="32"/>
          <w:szCs w:val="32"/>
        </w:rPr>
        <w:t>（二）被征收房屋的公共面积如产权人有书面约定的，按书面约定办理；无书面约定的，则按产权人的房屋建筑面积比例分摊，并张榜公布确定。</w:t>
      </w:r>
    </w:p>
    <w:p w14:paraId="0582BCD2">
      <w:pPr>
        <w:spacing w:line="576"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八、未建成房屋的土地和已建成房屋剩余用地面积的补偿</w:t>
      </w:r>
    </w:p>
    <w:p w14:paraId="6A2EB9C1">
      <w:pPr>
        <w:spacing w:line="576" w:lineRule="exact"/>
        <w:ind w:firstLine="640" w:firstLineChars="200"/>
        <w:rPr>
          <w:rFonts w:ascii="仿宋_GB2312" w:eastAsia="仿宋_GB2312"/>
          <w:sz w:val="32"/>
          <w:szCs w:val="32"/>
        </w:rPr>
      </w:pPr>
      <w:r>
        <w:rPr>
          <w:rFonts w:hint="eastAsia" w:ascii="仿宋_GB2312" w:eastAsia="仿宋_GB2312"/>
          <w:sz w:val="32"/>
          <w:szCs w:val="32"/>
        </w:rPr>
        <w:t>（一）已有土地使用证未建的，或经兴宁市被征收土地房屋鉴定专家组确认是宅基地、留用地、拆迁安置地的，可选择调换安置房。调换安置房的面积原则上按土地使用证面积或经确认的占地面积与安置房建筑面积1:1进行调换，价值按评估机构评估价值互补差价结算。</w:t>
      </w:r>
    </w:p>
    <w:p w14:paraId="22F54EC9">
      <w:pPr>
        <w:spacing w:line="576" w:lineRule="exact"/>
        <w:ind w:firstLine="640" w:firstLineChars="200"/>
        <w:rPr>
          <w:rFonts w:ascii="仿宋_GB2312" w:eastAsia="仿宋_GB2312"/>
          <w:sz w:val="32"/>
          <w:szCs w:val="32"/>
        </w:rPr>
      </w:pPr>
      <w:r>
        <w:rPr>
          <w:rFonts w:hint="eastAsia" w:ascii="仿宋_GB2312" w:eastAsia="仿宋_GB2312"/>
          <w:sz w:val="32"/>
          <w:szCs w:val="32"/>
        </w:rPr>
        <w:t>（二）已建成房屋的剩余用地面积，按照以下标准进行补偿:</w:t>
      </w:r>
    </w:p>
    <w:p w14:paraId="3FFF72D9">
      <w:pPr>
        <w:spacing w:line="576" w:lineRule="exact"/>
        <w:ind w:firstLine="640" w:firstLineChars="200"/>
        <w:rPr>
          <w:rFonts w:ascii="仿宋_GB2312" w:eastAsia="仿宋_GB2312"/>
          <w:sz w:val="32"/>
          <w:szCs w:val="32"/>
        </w:rPr>
      </w:pPr>
      <w:r>
        <w:rPr>
          <w:rFonts w:hint="eastAsia" w:ascii="仿宋_GB2312" w:eastAsia="仿宋_GB2312"/>
          <w:sz w:val="32"/>
          <w:szCs w:val="32"/>
        </w:rPr>
        <w:t>1．被征收国有土地上已建成房屋的剩余用地面积补偿，由房地产评估机构评估确定。</w:t>
      </w:r>
    </w:p>
    <w:p w14:paraId="2724B574">
      <w:pPr>
        <w:spacing w:line="600" w:lineRule="exact"/>
        <w:ind w:firstLine="640" w:firstLineChars="200"/>
        <w:rPr>
          <w:rFonts w:ascii="仿宋_GB2312" w:eastAsia="仿宋_GB2312"/>
          <w:sz w:val="32"/>
          <w:szCs w:val="32"/>
        </w:rPr>
      </w:pPr>
      <w:r>
        <w:rPr>
          <w:rFonts w:hint="eastAsia" w:ascii="仿宋_GB2312" w:eastAsia="仿宋_GB2312"/>
          <w:sz w:val="32"/>
          <w:szCs w:val="32"/>
        </w:rPr>
        <w:t>2．被征收集体土地上房屋剩余用地面积补偿，按同类区域征收水田价格进行补偿，并给予被征收人15% 的留用地折算成货币，补偿给被征收人，留用地价值由评估机构评估确定。</w:t>
      </w:r>
    </w:p>
    <w:p w14:paraId="0FA828D4">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九、评估机构的选定</w:t>
      </w:r>
    </w:p>
    <w:p w14:paraId="4A9654DD">
      <w:pPr>
        <w:spacing w:line="600" w:lineRule="exact"/>
        <w:ind w:firstLine="640" w:firstLineChars="200"/>
        <w:rPr>
          <w:rFonts w:hint="eastAsia" w:ascii="仿宋_GB2312" w:hAnsi="仿宋" w:eastAsia="仿宋_GB2312"/>
          <w:b w:val="0"/>
          <w:color w:val="000000"/>
          <w:sz w:val="32"/>
          <w:szCs w:val="32"/>
          <w:lang w:eastAsia="zh-CN"/>
        </w:rPr>
      </w:pPr>
      <w:r>
        <w:rPr>
          <w:rFonts w:hint="eastAsia" w:ascii="仿宋_GB2312" w:hAnsi="仿宋" w:eastAsia="仿宋_GB2312"/>
          <w:b w:val="0"/>
          <w:color w:val="000000"/>
          <w:sz w:val="32"/>
          <w:szCs w:val="32"/>
          <w:lang w:eastAsia="zh-CN"/>
        </w:rPr>
        <w:t>本项目的评估工作继续由原</w:t>
      </w:r>
      <w:r>
        <w:rPr>
          <w:rFonts w:hint="eastAsia" w:ascii="仿宋_GB2312" w:hAnsi="仿宋" w:eastAsia="仿宋_GB2312"/>
          <w:b w:val="0"/>
          <w:color w:val="000000"/>
          <w:sz w:val="32"/>
          <w:szCs w:val="32"/>
          <w:lang w:val="en-US" w:eastAsia="zh-CN"/>
        </w:rPr>
        <w:t>依法</w:t>
      </w:r>
      <w:r>
        <w:rPr>
          <w:rFonts w:hint="eastAsia" w:ascii="仿宋_GB2312" w:hAnsi="仿宋" w:eastAsia="仿宋_GB2312"/>
          <w:b w:val="0"/>
          <w:color w:val="000000"/>
          <w:sz w:val="32"/>
          <w:szCs w:val="32"/>
          <w:lang w:eastAsia="zh-CN"/>
        </w:rPr>
        <w:t>选定的</w:t>
      </w:r>
      <w:r>
        <w:rPr>
          <w:rFonts w:hint="eastAsia" w:ascii="仿宋_GB2312" w:hAnsi="仿宋" w:eastAsia="仿宋_GB2312"/>
          <w:b w:val="0"/>
          <w:color w:val="000000"/>
          <w:sz w:val="32"/>
          <w:szCs w:val="32"/>
          <w:lang w:val="en-US" w:eastAsia="zh-CN"/>
        </w:rPr>
        <w:t>房地产价格</w:t>
      </w:r>
      <w:r>
        <w:rPr>
          <w:rFonts w:hint="eastAsia" w:ascii="仿宋_GB2312" w:hAnsi="仿宋" w:eastAsia="仿宋_GB2312"/>
          <w:b w:val="0"/>
          <w:color w:val="000000"/>
          <w:sz w:val="32"/>
          <w:szCs w:val="32"/>
          <w:lang w:eastAsia="zh-CN"/>
        </w:rPr>
        <w:t>评估机构承担。</w:t>
      </w:r>
    </w:p>
    <w:p w14:paraId="5BEDF7D0">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十、奖励和补助办法</w:t>
      </w:r>
    </w:p>
    <w:p w14:paraId="5172B4F2">
      <w:pPr>
        <w:spacing w:line="600" w:lineRule="exact"/>
        <w:ind w:firstLine="640" w:firstLineChars="200"/>
        <w:rPr>
          <w:rFonts w:ascii="仿宋_GB2312" w:eastAsia="仿宋_GB2312"/>
          <w:sz w:val="32"/>
          <w:szCs w:val="32"/>
        </w:rPr>
      </w:pPr>
      <w:r>
        <w:rPr>
          <w:rFonts w:hint="eastAsia" w:ascii="仿宋_GB2312" w:eastAsia="仿宋_GB2312"/>
          <w:sz w:val="32"/>
          <w:szCs w:val="32"/>
        </w:rPr>
        <w:t>（一）被征收人在</w:t>
      </w:r>
      <w:r>
        <w:rPr>
          <w:rFonts w:hint="eastAsia" w:ascii="仿宋_GB2312" w:eastAsia="仿宋_GB2312"/>
          <w:sz w:val="32"/>
          <w:szCs w:val="32"/>
          <w:lang w:val="en-US" w:eastAsia="zh-CN"/>
        </w:rPr>
        <w:t>规定时间内（签约期限为</w:t>
      </w:r>
      <w:r>
        <w:rPr>
          <w:rFonts w:hint="eastAsia" w:ascii="仿宋_GB2312" w:eastAsia="仿宋_GB2312"/>
          <w:sz w:val="32"/>
          <w:szCs w:val="32"/>
          <w:lang w:eastAsia="zh-CN"/>
        </w:rPr>
        <w:t>本方案</w:t>
      </w:r>
      <w:r>
        <w:rPr>
          <w:rFonts w:hint="eastAsia" w:ascii="仿宋_GB2312" w:eastAsia="仿宋_GB2312"/>
          <w:sz w:val="32"/>
          <w:szCs w:val="32"/>
          <w:lang w:val="en-US" w:eastAsia="zh-CN"/>
        </w:rPr>
        <w:t>颁布</w:t>
      </w:r>
      <w:r>
        <w:rPr>
          <w:rFonts w:hint="eastAsia" w:ascii="仿宋_GB2312" w:eastAsia="仿宋_GB2312"/>
          <w:sz w:val="32"/>
          <w:szCs w:val="32"/>
          <w:lang w:eastAsia="zh-CN"/>
        </w:rPr>
        <w:t>之日起</w:t>
      </w:r>
      <w:r>
        <w:rPr>
          <w:rFonts w:hint="eastAsia" w:ascii="仿宋_GB2312" w:eastAsia="仿宋_GB2312"/>
          <w:sz w:val="32"/>
          <w:szCs w:val="32"/>
          <w:lang w:val="en-US" w:eastAsia="zh-CN"/>
        </w:rPr>
        <w:t>30天）</w:t>
      </w:r>
      <w:r>
        <w:rPr>
          <w:rFonts w:hint="eastAsia" w:ascii="仿宋_GB2312" w:eastAsia="仿宋_GB2312"/>
          <w:sz w:val="32"/>
          <w:szCs w:val="32"/>
        </w:rPr>
        <w:t>签订房屋征收补偿安置协议书并按约定时间搬迁腾空，将房屋交给房屋征收实施单位验收后，房屋征收实施单位按被征收房屋总值的</w:t>
      </w:r>
      <w:r>
        <w:rPr>
          <w:rFonts w:hint="eastAsia" w:ascii="仿宋_GB2312" w:eastAsia="仿宋_GB2312"/>
          <w:sz w:val="32"/>
          <w:szCs w:val="32"/>
          <w:lang w:val="en-US" w:eastAsia="zh-CN"/>
        </w:rPr>
        <w:t>5</w:t>
      </w:r>
      <w:r>
        <w:rPr>
          <w:rFonts w:hint="eastAsia" w:ascii="仿宋_GB2312" w:eastAsia="仿宋_GB2312"/>
          <w:sz w:val="32"/>
          <w:szCs w:val="32"/>
        </w:rPr>
        <w:t>% 给予奖励。超出规定时间签订征收补偿安置协议书的或超出约定时间搬迁腾空房屋的，一律不给予奖励。</w:t>
      </w:r>
    </w:p>
    <w:p w14:paraId="4A55A134">
      <w:pPr>
        <w:spacing w:line="600" w:lineRule="exact"/>
        <w:ind w:firstLine="640" w:firstLineChars="200"/>
        <w:rPr>
          <w:rFonts w:ascii="仿宋_GB2312" w:eastAsia="仿宋_GB2312"/>
          <w:sz w:val="32"/>
          <w:szCs w:val="32"/>
        </w:rPr>
      </w:pPr>
      <w:r>
        <w:rPr>
          <w:rFonts w:hint="eastAsia" w:ascii="仿宋_GB2312" w:eastAsia="仿宋_GB2312"/>
          <w:sz w:val="32"/>
          <w:szCs w:val="32"/>
        </w:rPr>
        <w:t>（二）选择产权调换的被征收人自安置房交付使用之日起，免收20年的物业管理费（安置区内小车停车位除外）。免收的物业管理费在安置小区公共物业收益中解决，不足部分由市财政补贴。</w:t>
      </w:r>
    </w:p>
    <w:p w14:paraId="4967B875">
      <w:pPr>
        <w:spacing w:line="600" w:lineRule="exact"/>
        <w:ind w:firstLine="640" w:firstLineChars="200"/>
        <w:rPr>
          <w:rFonts w:ascii="仿宋_GB2312" w:eastAsia="仿宋_GB2312"/>
          <w:sz w:val="32"/>
          <w:szCs w:val="32"/>
        </w:rPr>
      </w:pPr>
      <w:r>
        <w:rPr>
          <w:rFonts w:hint="eastAsia" w:ascii="仿宋_GB2312" w:eastAsia="仿宋_GB2312"/>
          <w:sz w:val="32"/>
          <w:szCs w:val="32"/>
        </w:rPr>
        <w:t>（三）物业管理由房屋征收部门组织实施，被征收人的单车、摩托车统一到指定地点免费停放，安置区内停车位则用于出租，出租收益用于安置区物业管理费用。</w:t>
      </w:r>
    </w:p>
    <w:p w14:paraId="40F5D3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333333"/>
          <w:kern w:val="0"/>
          <w:sz w:val="20"/>
          <w:szCs w:val="20"/>
        </w:rPr>
      </w:pPr>
      <w:r>
        <w:rPr>
          <w:rFonts w:hint="eastAsia" w:ascii="仿宋_GB2312" w:hAnsi="仿宋" w:eastAsia="仿宋_GB2312"/>
          <w:b/>
          <w:color w:val="000000"/>
          <w:sz w:val="32"/>
          <w:szCs w:val="32"/>
        </w:rPr>
        <w:t>十一、住房困难和低收入家庭救助</w:t>
      </w:r>
    </w:p>
    <w:p w14:paraId="2FD5A3A2">
      <w:pPr>
        <w:keepNext w:val="0"/>
        <w:keepLines w:val="0"/>
        <w:pageBreakBefore w:val="0"/>
        <w:widowControl/>
        <w:kinsoku/>
        <w:wordWrap/>
        <w:overflowPunct/>
        <w:topLinePunct w:val="0"/>
        <w:autoSpaceDE/>
        <w:autoSpaceDN/>
        <w:bidi w:val="0"/>
        <w:adjustRightInd w:val="0"/>
        <w:snapToGrid w:val="0"/>
        <w:spacing w:line="600"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征收个人住宅，被征收人</w:t>
      </w:r>
      <w:r>
        <w:rPr>
          <w:rFonts w:hint="eastAsia" w:ascii="仿宋_GB2312" w:hAnsi="仿宋_GB2312" w:eastAsia="仿宋_GB2312" w:cs="仿宋_GB2312"/>
          <w:color w:val="333333"/>
          <w:kern w:val="0"/>
          <w:sz w:val="32"/>
          <w:szCs w:val="32"/>
          <w:highlight w:val="yellow"/>
        </w:rPr>
        <w:t>为</w:t>
      </w:r>
      <w:r>
        <w:rPr>
          <w:rFonts w:hint="eastAsia" w:ascii="仿宋_GB2312" w:hAnsi="仿宋_GB2312" w:eastAsia="仿宋_GB2312" w:cs="仿宋_GB2312"/>
          <w:color w:val="333333"/>
          <w:kern w:val="0"/>
          <w:sz w:val="32"/>
          <w:szCs w:val="32"/>
        </w:rPr>
        <w:t>被征收房屋建筑面积小于50m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、他处无住房又无能力购买安置房并持有城市居民最低生活保障金领取证的特困户、五保户，按以下方式进行补偿：</w:t>
      </w:r>
    </w:p>
    <w:p w14:paraId="7EA8A2A2">
      <w:pPr>
        <w:keepNext w:val="0"/>
        <w:keepLines w:val="0"/>
        <w:pageBreakBefore w:val="0"/>
        <w:widowControl w:val="0"/>
        <w:numPr>
          <w:ilvl w:val="0"/>
          <w:numId w:val="1"/>
        </w:numPr>
        <w:kinsoku/>
        <w:wordWrap/>
        <w:overflowPunct/>
        <w:topLinePunct w:val="0"/>
        <w:autoSpaceDE/>
        <w:autoSpaceDN/>
        <w:bidi w:val="0"/>
        <w:adjustRightInd/>
        <w:snapToGrid/>
        <w:ind w:left="0" w:leftChars="0" w:firstLine="567" w:firstLineChars="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现居住人口为1人，被征收房屋建筑面积小于30m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的，按30m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进行货币补偿；现居住人口为2人以</w:t>
      </w:r>
      <w:r>
        <w:rPr>
          <w:rFonts w:hint="eastAsia" w:ascii="仿宋_GB2312" w:hAnsi="仿宋_GB2312" w:eastAsia="仿宋_GB2312" w:cs="仿宋_GB2312"/>
          <w:color w:val="000000" w:themeColor="text1"/>
          <w:kern w:val="0"/>
          <w:sz w:val="32"/>
          <w:szCs w:val="32"/>
          <w14:textFill>
            <w14:solidFill>
              <w14:schemeClr w14:val="tx1"/>
            </w14:solidFill>
          </w14:textFill>
        </w:rPr>
        <w:t>上，被征收房屋建筑面积小于50m</w:t>
      </w:r>
      <w:r>
        <w:rPr>
          <w:rFonts w:hint="eastAsia" w:ascii="仿宋_GB2312" w:hAnsi="仿宋_GB2312" w:eastAsia="仿宋_GB2312" w:cs="仿宋_GB2312"/>
          <w:color w:val="000000" w:themeColor="text1"/>
          <w:kern w:val="0"/>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的，按50m</w:t>
      </w:r>
      <w:r>
        <w:rPr>
          <w:rFonts w:hint="eastAsia" w:ascii="仿宋_GB2312" w:hAnsi="仿宋_GB2312" w:eastAsia="仿宋_GB2312" w:cs="仿宋_GB2312"/>
          <w:color w:val="000000" w:themeColor="text1"/>
          <w:kern w:val="0"/>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进行货币补偿。</w:t>
      </w:r>
      <w:bookmarkStart w:id="3" w:name="_Hlk63693690"/>
      <w:r>
        <w:rPr>
          <w:rFonts w:hint="eastAsia" w:ascii="仿宋_GB2312" w:hAnsi="仿宋_GB2312" w:eastAsia="仿宋_GB2312" w:cs="仿宋_GB2312"/>
          <w:color w:val="000000" w:themeColor="text1"/>
          <w:kern w:val="0"/>
          <w:sz w:val="32"/>
          <w:szCs w:val="32"/>
          <w14:textFill>
            <w14:solidFill>
              <w14:schemeClr w14:val="tx1"/>
            </w14:solidFill>
          </w14:textFill>
        </w:rPr>
        <w:t>奖励金按被征收房屋实际建筑面积计算</w:t>
      </w:r>
      <w:bookmarkEnd w:id="3"/>
      <w:r>
        <w:rPr>
          <w:rFonts w:hint="eastAsia" w:ascii="仿宋_GB2312" w:hAnsi="仿宋_GB2312" w:eastAsia="仿宋_GB2312" w:cs="仿宋_GB2312"/>
          <w:color w:val="000000" w:themeColor="text1"/>
          <w:kern w:val="0"/>
          <w:sz w:val="32"/>
          <w:szCs w:val="32"/>
          <w14:textFill>
            <w14:solidFill>
              <w14:schemeClr w14:val="tx1"/>
            </w14:solidFill>
          </w14:textFill>
        </w:rPr>
        <w:t>。</w:t>
      </w:r>
      <w:bookmarkStart w:id="4" w:name="_GoBack"/>
      <w:bookmarkEnd w:id="4"/>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333333"/>
          <w:kern w:val="0"/>
          <w:sz w:val="32"/>
          <w:szCs w:val="32"/>
        </w:rPr>
        <w:t>（二）被征收房屋实行货币补偿后，由政府优先提供人均10~15m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的廉租住房，以户为单位，每户不超过50m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，廉租房租金由房屋被征收人负责。</w:t>
      </w:r>
    </w:p>
    <w:p w14:paraId="7777DB0C">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十二、争议的解决</w:t>
      </w:r>
    </w:p>
    <w:p w14:paraId="57742035">
      <w:pPr>
        <w:spacing w:line="600" w:lineRule="exact"/>
        <w:ind w:firstLine="640" w:firstLineChars="200"/>
        <w:rPr>
          <w:rFonts w:ascii="仿宋_GB2312" w:eastAsia="仿宋_GB2312"/>
          <w:sz w:val="32"/>
          <w:szCs w:val="32"/>
        </w:rPr>
      </w:pPr>
      <w:r>
        <w:rPr>
          <w:rFonts w:hint="eastAsia" w:ascii="仿宋_GB2312" w:eastAsia="仿宋_GB2312"/>
          <w:sz w:val="32"/>
          <w:szCs w:val="32"/>
        </w:rPr>
        <w:t>（一）对评估确定的被征收房屋价值有异议的当事人，可以向房地产价格评估机构申请复核评估。对复核结果有异议的，可以向梅州市住房和城乡建设局房地产评估专家委员会申请鉴定。</w:t>
      </w:r>
    </w:p>
    <w:p w14:paraId="7CAAAD8E">
      <w:pPr>
        <w:spacing w:line="600" w:lineRule="exact"/>
        <w:ind w:firstLine="640" w:firstLineChars="200"/>
        <w:rPr>
          <w:rFonts w:ascii="仿宋_GB2312" w:eastAsia="仿宋_GB2312"/>
          <w:sz w:val="32"/>
          <w:szCs w:val="32"/>
        </w:rPr>
      </w:pPr>
      <w:r>
        <w:rPr>
          <w:rFonts w:hint="eastAsia" w:ascii="仿宋_GB2312" w:eastAsia="仿宋_GB2312"/>
          <w:sz w:val="32"/>
          <w:szCs w:val="32"/>
        </w:rPr>
        <w:t>（二）补偿协议订立后，一方当事人不履行补偿协议约定的义务的，另一方当事人可以依法提起诉讼。</w:t>
      </w:r>
    </w:p>
    <w:p w14:paraId="44320FD4">
      <w:pPr>
        <w:spacing w:line="600" w:lineRule="exact"/>
        <w:ind w:firstLine="640" w:firstLineChars="200"/>
        <w:rPr>
          <w:rFonts w:ascii="仿宋_GB2312" w:eastAsia="仿宋_GB2312"/>
          <w:sz w:val="32"/>
          <w:szCs w:val="32"/>
        </w:rPr>
      </w:pPr>
      <w:r>
        <w:rPr>
          <w:rFonts w:hint="eastAsia" w:ascii="仿宋_GB2312" w:eastAsia="仿宋_GB2312"/>
          <w:sz w:val="32"/>
          <w:szCs w:val="32"/>
        </w:rPr>
        <w:t>（三）房屋征收实施单位与被征收人在规定的签约期限内达不成补偿协议，或者被征收房屋所有权人不明确的，由房屋征收实施单位报请市人民政府依照国务院《国有土地上房屋征收与补偿条例》的规定，按照征收补偿方案作出补偿决定，并在房屋征收范围内予以公告。被征收人对补偿决定不服的，可以依法申请行政复议，也可以依法提起行政诉讼。被征收人在法定期限内不申请行政复议又不提起行政诉讼，在补偿决定规定期限内又不搬迁的，由市人民政府依法申请人民法院强制执行。</w:t>
      </w:r>
    </w:p>
    <w:p w14:paraId="4765A65C">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十三、本方案未尽事宜，按有关法律法规及相关政策执行。</w:t>
      </w:r>
    </w:p>
    <w:p w14:paraId="65B7F166">
      <w:pPr>
        <w:spacing w:line="600" w:lineRule="exact"/>
        <w:ind w:firstLine="643" w:firstLineChars="200"/>
        <w:rPr>
          <w:rFonts w:hint="default"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 w:eastAsia="仿宋_GB2312"/>
          <w:b/>
          <w:color w:val="000000"/>
          <w:sz w:val="32"/>
          <w:szCs w:val="32"/>
          <w:lang w:val="en-US" w:eastAsia="zh-CN"/>
        </w:rPr>
        <w:t>十四、</w:t>
      </w:r>
      <w:r>
        <w:rPr>
          <w:rFonts w:hint="eastAsia" w:ascii="仿宋_GB2312" w:hAnsi="仿宋_GB2312" w:eastAsia="仿宋_GB2312" w:cs="仿宋_GB2312"/>
          <w:b/>
          <w:bCs/>
          <w:i w:val="0"/>
          <w:iCs w:val="0"/>
          <w:caps w:val="0"/>
          <w:color w:val="333333"/>
          <w:spacing w:val="0"/>
          <w:sz w:val="32"/>
          <w:szCs w:val="32"/>
          <w:shd w:val="clear" w:fill="FFFFFF"/>
        </w:rPr>
        <w:t>本</w:t>
      </w:r>
      <w:r>
        <w:rPr>
          <w:rFonts w:hint="eastAsia" w:ascii="仿宋_GB2312" w:hAnsi="仿宋_GB2312" w:eastAsia="仿宋_GB2312" w:cs="仿宋_GB2312"/>
          <w:b/>
          <w:bCs/>
          <w:i w:val="0"/>
          <w:iCs w:val="0"/>
          <w:caps w:val="0"/>
          <w:color w:val="333333"/>
          <w:spacing w:val="0"/>
          <w:sz w:val="32"/>
          <w:szCs w:val="32"/>
          <w:shd w:val="clear" w:fill="FFFFFF"/>
          <w:lang w:eastAsia="zh-CN"/>
        </w:rPr>
        <w:t>方案</w:t>
      </w:r>
      <w:r>
        <w:rPr>
          <w:rFonts w:hint="eastAsia" w:ascii="仿宋_GB2312" w:hAnsi="仿宋_GB2312" w:eastAsia="仿宋_GB2312" w:cs="仿宋_GB2312"/>
          <w:b/>
          <w:bCs/>
          <w:i w:val="0"/>
          <w:iCs w:val="0"/>
          <w:caps w:val="0"/>
          <w:color w:val="333333"/>
          <w:spacing w:val="0"/>
          <w:sz w:val="32"/>
          <w:szCs w:val="32"/>
          <w:shd w:val="clear" w:fill="FFFFFF"/>
        </w:rPr>
        <w:t>自</w:t>
      </w:r>
      <w:r>
        <w:rPr>
          <w:rFonts w:hint="eastAsia" w:ascii="仿宋_GB2312" w:hAnsi="仿宋_GB2312" w:eastAsia="仿宋_GB2312" w:cs="仿宋_GB2312"/>
          <w:b/>
          <w:bCs/>
          <w:i w:val="0"/>
          <w:iCs w:val="0"/>
          <w:caps w:val="0"/>
          <w:color w:val="333333"/>
          <w:spacing w:val="0"/>
          <w:sz w:val="32"/>
          <w:szCs w:val="32"/>
          <w:shd w:val="clear" w:fill="FFFFFF"/>
          <w:lang w:eastAsia="zh-CN"/>
        </w:rPr>
        <w:t>颁</w:t>
      </w:r>
      <w:r>
        <w:rPr>
          <w:rFonts w:hint="eastAsia" w:ascii="仿宋_GB2312" w:hAnsi="仿宋_GB2312" w:eastAsia="仿宋_GB2312" w:cs="仿宋_GB2312"/>
          <w:b/>
          <w:bCs/>
          <w:i w:val="0"/>
          <w:iCs w:val="0"/>
          <w:caps w:val="0"/>
          <w:color w:val="333333"/>
          <w:spacing w:val="0"/>
          <w:sz w:val="32"/>
          <w:szCs w:val="32"/>
          <w:shd w:val="clear" w:fill="FFFFFF"/>
        </w:rPr>
        <w:t>布之日起</w:t>
      </w:r>
      <w:r>
        <w:rPr>
          <w:rFonts w:hint="eastAsia" w:ascii="仿宋_GB2312" w:hAnsi="仿宋_GB2312" w:eastAsia="仿宋_GB2312" w:cs="仿宋_GB2312"/>
          <w:b/>
          <w:bCs/>
          <w:i w:val="0"/>
          <w:iCs w:val="0"/>
          <w:caps w:val="0"/>
          <w:color w:val="333333"/>
          <w:spacing w:val="0"/>
          <w:sz w:val="32"/>
          <w:szCs w:val="32"/>
          <w:shd w:val="clear" w:fill="FFFFFF"/>
          <w:lang w:eastAsia="zh-CN"/>
        </w:rPr>
        <w:t>执行，原《兴宁市人民政府关于印发兴宁市南部新城宁新</w:t>
      </w:r>
      <w:r>
        <w:rPr>
          <w:rFonts w:hint="eastAsia" w:ascii="仿宋_GB2312" w:hAnsi="仿宋_GB2312" w:eastAsia="仿宋_GB2312" w:cs="仿宋_GB2312"/>
          <w:b/>
          <w:bCs/>
          <w:i w:val="0"/>
          <w:iCs w:val="0"/>
          <w:caps w:val="0"/>
          <w:color w:val="333333"/>
          <w:spacing w:val="0"/>
          <w:sz w:val="32"/>
          <w:szCs w:val="32"/>
          <w:shd w:val="clear" w:fill="FFFFFF"/>
          <w:lang w:val="en-US" w:eastAsia="zh-CN"/>
        </w:rPr>
        <w:t>街道横湖村</w:t>
      </w:r>
      <w:r>
        <w:rPr>
          <w:rFonts w:hint="eastAsia" w:ascii="仿宋_GB2312" w:hAnsi="仿宋_GB2312" w:eastAsia="仿宋_GB2312" w:cs="仿宋_GB2312"/>
          <w:b/>
          <w:bCs/>
          <w:i w:val="0"/>
          <w:iCs w:val="0"/>
          <w:caps w:val="0"/>
          <w:color w:val="333333"/>
          <w:spacing w:val="0"/>
          <w:sz w:val="32"/>
          <w:szCs w:val="32"/>
          <w:shd w:val="clear" w:fill="FFFFFF"/>
          <w:lang w:eastAsia="zh-CN"/>
        </w:rPr>
        <w:t>房屋征收补偿</w:t>
      </w:r>
      <w:r>
        <w:rPr>
          <w:rFonts w:hint="eastAsia" w:ascii="仿宋_GB2312" w:hAnsi="仿宋_GB2312" w:eastAsia="仿宋_GB2312" w:cs="仿宋_GB2312"/>
          <w:b/>
          <w:bCs/>
          <w:i w:val="0"/>
          <w:iCs w:val="0"/>
          <w:caps w:val="0"/>
          <w:color w:val="333333"/>
          <w:spacing w:val="0"/>
          <w:sz w:val="32"/>
          <w:szCs w:val="32"/>
          <w:shd w:val="clear" w:fill="FFFFFF"/>
          <w:lang w:val="en-US" w:eastAsia="zh-CN"/>
        </w:rPr>
        <w:t>安置</w:t>
      </w:r>
      <w:r>
        <w:rPr>
          <w:rFonts w:hint="eastAsia" w:ascii="仿宋_GB2312" w:hAnsi="仿宋_GB2312" w:eastAsia="仿宋_GB2312" w:cs="仿宋_GB2312"/>
          <w:b/>
          <w:bCs/>
          <w:i w:val="0"/>
          <w:iCs w:val="0"/>
          <w:caps w:val="0"/>
          <w:color w:val="333333"/>
          <w:spacing w:val="0"/>
          <w:sz w:val="32"/>
          <w:szCs w:val="32"/>
          <w:shd w:val="clear" w:fill="FFFFFF"/>
          <w:lang w:eastAsia="zh-CN"/>
        </w:rPr>
        <w:t>方案的通知》（兴市府</w:t>
      </w:r>
      <w:r>
        <w:rPr>
          <w:rFonts w:hint="eastAsia" w:ascii="微软雅黑" w:hAnsi="微软雅黑" w:eastAsia="微软雅黑" w:cs="微软雅黑"/>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2015</w:t>
      </w:r>
      <w:r>
        <w:rPr>
          <w:rFonts w:hint="eastAsia" w:ascii="微软雅黑" w:hAnsi="微软雅黑" w:eastAsia="微软雅黑" w:cs="微软雅黑"/>
          <w:b/>
          <w:bCs/>
          <w:i w:val="0"/>
          <w:iCs w:val="0"/>
          <w:caps w:val="0"/>
          <w:color w:val="333333"/>
          <w:spacing w:val="0"/>
          <w:sz w:val="32"/>
          <w:szCs w:val="32"/>
          <w:shd w:val="clear" w:fill="FFFFFF"/>
          <w:lang w:val="en-US"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9号）与本方案不一致时，以本方案为准。</w:t>
      </w:r>
    </w:p>
    <w:p w14:paraId="2A0428D0">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w:t>
      </w:r>
      <w:r>
        <w:rPr>
          <w:rFonts w:hint="eastAsia" w:ascii="仿宋_GB2312" w:hAnsi="仿宋" w:eastAsia="仿宋_GB2312"/>
          <w:b/>
          <w:color w:val="000000"/>
          <w:sz w:val="32"/>
          <w:szCs w:val="32"/>
          <w:lang w:eastAsia="zh-CN"/>
        </w:rPr>
        <w:t>五</w:t>
      </w:r>
      <w:r>
        <w:rPr>
          <w:rFonts w:hint="eastAsia" w:ascii="仿宋_GB2312" w:hAnsi="仿宋" w:eastAsia="仿宋_GB2312"/>
          <w:b/>
          <w:color w:val="000000"/>
          <w:sz w:val="32"/>
          <w:szCs w:val="32"/>
        </w:rPr>
        <w:t>、本方案由房屋征收部门负责解释。</w:t>
      </w:r>
    </w:p>
    <w:p w14:paraId="74496F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2247A"/>
    <w:multiLevelType w:val="singleLevel"/>
    <w:tmpl w:val="3BA2247A"/>
    <w:lvl w:ilvl="0" w:tentative="0">
      <w:start w:val="1"/>
      <w:numFmt w:val="chineseCounting"/>
      <w:suff w:val="nothing"/>
      <w:lvlText w:val="（%1）"/>
      <w:lvlJc w:val="left"/>
      <w:pPr>
        <w:ind w:left="0" w:firstLine="55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DQ5ZDM0OWExNjYzZDk2MGFhNGE1Mjc1ZDY5YzcifQ=="/>
  </w:docVars>
  <w:rsids>
    <w:rsidRoot w:val="001B6A47"/>
    <w:rsid w:val="0004240A"/>
    <w:rsid w:val="001532F6"/>
    <w:rsid w:val="001B6A47"/>
    <w:rsid w:val="00216C4C"/>
    <w:rsid w:val="00554DF1"/>
    <w:rsid w:val="00686CBF"/>
    <w:rsid w:val="006C1100"/>
    <w:rsid w:val="00756F78"/>
    <w:rsid w:val="007B1DB0"/>
    <w:rsid w:val="0092259B"/>
    <w:rsid w:val="00987A47"/>
    <w:rsid w:val="009A4575"/>
    <w:rsid w:val="00A52E72"/>
    <w:rsid w:val="00A963CF"/>
    <w:rsid w:val="00AC7E25"/>
    <w:rsid w:val="00B57A59"/>
    <w:rsid w:val="00B70CA1"/>
    <w:rsid w:val="00CF6EA3"/>
    <w:rsid w:val="00E45225"/>
    <w:rsid w:val="00FA1FED"/>
    <w:rsid w:val="01B808F5"/>
    <w:rsid w:val="03F57310"/>
    <w:rsid w:val="04435D11"/>
    <w:rsid w:val="081C4890"/>
    <w:rsid w:val="09AD4D4A"/>
    <w:rsid w:val="0A2F13EC"/>
    <w:rsid w:val="0C686809"/>
    <w:rsid w:val="0F916077"/>
    <w:rsid w:val="101E1E04"/>
    <w:rsid w:val="103B49E6"/>
    <w:rsid w:val="130378C1"/>
    <w:rsid w:val="131C33CF"/>
    <w:rsid w:val="1784481C"/>
    <w:rsid w:val="18F42395"/>
    <w:rsid w:val="196E72DE"/>
    <w:rsid w:val="1AA650CC"/>
    <w:rsid w:val="1AFC4CEC"/>
    <w:rsid w:val="1BCC0944"/>
    <w:rsid w:val="1D686669"/>
    <w:rsid w:val="1E4213B7"/>
    <w:rsid w:val="216D3465"/>
    <w:rsid w:val="23A629F4"/>
    <w:rsid w:val="258A0AAF"/>
    <w:rsid w:val="258C2770"/>
    <w:rsid w:val="276F4401"/>
    <w:rsid w:val="281D44F4"/>
    <w:rsid w:val="2C7F04C6"/>
    <w:rsid w:val="2E963CE3"/>
    <w:rsid w:val="2F5C63B6"/>
    <w:rsid w:val="392548AF"/>
    <w:rsid w:val="3AAC4D96"/>
    <w:rsid w:val="405A1844"/>
    <w:rsid w:val="41D31E7B"/>
    <w:rsid w:val="44F673C4"/>
    <w:rsid w:val="45B847EB"/>
    <w:rsid w:val="45CC7A87"/>
    <w:rsid w:val="46AB0953"/>
    <w:rsid w:val="47966B66"/>
    <w:rsid w:val="49760479"/>
    <w:rsid w:val="49963BD0"/>
    <w:rsid w:val="4B215F25"/>
    <w:rsid w:val="4B476273"/>
    <w:rsid w:val="4B951DA0"/>
    <w:rsid w:val="4EF06BDD"/>
    <w:rsid w:val="50DE6664"/>
    <w:rsid w:val="52F83A10"/>
    <w:rsid w:val="570F36E2"/>
    <w:rsid w:val="57984111"/>
    <w:rsid w:val="597561E1"/>
    <w:rsid w:val="5B815F2B"/>
    <w:rsid w:val="5CC40E0F"/>
    <w:rsid w:val="5EFF6126"/>
    <w:rsid w:val="630748A7"/>
    <w:rsid w:val="63C828CF"/>
    <w:rsid w:val="67161311"/>
    <w:rsid w:val="675A3CC8"/>
    <w:rsid w:val="675F6FA8"/>
    <w:rsid w:val="688B27D8"/>
    <w:rsid w:val="6A917936"/>
    <w:rsid w:val="6EFE51B3"/>
    <w:rsid w:val="73AF7446"/>
    <w:rsid w:val="74505687"/>
    <w:rsid w:val="748F3396"/>
    <w:rsid w:val="75EF5E58"/>
    <w:rsid w:val="75FD19D1"/>
    <w:rsid w:val="79917ED9"/>
    <w:rsid w:val="79BC2204"/>
    <w:rsid w:val="7B941849"/>
    <w:rsid w:val="7D0050EB"/>
    <w:rsid w:val="7EA05A04"/>
    <w:rsid w:val="7FCF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11</Pages>
  <Words>4868</Words>
  <Characters>5052</Characters>
  <Lines>40</Lines>
  <Paragraphs>11</Paragraphs>
  <TotalTime>92</TotalTime>
  <ScaleCrop>false</ScaleCrop>
  <LinksUpToDate>false</LinksUpToDate>
  <CharactersWithSpaces>5105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2021-05-12T01:58:00Z</dcterms:created>
  <dc:creator>雨林木风</dc:creator>
  <cp:lastModifiedBy>王宇平</cp:lastModifiedBy>
  <cp:lastPrinted>2017-06-28T01:13:00Z</cp:lastPrinted>
  <dcterms:modified xsi:type="dcterms:W3CDTF">2025-07-11T02:31:20Z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748EDC7776924B74A5661B9088D3BD42_13</vt:lpwstr>
  </property>
  <property fmtid="{D5CDD505-2E9C-101B-9397-08002B2CF9AE}" pid="4" name="KSOTemplateDocerSaveRecord">
    <vt:lpwstr>eyJoZGlkIjoiNzllY2JjZDNjYzM5YmY3OTgzY2Y2NzhmZmIyNjY4NTAiLCJ1c2VySWQiOiI4NDkyNjc5NjEifQ==</vt:lpwstr>
  </property>
</Properties>
</file>