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A265E">
      <w:pPr>
        <w:autoSpaceDE w:val="0"/>
        <w:spacing w:line="560" w:lineRule="exact"/>
        <w:jc w:val="center"/>
        <w:rPr>
          <w:rFonts w:ascii="仿宋_GB2312" w:hAnsi="仿宋_GB2312"/>
          <w:b/>
          <w:bCs/>
          <w:sz w:val="40"/>
          <w:szCs w:val="40"/>
        </w:rPr>
      </w:pPr>
      <w:r>
        <w:rPr>
          <w:rFonts w:ascii="仿宋_GB2312" w:hAnsi="仿宋_GB2312"/>
          <w:b/>
          <w:bCs/>
          <w:sz w:val="40"/>
          <w:szCs w:val="40"/>
        </w:rPr>
        <w:t>兴宁市</w:t>
      </w:r>
      <w:r>
        <w:rPr>
          <w:rFonts w:hint="eastAsia" w:ascii="仿宋_GB2312" w:hAnsi="仿宋_GB2312"/>
          <w:b/>
          <w:bCs/>
          <w:sz w:val="40"/>
          <w:szCs w:val="40"/>
        </w:rPr>
        <w:t>宁新街道十一地块项目土地房屋征收补偿</w:t>
      </w:r>
      <w:r>
        <w:rPr>
          <w:rFonts w:ascii="仿宋_GB2312" w:hAnsi="仿宋_GB2312"/>
          <w:b/>
          <w:bCs/>
          <w:sz w:val="40"/>
          <w:szCs w:val="40"/>
        </w:rPr>
        <w:t>安置</w:t>
      </w:r>
      <w:r>
        <w:rPr>
          <w:rFonts w:hint="eastAsia" w:ascii="仿宋_GB2312" w:hAnsi="仿宋_GB2312"/>
          <w:b/>
          <w:bCs/>
          <w:sz w:val="40"/>
          <w:szCs w:val="40"/>
        </w:rPr>
        <w:t>费</w:t>
      </w:r>
      <w:r>
        <w:rPr>
          <w:rFonts w:ascii="仿宋_GB2312" w:hAnsi="仿宋_GB2312"/>
          <w:b/>
          <w:bCs/>
          <w:sz w:val="40"/>
          <w:szCs w:val="40"/>
        </w:rPr>
        <w:t>项目绩效评估报告</w:t>
      </w:r>
    </w:p>
    <w:p w14:paraId="6D7B6BAC">
      <w:pPr>
        <w:autoSpaceDE w:val="0"/>
        <w:spacing w:line="560" w:lineRule="exact"/>
        <w:jc w:val="center"/>
        <w:rPr>
          <w:rFonts w:ascii="仿宋_GB2312" w:hAnsi="仿宋_GB2312"/>
          <w:b/>
          <w:bCs/>
          <w:sz w:val="40"/>
          <w:szCs w:val="40"/>
        </w:rPr>
      </w:pPr>
      <w:r>
        <w:rPr>
          <w:rFonts w:ascii="仿宋_GB2312" w:hAnsi="仿宋_GB2312"/>
          <w:b/>
          <w:bCs/>
          <w:sz w:val="40"/>
          <w:szCs w:val="40"/>
        </w:rPr>
        <w:t xml:space="preserve"> </w:t>
      </w:r>
    </w:p>
    <w:p w14:paraId="311946A7">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一、项目概况</w:t>
      </w:r>
    </w:p>
    <w:p w14:paraId="2B403181">
      <w:pPr>
        <w:autoSpaceDE w:val="0"/>
        <w:spacing w:line="560" w:lineRule="exact"/>
        <w:ind w:firstLine="640" w:firstLineChars="200"/>
        <w:rPr>
          <w:rFonts w:ascii="仿宋_GB2312" w:hAnsi="仿宋_GB2312"/>
          <w:sz w:val="32"/>
          <w:szCs w:val="32"/>
        </w:rPr>
      </w:pPr>
      <w:r>
        <w:rPr>
          <w:rFonts w:ascii="仿宋_GB2312" w:hAnsi="仿宋_GB2312"/>
          <w:color w:val="000000"/>
          <w:sz w:val="32"/>
          <w:szCs w:val="32"/>
        </w:rPr>
        <w:t>1、基本情况：为实施城市规划和土地利用总体规划，</w:t>
      </w:r>
      <w:r>
        <w:rPr>
          <w:rFonts w:ascii="仿宋_GB2312" w:hAnsi="仿宋_GB2312"/>
          <w:sz w:val="32"/>
          <w:szCs w:val="32"/>
        </w:rPr>
        <w:t>着力</w:t>
      </w:r>
      <w:r>
        <w:rPr>
          <w:rFonts w:ascii="仿宋_GB2312" w:hAnsi="仿宋_GB2312"/>
          <w:color w:val="000000"/>
          <w:sz w:val="32"/>
          <w:szCs w:val="32"/>
        </w:rPr>
        <w:t>构建发展新格局，促进我市经济社会持续稳定发展，我市</w:t>
      </w:r>
      <w:r>
        <w:rPr>
          <w:rFonts w:ascii="仿宋_GB2312" w:hAnsi="仿宋_GB2312"/>
          <w:sz w:val="32"/>
          <w:szCs w:val="32"/>
        </w:rPr>
        <w:t>实施了南部新城建设项目。</w:t>
      </w:r>
      <w:r>
        <w:rPr>
          <w:rFonts w:hint="eastAsia" w:ascii="仿宋_GB2312" w:hAnsi="仿宋_GB2312"/>
          <w:sz w:val="32"/>
          <w:szCs w:val="32"/>
        </w:rPr>
        <w:t>宁新</w:t>
      </w:r>
      <w:r>
        <w:rPr>
          <w:rFonts w:ascii="仿宋_GB2312" w:hAnsi="仿宋_GB2312"/>
          <w:sz w:val="32"/>
          <w:szCs w:val="32"/>
        </w:rPr>
        <w:t>街道办按照市委</w:t>
      </w:r>
      <w:r>
        <w:rPr>
          <w:rFonts w:hint="eastAsia" w:ascii="仿宋_GB2312" w:hAnsi="仿宋_GB2312"/>
          <w:sz w:val="32"/>
          <w:szCs w:val="32"/>
        </w:rPr>
        <w:t>、</w:t>
      </w:r>
      <w:r>
        <w:rPr>
          <w:rFonts w:ascii="仿宋_GB2312" w:hAnsi="仿宋_GB2312"/>
          <w:sz w:val="32"/>
          <w:szCs w:val="32"/>
        </w:rPr>
        <w:t>市政府工作部署，扎实稳妥地推进房屋征收补偿工作，促进城乡区域协调发展，以高质量发展为主题，全面提升</w:t>
      </w:r>
      <w:r>
        <w:rPr>
          <w:rFonts w:hint="eastAsia" w:ascii="仿宋_GB2312" w:hAnsi="仿宋_GB2312"/>
          <w:sz w:val="32"/>
          <w:szCs w:val="32"/>
        </w:rPr>
        <w:t>我市</w:t>
      </w:r>
      <w:r>
        <w:rPr>
          <w:rFonts w:ascii="仿宋_GB2312" w:hAnsi="仿宋_GB2312"/>
          <w:sz w:val="32"/>
          <w:szCs w:val="32"/>
        </w:rPr>
        <w:t>人居环境品质。</w:t>
      </w:r>
    </w:p>
    <w:p w14:paraId="4D89C1FF">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2、</w:t>
      </w:r>
      <w:r>
        <w:rPr>
          <w:rFonts w:ascii="仿宋_GB2312" w:hAnsi="仿宋_GB2312"/>
          <w:sz w:val="32"/>
          <w:szCs w:val="32"/>
        </w:rPr>
        <w:t>项目绩效目标：体现民生、保障原则，保障房屋被征收户的合法权益，维护社会和谐稳定。</w:t>
      </w:r>
    </w:p>
    <w:p w14:paraId="2AEF92B1">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二、项目实施主要内容及资金管理。</w:t>
      </w:r>
    </w:p>
    <w:p w14:paraId="015DAEA5">
      <w:pPr>
        <w:autoSpaceDE w:val="0"/>
        <w:spacing w:line="560" w:lineRule="exact"/>
        <w:ind w:firstLine="640" w:firstLineChars="200"/>
        <w:rPr>
          <w:rFonts w:ascii="仿宋_GB2312" w:hAnsi="仿宋_GB2312"/>
          <w:sz w:val="32"/>
          <w:szCs w:val="32"/>
        </w:rPr>
      </w:pPr>
      <w:r>
        <w:rPr>
          <w:rFonts w:ascii="仿宋_GB2312" w:hAnsi="仿宋_GB2312"/>
          <w:sz w:val="32"/>
          <w:szCs w:val="32"/>
        </w:rPr>
        <w:t>1、项目实施主要内容</w:t>
      </w:r>
    </w:p>
    <w:p w14:paraId="1ED84367">
      <w:pPr>
        <w:autoSpaceDE w:val="0"/>
        <w:spacing w:line="560" w:lineRule="exact"/>
        <w:ind w:firstLine="640" w:firstLineChars="200"/>
        <w:rPr>
          <w:rFonts w:ascii="仿宋_GB2312" w:hAnsi="仿宋_GB2312"/>
          <w:sz w:val="32"/>
          <w:szCs w:val="32"/>
        </w:rPr>
      </w:pPr>
      <w:r>
        <w:rPr>
          <w:rFonts w:ascii="仿宋_GB2312" w:hAnsi="仿宋_GB2312"/>
          <w:sz w:val="32"/>
          <w:szCs w:val="32"/>
        </w:rPr>
        <w:t>根据</w:t>
      </w:r>
      <w:r>
        <w:rPr>
          <w:rFonts w:hint="eastAsia" w:ascii="仿宋_GB2312" w:hAnsi="仿宋_GB2312"/>
          <w:sz w:val="32"/>
          <w:szCs w:val="32"/>
        </w:rPr>
        <w:t>《兴宁市人民政府关于征收兴宁市南部新城宁新街道横湖村房屋决定的公告》（兴市府【2014】29号）、《兴宁市人民政府关于印发兴宁市南部新城宁新街道横湖村房屋征收补偿安置方案的通知》兴市府【2014】30号</w:t>
      </w:r>
      <w:r>
        <w:rPr>
          <w:rFonts w:hint="eastAsia" w:ascii="仿宋_GB2312" w:hAnsi="仿宋_GB2312"/>
          <w:sz w:val="32"/>
          <w:szCs w:val="32"/>
          <w:lang w:eastAsia="zh-CN"/>
        </w:rPr>
        <w:t>文件</w:t>
      </w:r>
      <w:bookmarkStart w:id="0" w:name="_GoBack"/>
      <w:bookmarkEnd w:id="0"/>
      <w:r>
        <w:rPr>
          <w:rFonts w:hint="eastAsia" w:ascii="仿宋_GB2312" w:hAnsi="仿宋_GB2312"/>
          <w:sz w:val="32"/>
          <w:szCs w:val="32"/>
        </w:rPr>
        <w:t>精神，全力推动十一地块房屋征收工作，需要支付十一地块项目剩余水田4户、未征收房屋1</w:t>
      </w:r>
      <w:r>
        <w:rPr>
          <w:rFonts w:hint="eastAsia" w:ascii="仿宋_GB2312" w:hAnsi="仿宋_GB2312"/>
          <w:sz w:val="32"/>
          <w:szCs w:val="32"/>
          <w:lang w:val="en-US" w:eastAsia="zh-CN"/>
        </w:rPr>
        <w:t>8</w:t>
      </w:r>
      <w:r>
        <w:rPr>
          <w:rFonts w:hint="eastAsia" w:ascii="仿宋_GB2312" w:hAnsi="仿宋_GB2312"/>
          <w:sz w:val="32"/>
          <w:szCs w:val="32"/>
        </w:rPr>
        <w:t>座、公产房屋3座的征收补偿款20000000元</w:t>
      </w:r>
      <w:r>
        <w:rPr>
          <w:rFonts w:ascii="仿宋_GB2312" w:hAnsi="仿宋_GB2312"/>
          <w:sz w:val="32"/>
          <w:szCs w:val="32"/>
        </w:rPr>
        <w:t>。</w:t>
      </w:r>
    </w:p>
    <w:p w14:paraId="0984F415">
      <w:pPr>
        <w:autoSpaceDE w:val="0"/>
        <w:snapToGrid w:val="0"/>
        <w:spacing w:line="560" w:lineRule="exact"/>
        <w:ind w:firstLine="640" w:firstLineChars="200"/>
        <w:rPr>
          <w:rFonts w:ascii="仿宋_GB2312" w:hAnsi="仿宋_GB2312"/>
          <w:sz w:val="32"/>
          <w:szCs w:val="32"/>
        </w:rPr>
      </w:pPr>
      <w:r>
        <w:rPr>
          <w:rFonts w:ascii="仿宋_GB2312" w:hAnsi="仿宋_GB2312"/>
          <w:sz w:val="32"/>
          <w:szCs w:val="32"/>
        </w:rPr>
        <w:t>2、项目资金管理情况</w:t>
      </w:r>
    </w:p>
    <w:p w14:paraId="11817582">
      <w:pPr>
        <w:autoSpaceDE w:val="0"/>
        <w:snapToGrid w:val="0"/>
        <w:spacing w:line="560" w:lineRule="exact"/>
        <w:ind w:firstLine="640" w:firstLineChars="200"/>
        <w:rPr>
          <w:rFonts w:ascii="仿宋_GB2312" w:hAnsi="仿宋_GB2312"/>
          <w:sz w:val="32"/>
          <w:szCs w:val="32"/>
        </w:rPr>
      </w:pPr>
      <w:r>
        <w:rPr>
          <w:rFonts w:ascii="仿宋_GB2312" w:hAnsi="仿宋_GB2312"/>
          <w:sz w:val="32"/>
          <w:szCs w:val="32"/>
        </w:rPr>
        <w:t>按照资金管理办法，资金实行专款专用。安置费的支付严格按照相关程序审批。</w:t>
      </w:r>
    </w:p>
    <w:p w14:paraId="4D0B7103">
      <w:pPr>
        <w:autoSpaceDE w:val="0"/>
        <w:spacing w:line="560" w:lineRule="exact"/>
        <w:ind w:firstLine="964" w:firstLineChars="300"/>
        <w:rPr>
          <w:rFonts w:ascii="仿宋_GB2312" w:hAnsi="仿宋_GB2312"/>
          <w:b/>
          <w:bCs/>
          <w:sz w:val="32"/>
          <w:szCs w:val="32"/>
        </w:rPr>
      </w:pPr>
      <w:r>
        <w:rPr>
          <w:rFonts w:ascii="仿宋_GB2312" w:hAnsi="仿宋_GB2312"/>
          <w:b/>
          <w:bCs/>
          <w:sz w:val="32"/>
          <w:szCs w:val="32"/>
        </w:rPr>
        <w:t>三、评估结论</w:t>
      </w:r>
    </w:p>
    <w:p w14:paraId="5F5A8C91">
      <w:pPr>
        <w:autoSpaceDE w:val="0"/>
        <w:spacing w:line="560" w:lineRule="exact"/>
        <w:ind w:firstLine="640" w:firstLineChars="200"/>
        <w:rPr>
          <w:rFonts w:ascii="仿宋_GB2312" w:hAnsi="仿宋_GB2312"/>
          <w:sz w:val="32"/>
          <w:szCs w:val="32"/>
        </w:rPr>
      </w:pPr>
      <w:r>
        <w:rPr>
          <w:rFonts w:ascii="仿宋_GB2312" w:hAnsi="仿宋_GB2312"/>
          <w:sz w:val="32"/>
          <w:szCs w:val="32"/>
        </w:rPr>
        <w:t>项目从可持续发展角度而言，整体发挥的社会效益明显，推动了</w:t>
      </w:r>
      <w:r>
        <w:rPr>
          <w:rFonts w:hint="eastAsia" w:ascii="仿宋_GB2312" w:hAnsi="仿宋_GB2312"/>
          <w:sz w:val="32"/>
          <w:szCs w:val="32"/>
        </w:rPr>
        <w:t>新中心城区</w:t>
      </w:r>
      <w:r>
        <w:rPr>
          <w:rFonts w:ascii="仿宋_GB2312" w:hAnsi="仿宋_GB2312"/>
          <w:sz w:val="32"/>
          <w:szCs w:val="32"/>
        </w:rPr>
        <w:t>征地拆迁进度，保障了被征收户的合法权益。</w:t>
      </w:r>
    </w:p>
    <w:p w14:paraId="278416B8">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四、评估分析</w:t>
      </w:r>
    </w:p>
    <w:p w14:paraId="6A40BA69">
      <w:pPr>
        <w:autoSpaceDE w:val="0"/>
        <w:spacing w:line="560" w:lineRule="exact"/>
        <w:ind w:firstLine="643" w:firstLineChars="200"/>
        <w:rPr>
          <w:rFonts w:ascii="仿宋_GB2312" w:hAnsi="仿宋_GB2312"/>
          <w:sz w:val="32"/>
          <w:szCs w:val="32"/>
        </w:rPr>
      </w:pPr>
      <w:r>
        <w:rPr>
          <w:rFonts w:ascii="仿宋_GB2312" w:hAnsi="仿宋_GB2312"/>
          <w:b/>
          <w:bCs/>
          <w:sz w:val="32"/>
          <w:szCs w:val="32"/>
        </w:rPr>
        <w:t>（一）绩效目标合理性。</w:t>
      </w:r>
      <w:r>
        <w:rPr>
          <w:rFonts w:ascii="仿宋_GB2312" w:hAnsi="仿宋_GB2312"/>
          <w:sz w:val="32"/>
          <w:szCs w:val="32"/>
        </w:rPr>
        <w:t>通过实施南部新城建设，城乡面貌发生较大变化，基础设施得到进一步完善，服务功能持续增强，居民幸福感、获得感显著增强。</w:t>
      </w:r>
    </w:p>
    <w:p w14:paraId="69595358">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（二）实施方案可行性。</w:t>
      </w:r>
      <w:r>
        <w:rPr>
          <w:rFonts w:ascii="仿宋_GB2312" w:hAnsi="仿宋_GB2312"/>
          <w:sz w:val="32"/>
          <w:szCs w:val="32"/>
        </w:rPr>
        <w:t>实施南部新城建设项目，建设</w:t>
      </w:r>
      <w:r>
        <w:rPr>
          <w:rFonts w:hint="eastAsia" w:ascii="仿宋_GB2312" w:hAnsi="仿宋_GB2312"/>
          <w:sz w:val="32"/>
          <w:szCs w:val="32"/>
        </w:rPr>
        <w:t>新中心城区</w:t>
      </w:r>
      <w:r>
        <w:rPr>
          <w:rFonts w:ascii="仿宋_GB2312" w:hAnsi="仿宋_GB2312"/>
          <w:sz w:val="32"/>
          <w:szCs w:val="32"/>
        </w:rPr>
        <w:t>得到了大多数群众的理解和支持，维护了社会和谐稳定，促进了房屋征收工作。</w:t>
      </w:r>
    </w:p>
    <w:p w14:paraId="7EDA45CB">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五、其他需要说明的情况</w:t>
      </w:r>
    </w:p>
    <w:p w14:paraId="2EC6F2E0">
      <w:pPr>
        <w:autoSpaceDE w:val="0"/>
        <w:spacing w:line="560" w:lineRule="exact"/>
        <w:ind w:firstLine="640" w:firstLineChars="200"/>
        <w:rPr>
          <w:rFonts w:ascii="仿宋_GB2312" w:hAnsi="仿宋_GB2312"/>
          <w:sz w:val="32"/>
          <w:szCs w:val="32"/>
        </w:rPr>
      </w:pPr>
      <w:r>
        <w:rPr>
          <w:rFonts w:ascii="仿宋_GB2312" w:hAnsi="仿宋_GB2312"/>
          <w:sz w:val="32"/>
          <w:szCs w:val="32"/>
        </w:rPr>
        <w:t>无其他说明的情况。</w:t>
      </w:r>
    </w:p>
    <w:p w14:paraId="6F05D9F6">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ab/>
      </w:r>
      <w:r>
        <w:rPr>
          <w:rFonts w:ascii="仿宋_GB2312" w:hAnsi="仿宋_GB2312"/>
          <w:sz w:val="32"/>
          <w:szCs w:val="32"/>
        </w:rPr>
        <w:t xml:space="preserve">                             </w:t>
      </w:r>
    </w:p>
    <w:p w14:paraId="24AC90FA">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 xml:space="preserve"> </w:t>
      </w:r>
    </w:p>
    <w:p w14:paraId="640862B9">
      <w:pPr>
        <w:autoSpaceDE w:val="0"/>
        <w:adjustRightInd w:val="0"/>
        <w:snapToGrid w:val="0"/>
        <w:spacing w:line="560" w:lineRule="exact"/>
        <w:ind w:firstLine="4480" w:firstLineChars="1400"/>
        <w:rPr>
          <w:rFonts w:ascii="仿宋_GB2312" w:hAnsi="仿宋_GB2312"/>
          <w:sz w:val="32"/>
          <w:szCs w:val="32"/>
        </w:rPr>
      </w:pPr>
      <w:r>
        <w:rPr>
          <w:rFonts w:ascii="仿宋_GB2312" w:hAnsi="仿宋_GB2312"/>
          <w:sz w:val="32"/>
          <w:szCs w:val="32"/>
        </w:rPr>
        <w:t>兴宁市住房和城乡建设局</w:t>
      </w:r>
    </w:p>
    <w:p w14:paraId="6FE705D9">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 xml:space="preserve">                              202</w:t>
      </w:r>
      <w:r>
        <w:rPr>
          <w:rFonts w:hint="eastAsia" w:ascii="仿宋_GB2312" w:hAnsi="仿宋_GB2312"/>
          <w:sz w:val="32"/>
          <w:szCs w:val="32"/>
        </w:rPr>
        <w:t>5</w:t>
      </w:r>
      <w:r>
        <w:rPr>
          <w:rFonts w:ascii="仿宋_GB2312" w:hAnsi="仿宋_GB2312"/>
          <w:sz w:val="32"/>
          <w:szCs w:val="32"/>
        </w:rPr>
        <w:t>年</w:t>
      </w:r>
      <w:r>
        <w:rPr>
          <w:rFonts w:hint="eastAsia" w:ascii="仿宋_GB2312" w:hAnsi="仿宋_GB2312"/>
          <w:sz w:val="32"/>
          <w:szCs w:val="32"/>
        </w:rPr>
        <w:t>6</w:t>
      </w:r>
      <w:r>
        <w:rPr>
          <w:rFonts w:ascii="仿宋_GB2312" w:hAnsi="仿宋_GB2312"/>
          <w:sz w:val="32"/>
          <w:szCs w:val="32"/>
        </w:rPr>
        <w:t xml:space="preserve">月19日  </w:t>
      </w:r>
    </w:p>
    <w:p w14:paraId="0034514C">
      <w:pPr>
        <w:autoSpaceDE w:val="0"/>
        <w:spacing w:line="560" w:lineRule="exact"/>
      </w:pPr>
      <w:r>
        <w:t xml:space="preserve"> </w:t>
      </w:r>
    </w:p>
    <w:p w14:paraId="68F363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1313"/>
    <w:rsid w:val="0047259F"/>
    <w:rsid w:val="007B2AB8"/>
    <w:rsid w:val="00B11313"/>
    <w:rsid w:val="00F45DB2"/>
    <w:rsid w:val="17A44F9C"/>
    <w:rsid w:val="30E14F39"/>
    <w:rsid w:val="47D3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601</Words>
  <Characters>613</Characters>
  <Lines>4</Lines>
  <Paragraphs>1</Paragraphs>
  <TotalTime>56</TotalTime>
  <ScaleCrop>false</ScaleCrop>
  <LinksUpToDate>false</LinksUpToDate>
  <CharactersWithSpaces>678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2025-06-13T02:12:00Z</dcterms:created>
  <dc:creator>Administrator</dc:creator>
  <cp:lastModifiedBy>Administrator</cp:lastModifiedBy>
  <dcterms:modified xsi:type="dcterms:W3CDTF">2025-06-25T02:27:47Z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eyJoZGlkIjoiNmE3NDZlY2ZjZGQ0MzhhMDQ4MzBkMmFiN2I3ODkwNmEifQ==</vt:lpwstr>
  </property>
  <property fmtid="{D5CDD505-2E9C-101B-9397-08002B2CF9AE}" pid="3" name="KSOProductBuildVer">
    <vt:lpwstr>2052-12.1.0.21541</vt:lpwstr>
  </property>
  <property fmtid="{D5CDD505-2E9C-101B-9397-08002B2CF9AE}" pid="4" name="ICV">
    <vt:lpwstr>3C1730F679B74C4FA1411C845D32B7DD_12</vt:lpwstr>
  </property>
</Properties>
</file>