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8D9D4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ascii="仿宋_GB2312" w:hAnsi="仿宋_GB2312"/>
          <w:b/>
          <w:bCs/>
          <w:sz w:val="40"/>
          <w:szCs w:val="40"/>
        </w:rPr>
        <w:t>兴宁市</w:t>
      </w:r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福兴</w:t>
      </w:r>
      <w:r>
        <w:rPr>
          <w:rFonts w:hint="eastAsia" w:ascii="仿宋_GB2312" w:hAnsi="仿宋_GB2312"/>
          <w:b/>
          <w:bCs/>
          <w:sz w:val="40"/>
          <w:szCs w:val="40"/>
        </w:rPr>
        <w:t>街道</w:t>
      </w:r>
      <w:r>
        <w:rPr>
          <w:rFonts w:hint="eastAsia" w:ascii="仿宋_GB2312" w:hAnsi="仿宋_GB2312"/>
          <w:b/>
          <w:bCs/>
          <w:sz w:val="40"/>
          <w:szCs w:val="40"/>
          <w:lang w:eastAsia="zh-CN"/>
        </w:rPr>
        <w:t>一级开发范围外</w:t>
      </w:r>
      <w:r>
        <w:rPr>
          <w:rFonts w:hint="eastAsia" w:ascii="仿宋_GB2312" w:hAnsi="仿宋_GB2312"/>
          <w:b/>
          <w:bCs/>
          <w:sz w:val="40"/>
          <w:szCs w:val="40"/>
          <w:lang w:val="en-US" w:eastAsia="zh-CN"/>
        </w:rPr>
        <w:t>2024年第一、二季度</w:t>
      </w:r>
      <w:r>
        <w:rPr>
          <w:rFonts w:ascii="仿宋_GB2312" w:hAnsi="仿宋_GB2312"/>
          <w:b/>
          <w:bCs/>
          <w:sz w:val="40"/>
          <w:szCs w:val="40"/>
        </w:rPr>
        <w:t>安置</w:t>
      </w:r>
      <w:r>
        <w:rPr>
          <w:rFonts w:hint="eastAsia" w:ascii="仿宋_GB2312" w:hAnsi="仿宋_GB2312"/>
          <w:b/>
          <w:bCs/>
          <w:sz w:val="40"/>
          <w:szCs w:val="40"/>
        </w:rPr>
        <w:t>费</w:t>
      </w:r>
      <w:r>
        <w:rPr>
          <w:rFonts w:ascii="仿宋_GB2312" w:hAnsi="仿宋_GB2312"/>
          <w:b/>
          <w:bCs/>
          <w:sz w:val="40"/>
          <w:szCs w:val="40"/>
        </w:rPr>
        <w:t>绩效评估报告</w:t>
      </w:r>
    </w:p>
    <w:p w14:paraId="71560E3E">
      <w:pPr>
        <w:autoSpaceDE w:val="0"/>
        <w:spacing w:line="560" w:lineRule="exact"/>
        <w:jc w:val="center"/>
        <w:rPr>
          <w:rFonts w:ascii="仿宋_GB2312" w:hAnsi="仿宋_GB2312"/>
          <w:b/>
          <w:bCs/>
          <w:sz w:val="40"/>
          <w:szCs w:val="40"/>
        </w:rPr>
      </w:pPr>
      <w:r>
        <w:rPr>
          <w:rFonts w:ascii="仿宋_GB2312" w:hAnsi="仿宋_GB2312"/>
          <w:b/>
          <w:bCs/>
          <w:sz w:val="40"/>
          <w:szCs w:val="40"/>
        </w:rPr>
        <w:t xml:space="preserve"> </w:t>
      </w:r>
    </w:p>
    <w:p w14:paraId="36FAA575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一、项目概况</w:t>
      </w:r>
    </w:p>
    <w:p w14:paraId="0E36C94A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color w:val="000000"/>
          <w:sz w:val="32"/>
          <w:szCs w:val="32"/>
        </w:rPr>
        <w:t>1、基本情况：为实施城市规划和土地利用总体规划，</w:t>
      </w:r>
      <w:r>
        <w:rPr>
          <w:rFonts w:ascii="仿宋_GB2312" w:hAnsi="仿宋_GB2312"/>
          <w:sz w:val="32"/>
          <w:szCs w:val="32"/>
        </w:rPr>
        <w:t>着力</w:t>
      </w:r>
      <w:r>
        <w:rPr>
          <w:rFonts w:ascii="仿宋_GB2312" w:hAnsi="仿宋_GB2312"/>
          <w:color w:val="000000"/>
          <w:sz w:val="32"/>
          <w:szCs w:val="32"/>
        </w:rPr>
        <w:t>构建发展新格局，促进我市经济社会持续稳定发展，我市</w:t>
      </w:r>
      <w:r>
        <w:rPr>
          <w:rFonts w:ascii="仿宋_GB2312" w:hAnsi="仿宋_GB2312"/>
          <w:sz w:val="32"/>
          <w:szCs w:val="32"/>
        </w:rPr>
        <w:t>实施了南部新城建设</w:t>
      </w:r>
      <w:r>
        <w:rPr>
          <w:rFonts w:hint="eastAsia" w:ascii="仿宋_GB2312" w:hAnsi="仿宋_GB2312"/>
          <w:sz w:val="32"/>
          <w:szCs w:val="32"/>
          <w:lang w:eastAsia="zh-CN"/>
        </w:rPr>
        <w:t>。福兴</w:t>
      </w:r>
      <w:r>
        <w:rPr>
          <w:rFonts w:ascii="仿宋_GB2312" w:hAnsi="仿宋_GB2312"/>
          <w:sz w:val="32"/>
          <w:szCs w:val="32"/>
        </w:rPr>
        <w:t>街道办按照市委</w:t>
      </w:r>
      <w:r>
        <w:rPr>
          <w:rFonts w:hint="eastAsia" w:ascii="仿宋_GB2312" w:hAnsi="仿宋_GB2312"/>
          <w:sz w:val="32"/>
          <w:szCs w:val="32"/>
        </w:rPr>
        <w:t>、</w:t>
      </w:r>
      <w:r>
        <w:rPr>
          <w:rFonts w:ascii="仿宋_GB2312" w:hAnsi="仿宋_GB2312"/>
          <w:sz w:val="32"/>
          <w:szCs w:val="32"/>
        </w:rPr>
        <w:t>市政府工作部署，扎实稳妥地推进房屋征收补偿工作，促进城乡区域协调发展，以高质量发展为主题，全面提升</w:t>
      </w:r>
      <w:r>
        <w:rPr>
          <w:rFonts w:hint="eastAsia" w:ascii="仿宋_GB2312" w:hAnsi="仿宋_GB2312"/>
          <w:sz w:val="32"/>
          <w:szCs w:val="32"/>
        </w:rPr>
        <w:t>我市</w:t>
      </w:r>
      <w:r>
        <w:rPr>
          <w:rFonts w:ascii="仿宋_GB2312" w:hAnsi="仿宋_GB2312"/>
          <w:sz w:val="32"/>
          <w:szCs w:val="32"/>
        </w:rPr>
        <w:t>人居环境品质。</w:t>
      </w:r>
    </w:p>
    <w:p w14:paraId="5C8B577A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2、</w:t>
      </w:r>
      <w:r>
        <w:rPr>
          <w:rFonts w:ascii="仿宋_GB2312" w:hAnsi="仿宋_GB2312"/>
          <w:sz w:val="32"/>
          <w:szCs w:val="32"/>
        </w:rPr>
        <w:t>项目绩效目标：体现民生、保障原则，保障房屋被征收户的合法权益，维护社会和谐稳定。</w:t>
      </w:r>
    </w:p>
    <w:p w14:paraId="00075719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二、项目实施主要内容及资金管理。</w:t>
      </w:r>
    </w:p>
    <w:p w14:paraId="01DF43D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1、项目实施主要内容</w:t>
      </w:r>
    </w:p>
    <w:p w14:paraId="76D6949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根据兴宁市南部新城</w:t>
      </w:r>
      <w:r>
        <w:rPr>
          <w:rFonts w:hint="eastAsia" w:ascii="仿宋_GB2312" w:hAnsi="仿宋_GB2312"/>
          <w:sz w:val="32"/>
          <w:szCs w:val="32"/>
          <w:lang w:eastAsia="zh-CN"/>
        </w:rPr>
        <w:t>福兴</w:t>
      </w:r>
      <w:r>
        <w:rPr>
          <w:rFonts w:hint="eastAsia" w:ascii="仿宋_GB2312" w:hAnsi="仿宋_GB2312"/>
          <w:sz w:val="32"/>
          <w:szCs w:val="32"/>
        </w:rPr>
        <w:t>街道</w:t>
      </w:r>
      <w:r>
        <w:rPr>
          <w:rFonts w:hint="eastAsia" w:ascii="仿宋_GB2312" w:hAnsi="仿宋_GB2312"/>
          <w:sz w:val="32"/>
          <w:szCs w:val="32"/>
          <w:lang w:eastAsia="zh-CN"/>
        </w:rPr>
        <w:t>墨池、黄畿、新联、梅子等村的</w:t>
      </w:r>
      <w:r>
        <w:rPr>
          <w:rFonts w:ascii="仿宋_GB2312" w:hAnsi="仿宋_GB2312"/>
          <w:sz w:val="32"/>
          <w:szCs w:val="32"/>
        </w:rPr>
        <w:t>房屋征收补偿安置方案</w:t>
      </w:r>
      <w:r>
        <w:rPr>
          <w:rFonts w:hint="eastAsia" w:ascii="仿宋_GB2312" w:hAnsi="仿宋_GB2312"/>
          <w:sz w:val="32"/>
          <w:szCs w:val="32"/>
        </w:rPr>
        <w:t>精神，需要支付</w:t>
      </w:r>
      <w:r>
        <w:rPr>
          <w:rFonts w:hint="eastAsia" w:ascii="仿宋_GB2312" w:hAnsi="仿宋_GB2312"/>
          <w:sz w:val="32"/>
          <w:szCs w:val="32"/>
          <w:lang w:eastAsia="zh-CN"/>
        </w:rPr>
        <w:t>福兴一级开发范围外相关房屋被征收人共</w:t>
      </w:r>
      <w:r>
        <w:rPr>
          <w:rFonts w:hint="eastAsia" w:ascii="仿宋_GB2312" w:hAnsi="仿宋_GB2312"/>
          <w:sz w:val="32"/>
          <w:szCs w:val="32"/>
          <w:lang w:val="en-US" w:eastAsia="zh-CN"/>
        </w:rPr>
        <w:t>218户2024年第一、二季度</w:t>
      </w:r>
      <w:r>
        <w:rPr>
          <w:rFonts w:hint="eastAsia" w:ascii="仿宋_GB2312" w:hAnsi="仿宋_GB2312"/>
          <w:sz w:val="32"/>
          <w:szCs w:val="32"/>
          <w:lang w:eastAsia="zh-CN"/>
        </w:rPr>
        <w:t>临时过渡安置费和商铺年租金约</w:t>
      </w:r>
      <w:r>
        <w:rPr>
          <w:rFonts w:hint="eastAsia" w:ascii="仿宋_GB2312" w:hAnsi="仿宋_GB2312"/>
          <w:sz w:val="32"/>
          <w:szCs w:val="32"/>
          <w:lang w:val="en-US" w:eastAsia="zh-CN"/>
        </w:rPr>
        <w:t>2264994.00</w:t>
      </w:r>
      <w:bookmarkStart w:id="0" w:name="_GoBack"/>
      <w:bookmarkEnd w:id="0"/>
      <w:r>
        <w:rPr>
          <w:rFonts w:hint="eastAsia" w:ascii="仿宋_GB2312" w:hAnsi="仿宋_GB2312"/>
          <w:sz w:val="32"/>
          <w:szCs w:val="32"/>
          <w:lang w:val="en-US" w:eastAsia="zh-CN"/>
        </w:rPr>
        <w:t>元</w:t>
      </w:r>
      <w:r>
        <w:rPr>
          <w:rFonts w:ascii="仿宋_GB2312" w:hAnsi="仿宋_GB2312"/>
          <w:sz w:val="32"/>
          <w:szCs w:val="32"/>
        </w:rPr>
        <w:t>。</w:t>
      </w:r>
    </w:p>
    <w:p w14:paraId="7135EA8B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2、项目资金管理情况</w:t>
      </w:r>
    </w:p>
    <w:p w14:paraId="4B64FD86">
      <w:pPr>
        <w:autoSpaceDE w:val="0"/>
        <w:snapToGrid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按照资金管理办法，资金实行专款专用。安置费的支付严格按照相关程序审批。</w:t>
      </w:r>
    </w:p>
    <w:p w14:paraId="4262DFF1">
      <w:pPr>
        <w:autoSpaceDE w:val="0"/>
        <w:spacing w:line="560" w:lineRule="exact"/>
        <w:ind w:firstLine="964" w:firstLineChars="3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三、评估结论</w:t>
      </w:r>
    </w:p>
    <w:p w14:paraId="7833FC8E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项目从可持续发展角度而言，整体发挥的社会效益明显，推动了</w:t>
      </w:r>
      <w:r>
        <w:rPr>
          <w:rFonts w:hint="eastAsia" w:ascii="仿宋_GB2312" w:hAnsi="仿宋_GB2312"/>
          <w:sz w:val="32"/>
          <w:szCs w:val="32"/>
          <w:lang w:eastAsia="zh-CN"/>
        </w:rPr>
        <w:t>南部新城福兴片区</w:t>
      </w:r>
      <w:r>
        <w:rPr>
          <w:rFonts w:ascii="仿宋_GB2312" w:hAnsi="仿宋_GB2312"/>
          <w:sz w:val="32"/>
          <w:szCs w:val="32"/>
        </w:rPr>
        <w:t>征地拆迁进度，保障了被征收户的合法权益。</w:t>
      </w:r>
    </w:p>
    <w:p w14:paraId="12AF8C08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四、评估分析</w:t>
      </w:r>
    </w:p>
    <w:p w14:paraId="2122FDEC">
      <w:pPr>
        <w:autoSpaceDE w:val="0"/>
        <w:spacing w:line="560" w:lineRule="exact"/>
        <w:ind w:firstLine="643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（一）绩效目标合理性。</w:t>
      </w:r>
      <w:r>
        <w:rPr>
          <w:rFonts w:ascii="仿宋_GB2312" w:hAnsi="仿宋_GB2312"/>
          <w:sz w:val="32"/>
          <w:szCs w:val="32"/>
        </w:rPr>
        <w:t>通过实施南部新城建设，城乡面貌发生较大变化，基础设施得到进一步完善，服务功能持续增强，居民幸福感、获得感显著增强。</w:t>
      </w:r>
    </w:p>
    <w:p w14:paraId="7472082E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（二）实施方案可行性。</w:t>
      </w:r>
      <w:r>
        <w:rPr>
          <w:rFonts w:ascii="仿宋_GB2312" w:hAnsi="仿宋_GB2312"/>
          <w:sz w:val="32"/>
          <w:szCs w:val="32"/>
        </w:rPr>
        <w:t>实施南部新城建设项目，得到了大多数群众的理解和支持，维护了社会和谐稳定，促进了房屋征收工作。</w:t>
      </w:r>
    </w:p>
    <w:p w14:paraId="2A2ED312">
      <w:pPr>
        <w:autoSpaceDE w:val="0"/>
        <w:spacing w:line="560" w:lineRule="exact"/>
        <w:ind w:firstLine="643" w:firstLineChars="200"/>
        <w:rPr>
          <w:rFonts w:ascii="仿宋_GB2312" w:hAnsi="仿宋_GB2312"/>
          <w:b/>
          <w:bCs/>
          <w:sz w:val="32"/>
          <w:szCs w:val="32"/>
        </w:rPr>
      </w:pPr>
      <w:r>
        <w:rPr>
          <w:rFonts w:ascii="仿宋_GB2312" w:hAnsi="仿宋_GB2312"/>
          <w:b/>
          <w:bCs/>
          <w:sz w:val="32"/>
          <w:szCs w:val="32"/>
        </w:rPr>
        <w:t>五、其他需要说明的情况</w:t>
      </w:r>
    </w:p>
    <w:p w14:paraId="2C42B616">
      <w:pPr>
        <w:autoSpaceDE w:val="0"/>
        <w:spacing w:line="560" w:lineRule="exact"/>
        <w:ind w:firstLine="640" w:firstLineChars="2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无其他说明的情况。</w:t>
      </w:r>
    </w:p>
    <w:p w14:paraId="1FBB8CB4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ab/>
      </w:r>
      <w:r>
        <w:rPr>
          <w:rFonts w:ascii="仿宋_GB2312" w:hAnsi="仿宋_GB2312"/>
          <w:sz w:val="32"/>
          <w:szCs w:val="32"/>
        </w:rPr>
        <w:t xml:space="preserve">                             </w:t>
      </w:r>
    </w:p>
    <w:p w14:paraId="67A8E4E7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</w:t>
      </w:r>
    </w:p>
    <w:p w14:paraId="3952C1D1">
      <w:pPr>
        <w:autoSpaceDE w:val="0"/>
        <w:adjustRightInd w:val="0"/>
        <w:snapToGrid w:val="0"/>
        <w:spacing w:line="560" w:lineRule="exact"/>
        <w:ind w:firstLine="4480" w:firstLineChars="140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兴宁市住房和城乡建设局</w:t>
      </w:r>
    </w:p>
    <w:p w14:paraId="1E45B751">
      <w:pPr>
        <w:autoSpaceDE w:val="0"/>
        <w:adjustRightInd w:val="0"/>
        <w:snapToGrid w:val="0"/>
        <w:spacing w:line="560" w:lineRule="exact"/>
        <w:jc w:val="center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 xml:space="preserve">                              202</w:t>
      </w:r>
      <w:r>
        <w:rPr>
          <w:rFonts w:hint="eastAsia" w:ascii="仿宋_GB2312" w:hAnsi="仿宋_GB2312"/>
          <w:sz w:val="32"/>
          <w:szCs w:val="32"/>
        </w:rPr>
        <w:t>5</w:t>
      </w:r>
      <w:r>
        <w:rPr>
          <w:rFonts w:ascii="仿宋_GB2312" w:hAnsi="仿宋_GB2312"/>
          <w:sz w:val="32"/>
          <w:szCs w:val="32"/>
        </w:rPr>
        <w:t>年</w:t>
      </w:r>
      <w:r>
        <w:rPr>
          <w:rFonts w:hint="eastAsia" w:ascii="仿宋_GB2312" w:hAnsi="仿宋_GB2312"/>
          <w:sz w:val="32"/>
          <w:szCs w:val="32"/>
        </w:rPr>
        <w:t>6</w:t>
      </w:r>
      <w:r>
        <w:rPr>
          <w:rFonts w:ascii="仿宋_GB2312" w:hAnsi="仿宋_GB2312"/>
          <w:sz w:val="32"/>
          <w:szCs w:val="32"/>
        </w:rPr>
        <w:t xml:space="preserve">月19日  </w:t>
      </w:r>
    </w:p>
    <w:p w14:paraId="69F60AEB">
      <w:pPr>
        <w:autoSpaceDE w:val="0"/>
        <w:spacing w:line="560" w:lineRule="exact"/>
      </w:pPr>
      <w:r>
        <w:t xml:space="preserve"> </w:t>
      </w:r>
    </w:p>
    <w:p w14:paraId="79B98F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1313"/>
    <w:rsid w:val="0047259F"/>
    <w:rsid w:val="007B2AB8"/>
    <w:rsid w:val="00B11313"/>
    <w:rsid w:val="00F45DB2"/>
    <w:rsid w:val="0A1075B9"/>
    <w:rsid w:val="21957EE2"/>
    <w:rsid w:val="33FF6B3E"/>
    <w:rsid w:val="38AA5CE9"/>
    <w:rsid w:val="3ECF15DC"/>
    <w:rsid w:val="416B1434"/>
    <w:rsid w:val="4E557C24"/>
    <w:rsid w:val="5BE576E2"/>
    <w:rsid w:val="7422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591</Words>
  <Characters>609</Characters>
  <Lines>4</Lines>
  <Paragraphs>1</Paragraphs>
  <TotalTime>46</TotalTime>
  <ScaleCrop>false</ScaleCrop>
  <LinksUpToDate>false</LinksUpToDate>
  <CharactersWithSpaces>674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2025-06-13T02:12:00Z</dcterms:created>
  <dc:creator>Administrator</dc:creator>
  <cp:lastModifiedBy>Administrator</cp:lastModifiedBy>
  <dcterms:modified xsi:type="dcterms:W3CDTF">2025-06-23T08:04:14Z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eyJoZGlkIjoiNmE3NDZlY2ZjZGQ0MzhhMDQ4MzBkMmFiN2I3ODkwNmEifQ==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0D7160E3FB554FE8A53A95F2175060C1_12</vt:lpwstr>
  </property>
</Properties>
</file>