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17D32">
      <w:pPr>
        <w:keepNext w:val="0"/>
        <w:keepLines w:val="0"/>
        <w:pageBreakBefore w:val="0"/>
        <w:widowControl w:val="0"/>
        <w:kinsoku/>
        <w:wordWrap/>
        <w:overflowPunct/>
        <w:topLinePunct w:val="0"/>
        <w:autoSpaceDE/>
        <w:autoSpaceDN/>
        <w:bidi w:val="0"/>
        <w:adjustRightInd/>
        <w:snapToGrid/>
        <w:spacing w:after="157" w:afterLines="50" w:line="480" w:lineRule="auto"/>
        <w:ind w:firstLine="0" w:firstLineChars="0"/>
        <w:jc w:val="center"/>
        <w:textAlignment w:val="auto"/>
        <w:rPr>
          <w:rFonts w:hint="default" w:ascii="Times New Roman" w:hAnsi="Times New Roman" w:eastAsia="宋体" w:cs="Times New Roman"/>
          <w:b/>
          <w:bCs/>
          <w:color w:val="000000" w:themeColor="text1"/>
          <w:sz w:val="52"/>
          <w:szCs w:val="52"/>
          <w:highlight w:val="none"/>
          <w14:textFill>
            <w14:solidFill>
              <w14:schemeClr w14:val="tx1"/>
            </w14:solidFill>
          </w14:textFill>
        </w:rPr>
      </w:pPr>
    </w:p>
    <w:p w14:paraId="33284854">
      <w:pPr>
        <w:keepNext w:val="0"/>
        <w:keepLines w:val="0"/>
        <w:pageBreakBefore w:val="0"/>
        <w:widowControl w:val="0"/>
        <w:kinsoku/>
        <w:wordWrap/>
        <w:overflowPunct/>
        <w:topLinePunct w:val="0"/>
        <w:autoSpaceDE/>
        <w:autoSpaceDN/>
        <w:bidi w:val="0"/>
        <w:adjustRightInd/>
        <w:snapToGrid/>
        <w:spacing w:after="157" w:afterLines="50" w:line="480" w:lineRule="auto"/>
        <w:ind w:firstLine="0" w:firstLineChars="0"/>
        <w:jc w:val="center"/>
        <w:textAlignment w:val="auto"/>
        <w:rPr>
          <w:rFonts w:hint="default" w:ascii="Times New Roman" w:hAnsi="Times New Roman" w:eastAsia="宋体" w:cs="Times New Roman"/>
          <w:b/>
          <w:bCs/>
          <w:color w:val="000000" w:themeColor="text1"/>
          <w:sz w:val="52"/>
          <w:szCs w:val="52"/>
          <w:highlight w:val="none"/>
          <w14:textFill>
            <w14:solidFill>
              <w14:schemeClr w14:val="tx1"/>
            </w14:solidFill>
          </w14:textFill>
        </w:rPr>
      </w:pPr>
    </w:p>
    <w:p w14:paraId="5F7F6724">
      <w:pPr>
        <w:keepNext w:val="0"/>
        <w:keepLines w:val="0"/>
        <w:pageBreakBefore w:val="0"/>
        <w:widowControl w:val="0"/>
        <w:kinsoku/>
        <w:wordWrap/>
        <w:overflowPunct/>
        <w:topLinePunct w:val="0"/>
        <w:autoSpaceDE/>
        <w:autoSpaceDN/>
        <w:bidi w:val="0"/>
        <w:adjustRightInd/>
        <w:snapToGrid/>
        <w:spacing w:after="157" w:afterLines="50" w:line="480" w:lineRule="auto"/>
        <w:ind w:firstLine="0" w:firstLineChars="0"/>
        <w:jc w:val="center"/>
        <w:textAlignment w:val="auto"/>
        <w:rPr>
          <w:rFonts w:hint="default" w:ascii="Times New Roman" w:hAnsi="Times New Roman" w:eastAsia="宋体" w:cs="Times New Roman"/>
          <w:b/>
          <w:bCs/>
          <w:color w:val="000000" w:themeColor="text1"/>
          <w:sz w:val="52"/>
          <w:szCs w:val="52"/>
          <w:highlight w:val="none"/>
          <w14:textFill>
            <w14:solidFill>
              <w14:schemeClr w14:val="tx1"/>
            </w14:solidFill>
          </w14:textFill>
        </w:rPr>
      </w:pPr>
      <w:bookmarkStart w:id="18" w:name="_GoBack"/>
      <w:r>
        <w:rPr>
          <w:rFonts w:hint="default" w:ascii="Times New Roman" w:hAnsi="Times New Roman" w:eastAsia="宋体" w:cs="Times New Roman"/>
          <w:b/>
          <w:bCs/>
          <w:color w:val="000000" w:themeColor="text1"/>
          <w:sz w:val="52"/>
          <w:szCs w:val="52"/>
          <w:highlight w:val="none"/>
          <w14:textFill>
            <w14:solidFill>
              <w14:schemeClr w14:val="tx1"/>
            </w14:solidFill>
          </w14:textFill>
        </w:rPr>
        <w:t>广东省全民国防教育基地项目一期</w:t>
      </w:r>
    </w:p>
    <w:bookmarkEnd w:id="18"/>
    <w:p w14:paraId="7034A539">
      <w:pPr>
        <w:keepNext w:val="0"/>
        <w:keepLines w:val="0"/>
        <w:pageBreakBefore w:val="0"/>
        <w:widowControl w:val="0"/>
        <w:kinsoku/>
        <w:wordWrap/>
        <w:overflowPunct/>
        <w:topLinePunct w:val="0"/>
        <w:autoSpaceDE/>
        <w:autoSpaceDN/>
        <w:bidi w:val="0"/>
        <w:adjustRightInd/>
        <w:snapToGrid/>
        <w:spacing w:after="157" w:afterLines="50" w:line="480" w:lineRule="auto"/>
        <w:ind w:firstLine="0" w:firstLineChars="0"/>
        <w:jc w:val="center"/>
        <w:textAlignment w:val="auto"/>
        <w:rPr>
          <w:rFonts w:hint="default" w:ascii="Times New Roman" w:hAnsi="Times New Roman" w:eastAsia="宋体" w:cs="Times New Roman"/>
          <w:b/>
          <w:bCs/>
          <w:color w:val="000000" w:themeColor="text1"/>
          <w:sz w:val="52"/>
          <w:szCs w:val="52"/>
          <w:highlight w:val="none"/>
          <w14:textFill>
            <w14:solidFill>
              <w14:schemeClr w14:val="tx1"/>
            </w14:solidFill>
          </w14:textFill>
        </w:rPr>
      </w:pPr>
      <w:r>
        <w:rPr>
          <w:rFonts w:hint="eastAsia" w:eastAsia="宋体" w:cs="Times New Roman"/>
          <w:b/>
          <w:bCs/>
          <w:color w:val="000000" w:themeColor="text1"/>
          <w:sz w:val="52"/>
          <w:szCs w:val="52"/>
          <w:highlight w:val="none"/>
          <w:lang w:val="en-US" w:eastAsia="zh-CN"/>
          <w14:textFill>
            <w14:solidFill>
              <w14:schemeClr w14:val="tx1"/>
            </w14:solidFill>
          </w14:textFill>
        </w:rPr>
        <w:t>C</w:t>
      </w:r>
      <w:r>
        <w:rPr>
          <w:rFonts w:hint="default" w:ascii="Times New Roman" w:hAnsi="Times New Roman" w:eastAsia="宋体" w:cs="Times New Roman"/>
          <w:b/>
          <w:bCs/>
          <w:color w:val="000000" w:themeColor="text1"/>
          <w:sz w:val="52"/>
          <w:szCs w:val="52"/>
          <w:highlight w:val="none"/>
          <w14:textFill>
            <w14:solidFill>
              <w14:schemeClr w14:val="tx1"/>
            </w14:solidFill>
          </w14:textFill>
        </w:rPr>
        <w:t>地块土壤污染状况</w:t>
      </w:r>
    </w:p>
    <w:p w14:paraId="01058270">
      <w:pPr>
        <w:keepNext w:val="0"/>
        <w:keepLines w:val="0"/>
        <w:pageBreakBefore w:val="0"/>
        <w:widowControl w:val="0"/>
        <w:kinsoku/>
        <w:wordWrap/>
        <w:overflowPunct/>
        <w:topLinePunct w:val="0"/>
        <w:autoSpaceDE/>
        <w:autoSpaceDN/>
        <w:bidi w:val="0"/>
        <w:adjustRightInd/>
        <w:snapToGrid/>
        <w:spacing w:after="157" w:afterLines="50" w:line="480" w:lineRule="auto"/>
        <w:ind w:firstLine="0" w:firstLineChars="0"/>
        <w:jc w:val="center"/>
        <w:textAlignment w:val="auto"/>
        <w:rPr>
          <w:rFonts w:hint="eastAsia" w:eastAsia="宋体" w:cs="Times New Roman"/>
          <w:b/>
          <w:bCs/>
          <w:color w:val="000000" w:themeColor="text1"/>
          <w:sz w:val="52"/>
          <w:szCs w:val="52"/>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52"/>
          <w:szCs w:val="52"/>
          <w:highlight w:val="none"/>
          <w14:textFill>
            <w14:solidFill>
              <w14:schemeClr w14:val="tx1"/>
            </w14:solidFill>
          </w14:textFill>
        </w:rPr>
        <w:t>初步调查报告</w:t>
      </w:r>
      <w:r>
        <w:rPr>
          <w:rFonts w:hint="eastAsia" w:eastAsia="宋体" w:cs="Times New Roman"/>
          <w:b/>
          <w:bCs/>
          <w:color w:val="000000" w:themeColor="text1"/>
          <w:sz w:val="52"/>
          <w:szCs w:val="52"/>
          <w:highlight w:val="none"/>
          <w:lang w:eastAsia="zh-CN"/>
          <w14:textFill>
            <w14:solidFill>
              <w14:schemeClr w14:val="tx1"/>
            </w14:solidFill>
          </w14:textFill>
        </w:rPr>
        <w:t>（简本）</w:t>
      </w:r>
    </w:p>
    <w:p w14:paraId="7BB3F037">
      <w:pPr>
        <w:pStyle w:val="4"/>
        <w:rPr>
          <w:rFonts w:hint="eastAsia" w:eastAsia="宋体" w:cs="Times New Roman"/>
          <w:b/>
          <w:bCs/>
          <w:color w:val="000000" w:themeColor="text1"/>
          <w:sz w:val="32"/>
          <w:szCs w:val="32"/>
          <w:highlight w:val="none"/>
          <w:lang w:eastAsia="zh-CN"/>
          <w14:textFill>
            <w14:solidFill>
              <w14:schemeClr w14:val="tx1"/>
            </w14:solidFill>
          </w14:textFill>
        </w:rPr>
      </w:pPr>
    </w:p>
    <w:p w14:paraId="24478374">
      <w:pPr>
        <w:pStyle w:val="5"/>
        <w:rPr>
          <w:rFonts w:hint="eastAsia" w:eastAsia="宋体" w:cs="Times New Roman"/>
          <w:b/>
          <w:bCs/>
          <w:color w:val="000000" w:themeColor="text1"/>
          <w:sz w:val="32"/>
          <w:szCs w:val="32"/>
          <w:highlight w:val="none"/>
          <w:lang w:eastAsia="zh-CN"/>
          <w14:textFill>
            <w14:solidFill>
              <w14:schemeClr w14:val="tx1"/>
            </w14:solidFill>
          </w14:textFill>
        </w:rPr>
      </w:pPr>
    </w:p>
    <w:p w14:paraId="5EBDF573">
      <w:pPr>
        <w:rPr>
          <w:rFonts w:hint="eastAsia" w:eastAsia="宋体" w:cs="Times New Roman"/>
          <w:b/>
          <w:bCs/>
          <w:color w:val="000000" w:themeColor="text1"/>
          <w:sz w:val="32"/>
          <w:szCs w:val="32"/>
          <w:highlight w:val="none"/>
          <w:lang w:eastAsia="zh-CN"/>
          <w14:textFill>
            <w14:solidFill>
              <w14:schemeClr w14:val="tx1"/>
            </w14:solidFill>
          </w14:textFill>
        </w:rPr>
      </w:pPr>
    </w:p>
    <w:p w14:paraId="32765A5D">
      <w:pPr>
        <w:pStyle w:val="4"/>
        <w:rPr>
          <w:rFonts w:hint="eastAsia" w:eastAsia="宋体" w:cs="Times New Roman"/>
          <w:b/>
          <w:bCs/>
          <w:color w:val="000000" w:themeColor="text1"/>
          <w:sz w:val="32"/>
          <w:szCs w:val="32"/>
          <w:highlight w:val="none"/>
          <w:lang w:eastAsia="zh-CN"/>
          <w14:textFill>
            <w14:solidFill>
              <w14:schemeClr w14:val="tx1"/>
            </w14:solidFill>
          </w14:textFill>
        </w:rPr>
      </w:pPr>
    </w:p>
    <w:p w14:paraId="032E12D0">
      <w:pPr>
        <w:pStyle w:val="5"/>
        <w:rPr>
          <w:rFonts w:hint="eastAsia" w:eastAsia="宋体" w:cs="Times New Roman"/>
          <w:b/>
          <w:bCs/>
          <w:color w:val="000000" w:themeColor="text1"/>
          <w:sz w:val="32"/>
          <w:szCs w:val="32"/>
          <w:highlight w:val="none"/>
          <w:lang w:eastAsia="zh-CN"/>
          <w14:textFill>
            <w14:solidFill>
              <w14:schemeClr w14:val="tx1"/>
            </w14:solidFill>
          </w14:textFill>
        </w:rPr>
      </w:pPr>
    </w:p>
    <w:p w14:paraId="1E48D5DD">
      <w:pPr>
        <w:rPr>
          <w:rFonts w:hint="eastAsia" w:eastAsia="宋体" w:cs="Times New Roman"/>
          <w:b/>
          <w:bCs/>
          <w:color w:val="000000" w:themeColor="text1"/>
          <w:sz w:val="32"/>
          <w:szCs w:val="32"/>
          <w:highlight w:val="none"/>
          <w:lang w:eastAsia="zh-CN"/>
          <w14:textFill>
            <w14:solidFill>
              <w14:schemeClr w14:val="tx1"/>
            </w14:solidFill>
          </w14:textFill>
        </w:rPr>
      </w:pPr>
    </w:p>
    <w:p w14:paraId="67FA4B06">
      <w:pPr>
        <w:pStyle w:val="4"/>
        <w:rPr>
          <w:rFonts w:hint="eastAsia" w:eastAsia="宋体" w:cs="Times New Roman"/>
          <w:b/>
          <w:bCs/>
          <w:color w:val="000000" w:themeColor="text1"/>
          <w:sz w:val="32"/>
          <w:szCs w:val="32"/>
          <w:highlight w:val="none"/>
          <w:lang w:eastAsia="zh-CN"/>
          <w14:textFill>
            <w14:solidFill>
              <w14:schemeClr w14:val="tx1"/>
            </w14:solidFill>
          </w14:textFill>
        </w:rPr>
      </w:pPr>
    </w:p>
    <w:p w14:paraId="2EC682C2">
      <w:pPr>
        <w:ind w:left="0" w:leftChars="0" w:firstLine="0" w:firstLineChars="0"/>
        <w:rPr>
          <w:rFonts w:hint="eastAsia" w:eastAsia="宋体" w:cs="Times New Roman"/>
          <w:b/>
          <w:bCs/>
          <w:color w:val="000000" w:themeColor="text1"/>
          <w:sz w:val="32"/>
          <w:szCs w:val="32"/>
          <w:highlight w:val="none"/>
          <w:lang w:eastAsia="zh-CN"/>
          <w14:textFill>
            <w14:solidFill>
              <w14:schemeClr w14:val="tx1"/>
            </w14:solidFill>
          </w14:textFill>
        </w:rPr>
      </w:pPr>
    </w:p>
    <w:p w14:paraId="25502E7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000000" w:themeColor="text1"/>
          <w:sz w:val="30"/>
          <w:szCs w:val="30"/>
          <w:highlight w:val="none"/>
          <w14:textFill>
            <w14:solidFill>
              <w14:schemeClr w14:val="tx1"/>
            </w14:solidFill>
          </w14:textFill>
        </w:rPr>
      </w:pPr>
      <w:r>
        <w:rPr>
          <w:rFonts w:hint="default" w:ascii="Times New Roman" w:hAnsi="Times New Roman" w:eastAsia="宋体" w:cs="Times New Roman"/>
          <w:b/>
          <w:bCs/>
          <w:color w:val="000000" w:themeColor="text1"/>
          <w:sz w:val="30"/>
          <w:szCs w:val="30"/>
          <w:highlight w:val="none"/>
          <w14:textFill>
            <w14:solidFill>
              <w14:schemeClr w14:val="tx1"/>
            </w14:solidFill>
          </w14:textFill>
        </w:rPr>
        <w:t>土地使用权人：兴宁市土地储备和征地服务中心</w:t>
      </w:r>
    </w:p>
    <w:p w14:paraId="2E9E37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000000" w:themeColor="text1"/>
          <w:sz w:val="30"/>
          <w:szCs w:val="30"/>
          <w:highlight w:val="none"/>
          <w14:textFill>
            <w14:solidFill>
              <w14:schemeClr w14:val="tx1"/>
            </w14:solidFill>
          </w14:textFill>
        </w:rPr>
      </w:pPr>
      <w:r>
        <w:rPr>
          <w:rFonts w:hint="default" w:ascii="Times New Roman" w:hAnsi="Times New Roman" w:eastAsia="宋体" w:cs="Times New Roman"/>
          <w:b/>
          <w:bCs/>
          <w:color w:val="000000" w:themeColor="text1"/>
          <w:sz w:val="30"/>
          <w:szCs w:val="30"/>
          <w:highlight w:val="none"/>
          <w14:textFill>
            <w14:solidFill>
              <w14:schemeClr w14:val="tx1"/>
            </w14:solidFill>
          </w14:textFill>
        </w:rPr>
        <w:t>土壤污染状况调查单位：广东晨风环保科技有限公司</w:t>
      </w:r>
    </w:p>
    <w:p w14:paraId="3333D62C">
      <w:pPr>
        <w:pStyle w:val="4"/>
        <w:jc w:val="center"/>
        <w:rPr>
          <w:rFonts w:hint="eastAsia" w:eastAsia="宋体"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30"/>
          <w:szCs w:val="30"/>
          <w:highlight w:val="none"/>
          <w14:textFill>
            <w14:solidFill>
              <w14:schemeClr w14:val="tx1"/>
            </w14:solidFill>
          </w14:textFill>
        </w:rPr>
        <w:t>编制日期</w:t>
      </w:r>
      <w:r>
        <w:rPr>
          <w:rFonts w:hint="eastAsia" w:eastAsia="宋体" w:cs="Times New Roman"/>
          <w:b/>
          <w:bCs/>
          <w:color w:val="000000" w:themeColor="text1"/>
          <w:sz w:val="30"/>
          <w:szCs w:val="30"/>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30"/>
          <w:szCs w:val="30"/>
          <w:highlight w:val="none"/>
          <w14:textFill>
            <w14:solidFill>
              <w14:schemeClr w14:val="tx1"/>
            </w14:solidFill>
          </w14:textFill>
        </w:rPr>
        <w:t>202</w:t>
      </w:r>
      <w:r>
        <w:rPr>
          <w:rFonts w:hint="eastAsia" w:cs="Times New Roman"/>
          <w:b/>
          <w:bCs/>
          <w:color w:val="000000" w:themeColor="text1"/>
          <w:sz w:val="30"/>
          <w:szCs w:val="30"/>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30"/>
          <w:szCs w:val="30"/>
          <w:highlight w:val="none"/>
          <w14:textFill>
            <w14:solidFill>
              <w14:schemeClr w14:val="tx1"/>
            </w14:solidFill>
          </w14:textFill>
        </w:rPr>
        <w:t>年9月</w:t>
      </w:r>
    </w:p>
    <w:p w14:paraId="319BBCB4">
      <w:pPr>
        <w:pStyle w:val="5"/>
        <w:rPr>
          <w:rFonts w:hint="eastAsia"/>
          <w:lang w:eastAsia="zh-CN"/>
        </w:rPr>
        <w:sectPr>
          <w:pgSz w:w="11906" w:h="16838"/>
          <w:pgMar w:top="1440" w:right="1800" w:bottom="1440" w:left="1800" w:header="851" w:footer="992" w:gutter="0"/>
          <w:cols w:space="425" w:num="1"/>
          <w:docGrid w:type="lines" w:linePitch="312" w:charSpace="0"/>
        </w:sectPr>
      </w:pPr>
    </w:p>
    <w:p w14:paraId="57CEC0A2">
      <w:pPr>
        <w:pStyle w:val="4"/>
        <w:keepNext w:val="0"/>
        <w:keepLines w:val="0"/>
        <w:pageBreakBefore w:val="0"/>
        <w:widowControl w:val="0"/>
        <w:kinsoku/>
        <w:wordWrap/>
        <w:overflowPunct/>
        <w:topLinePunct w:val="0"/>
        <w:autoSpaceDE/>
        <w:autoSpaceDN/>
        <w:bidi w:val="0"/>
        <w:adjustRightInd/>
        <w:snapToGrid/>
        <w:spacing w:before="130" w:after="313" w:afterLines="100"/>
        <w:ind w:right="17" w:firstLineChars="0"/>
        <w:jc w:val="center"/>
        <w:textAlignment w:val="auto"/>
        <w:rPr>
          <w:rFonts w:hint="eastAsia"/>
          <w:b/>
          <w:bCs/>
          <w:sz w:val="32"/>
          <w:szCs w:val="32"/>
          <w:lang w:eastAsia="zh-CN"/>
        </w:rPr>
      </w:pPr>
      <w:r>
        <w:rPr>
          <w:rFonts w:hint="eastAsia"/>
          <w:b/>
          <w:bCs/>
          <w:sz w:val="32"/>
          <w:szCs w:val="32"/>
          <w:lang w:eastAsia="zh-CN"/>
        </w:rPr>
        <w:t>公示说明</w:t>
      </w:r>
    </w:p>
    <w:p w14:paraId="42B74DB5">
      <w:pPr>
        <w:pStyle w:val="4"/>
        <w:rPr>
          <w:rFonts w:hint="eastAsia"/>
          <w:lang w:eastAsia="zh-CN"/>
        </w:rPr>
      </w:pPr>
      <w:r>
        <w:rPr>
          <w:rFonts w:hint="eastAsia"/>
          <w:lang w:eastAsia="zh-CN"/>
        </w:rPr>
        <w:t>本报告为《广东省全民国防教育基地项目一期</w:t>
      </w:r>
      <w:r>
        <w:rPr>
          <w:rFonts w:hint="eastAsia"/>
          <w:lang w:val="en-US" w:eastAsia="zh-CN"/>
        </w:rPr>
        <w:t>C</w:t>
      </w:r>
      <w:r>
        <w:rPr>
          <w:rFonts w:hint="eastAsia"/>
          <w:lang w:eastAsia="zh-CN"/>
        </w:rPr>
        <w:t>地块土壤污染状况初步调查报告》公示简本。简本删除了报告中涉及商业机密的部分，仅将调查报告主要内容进行公示；如需查阅详细内容，可与委托单位或土壤污染状况调查单位联系，索取查阅纸质报告。</w:t>
      </w:r>
    </w:p>
    <w:p w14:paraId="5A1B8029">
      <w:pPr>
        <w:pStyle w:val="5"/>
        <w:rPr>
          <w:rFonts w:hint="eastAsia"/>
          <w:lang w:eastAsia="zh-CN"/>
        </w:rPr>
      </w:pPr>
    </w:p>
    <w:p w14:paraId="5D6C7826">
      <w:pPr>
        <w:rPr>
          <w:rFonts w:hint="eastAsia"/>
          <w:lang w:eastAsia="zh-CN"/>
        </w:rPr>
      </w:pPr>
    </w:p>
    <w:p w14:paraId="1C402726">
      <w:pPr>
        <w:pStyle w:val="4"/>
        <w:rPr>
          <w:rFonts w:hint="eastAsia"/>
          <w:lang w:eastAsia="zh-CN"/>
        </w:rPr>
      </w:pPr>
    </w:p>
    <w:p w14:paraId="0A06614F">
      <w:pPr>
        <w:pStyle w:val="5"/>
        <w:rPr>
          <w:rFonts w:hint="eastAsia"/>
          <w:lang w:eastAsia="zh-CN"/>
        </w:rPr>
      </w:pPr>
    </w:p>
    <w:p w14:paraId="284C1740">
      <w:pPr>
        <w:rPr>
          <w:rFonts w:hint="eastAsia"/>
          <w:lang w:eastAsia="zh-CN"/>
        </w:rPr>
        <w:sectPr>
          <w:pgSz w:w="11906" w:h="16838"/>
          <w:pgMar w:top="1440" w:right="1800" w:bottom="1440" w:left="1800" w:header="851" w:footer="992" w:gutter="0"/>
          <w:cols w:space="425" w:num="1"/>
          <w:docGrid w:type="lines" w:linePitch="312" w:charSpace="0"/>
        </w:sectPr>
      </w:pPr>
    </w:p>
    <w:p w14:paraId="26E722F8">
      <w:pPr>
        <w:pStyle w:val="7"/>
        <w:bidi w:val="0"/>
        <w:ind w:left="0" w:leftChars="0" w:firstLine="0" w:firstLineChars="0"/>
        <w:rPr>
          <w:rFonts w:hint="eastAsia"/>
          <w:lang w:eastAsia="zh-CN"/>
        </w:rPr>
      </w:pPr>
      <w:r>
        <w:rPr>
          <w:rFonts w:hint="eastAsia"/>
          <w:lang w:eastAsia="zh-CN"/>
        </w:rPr>
        <w:t>前言</w:t>
      </w:r>
    </w:p>
    <w:p w14:paraId="6723CBA8">
      <w:pPr>
        <w:bidi w:val="0"/>
        <w:rPr>
          <w:rFonts w:hint="default"/>
          <w:color w:val="000000" w:themeColor="text1"/>
          <w:highlight w:val="yellow"/>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广东省全民国防教育基地项目一期C地块位于广东省梅州市兴宁市黄槐镇四望嶂矿区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地块中心地理坐标：</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E115°46′57.658″，N24°28′52.058″），</w:t>
      </w:r>
      <w:r>
        <w:rPr>
          <w:rFonts w:hint="default" w:ascii="Times New Roman" w:hAnsi="Times New Roman" w:eastAsia="宋体" w:cs="Times New Roman"/>
          <w:color w:val="000000" w:themeColor="text1"/>
          <w:sz w:val="24"/>
          <w:szCs w:val="24"/>
          <w:highlight w:val="none"/>
          <w14:textFill>
            <w14:solidFill>
              <w14:schemeClr w14:val="tx1"/>
            </w14:solidFill>
          </w14:textFill>
        </w:rPr>
        <w:t>占地面积</w:t>
      </w:r>
      <w:bookmarkStart w:id="0" w:name="OLE_LINK9"/>
      <w:bookmarkStart w:id="1" w:name="OLE_LINK3"/>
      <w:r>
        <w:rPr>
          <w:rFonts w:hint="default" w:ascii="Times New Roman" w:hAnsi="Times New Roman" w:eastAsia="宋体" w:cs="Times New Roman"/>
          <w:color w:val="000000" w:themeColor="text1"/>
          <w:sz w:val="24"/>
          <w:szCs w:val="24"/>
          <w:highlight w:val="none"/>
          <w14:textFill>
            <w14:solidFill>
              <w14:schemeClr w14:val="tx1"/>
            </w14:solidFill>
          </w14:textFill>
        </w:rPr>
        <w:t>810065.9423</w:t>
      </w:r>
      <w:bookmarkEnd w:id="0"/>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2</w:t>
      </w:r>
      <w:bookmarkEnd w:id="1"/>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C</w:t>
      </w:r>
      <w:r>
        <w:rPr>
          <w:rFonts w:hint="default" w:ascii="Times New Roman" w:hAnsi="Times New Roman" w:eastAsia="宋体" w:cs="Times New Roman"/>
          <w:color w:val="000000" w:themeColor="text1"/>
          <w:sz w:val="24"/>
          <w:szCs w:val="24"/>
          <w:highlight w:val="none"/>
          <w14:textFill>
            <w14:solidFill>
              <w14:schemeClr w14:val="tx1"/>
            </w14:solidFill>
          </w14:textFill>
        </w:rPr>
        <w:t>地块内大面积土地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约</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436348.6345</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曾作为四望嶂</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矿务局</w:t>
      </w:r>
      <w:r>
        <w:rPr>
          <w:rFonts w:hint="default" w:ascii="Times New Roman" w:hAnsi="Times New Roman" w:eastAsia="宋体" w:cs="Times New Roman"/>
          <w:color w:val="000000" w:themeColor="text1"/>
          <w:sz w:val="24"/>
          <w:szCs w:val="24"/>
          <w:highlight w:val="none"/>
          <w14:textFill>
            <w14:solidFill>
              <w14:schemeClr w14:val="tx1"/>
            </w14:solidFill>
          </w14:textFill>
        </w:rPr>
        <w:t>一矿用地范围</w:t>
      </w:r>
      <w:r>
        <w:rPr>
          <w:rFonts w:hint="eastAsia" w:eastAsia="宋体" w:cs="Times New Roman"/>
          <w:color w:val="000000" w:themeColor="text1"/>
          <w:sz w:val="24"/>
          <w:szCs w:val="24"/>
          <w:highlight w:val="none"/>
          <w:lang w:eastAsia="zh-CN"/>
          <w14:textFill>
            <w14:solidFill>
              <w14:schemeClr w14:val="tx1"/>
            </w14:solidFill>
          </w14:textFill>
        </w:rPr>
        <w:t>（含兴宁市四矿粮食管理所一矿粮店用地）</w:t>
      </w:r>
      <w:r>
        <w:rPr>
          <w:rFonts w:hint="default" w:ascii="Times New Roman" w:hAnsi="Times New Roman" w:eastAsia="宋体" w:cs="Times New Roman"/>
          <w:color w:val="000000" w:themeColor="text1"/>
          <w:sz w:val="24"/>
          <w:szCs w:val="24"/>
          <w:highlight w:val="none"/>
          <w14:textFill>
            <w14:solidFill>
              <w14:schemeClr w14:val="tx1"/>
            </w14:solidFill>
          </w14:textFill>
        </w:rPr>
        <w:t>，用地性质均为独立工矿用地。除此之外，还涉及</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约</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373717.3078</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集体农用地</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eastAsia="zh-CN"/>
          <w14:textFill>
            <w14:solidFill>
              <w14:schemeClr w14:val="tx1"/>
            </w14:solidFill>
          </w14:textFill>
        </w:rPr>
        <w:t>根据《兴宁市人民政府关于同意广东省全民国防教育基地项目用地规划条件的批复》（兴市府函</w:t>
      </w:r>
      <w:r>
        <w:rPr>
          <w:rFonts w:hint="eastAsia" w:cs="Times New Roman"/>
          <w:color w:val="000000" w:themeColor="text1"/>
          <w:sz w:val="24"/>
          <w:szCs w:val="24"/>
          <w:highlight w:val="none"/>
          <w:lang w:val="en-US" w:eastAsia="zh-CN"/>
          <w14:textFill>
            <w14:solidFill>
              <w14:schemeClr w14:val="tx1"/>
            </w14:solidFill>
          </w14:textFill>
        </w:rPr>
        <w:t>[2024]62号</w:t>
      </w:r>
      <w:r>
        <w:rPr>
          <w:rFonts w:hint="eastAsia"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调查地块规划为公共管理与公共服务用地、交通运输用地、绿地与开敞空间用地。</w:t>
      </w:r>
    </w:p>
    <w:p w14:paraId="51283105">
      <w:pPr>
        <w:pStyle w:val="4"/>
        <w:rPr>
          <w:rFonts w:hint="eastAsia"/>
        </w:rPr>
      </w:pPr>
      <w:r>
        <w:rPr>
          <w:rFonts w:hint="eastAsia" w:cs="Times New Roman"/>
          <w:color w:val="000000" w:themeColor="text1"/>
          <w:sz w:val="24"/>
          <w:szCs w:val="24"/>
          <w:highlight w:val="none"/>
          <w:lang w:val="en-US" w:eastAsia="zh-CN"/>
          <w14:textFill>
            <w14:solidFill>
              <w14:schemeClr w14:val="tx1"/>
            </w14:solidFill>
          </w14:textFill>
        </w:rPr>
        <w:t>根据《中华人民共和国土壤污染防治法》（主席令第8号，2019年1月1日起施行）、《关于贯彻落实土壤污染防治法推动解决突出土壤污染问题的实施意见》（环办土壤〔2019〕47号）和《广东省实施〈中华人民共和国土壤污染防治法〉办法》等相关要求，用途变更为住宅、公共管理与公共服务用地的，变更前应当按照规定进行土壤污染状况调查。</w:t>
      </w:r>
    </w:p>
    <w:p w14:paraId="7DBD03EC">
      <w:pPr>
        <w:bidi w:val="0"/>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受地块土地使用权人</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兴宁市土地储备和征地服务中心</w:t>
      </w:r>
      <w:r>
        <w:rPr>
          <w:rFonts w:hint="eastAsia" w:cs="Times New Roman"/>
          <w:color w:val="000000" w:themeColor="text1"/>
          <w:sz w:val="24"/>
          <w:szCs w:val="24"/>
          <w:highlight w:val="none"/>
          <w:lang w:val="en-US" w:eastAsia="zh-CN"/>
          <w14:textFill>
            <w14:solidFill>
              <w14:schemeClr w14:val="tx1"/>
            </w14:solidFill>
          </w14:textFill>
        </w:rPr>
        <w:t>委托，广东晨风环保科技有限公司（以下称：调查单位）开展本地块的土壤污染状况调查工作，为本地块下一步的开发利用提供科学的调查依据。调查单位接受委托后，组织相关技术人员成立了项目组，按照《建设用地土壤污染状况调查技术导则》（HJ 25.1-2019）、《广东省建设用地土壤污染状况调查、风险评估及效果评估报告技术审查要点（修订版）》、《建设用地土壤污染防治 第1部分：污染状况调查技术规范》（DB4401T 102.1—2020）等国家和地方相关技术规范要求，对调查地块进行资料收集与分析、现场踏勘和人员访谈、初步采样调查等形式开展土壤污染状况调查工作，在本次土壤污染状况调查结果的基础上，编制完成了《广东省全民国防教育基地项目一期C地块土壤污染状况初步调查报告》。</w:t>
      </w:r>
    </w:p>
    <w:p w14:paraId="50FB07E2">
      <w:pPr>
        <w:pStyle w:val="5"/>
        <w:rPr>
          <w:rFonts w:hint="eastAsia" w:ascii="宋体" w:hAnsi="宋体" w:eastAsia="宋体" w:cs="宋体"/>
        </w:rPr>
        <w:sectPr>
          <w:pgSz w:w="11906" w:h="16838"/>
          <w:pgMar w:top="1440" w:right="1800" w:bottom="1440" w:left="1800" w:header="851" w:footer="992" w:gutter="0"/>
          <w:cols w:space="425" w:num="1"/>
          <w:docGrid w:type="lines" w:linePitch="312" w:charSpace="0"/>
        </w:sectPr>
      </w:pPr>
    </w:p>
    <w:p w14:paraId="223BD4D5">
      <w:pPr>
        <w:pStyle w:val="7"/>
        <w:numPr>
          <w:ilvl w:val="0"/>
          <w:numId w:val="1"/>
        </w:numPr>
        <w:bidi w:val="0"/>
        <w:rPr>
          <w:rFonts w:hint="eastAsia"/>
          <w:lang w:eastAsia="zh-CN"/>
        </w:rPr>
      </w:pPr>
      <w:r>
        <w:rPr>
          <w:rFonts w:hint="eastAsia"/>
          <w:lang w:eastAsia="zh-CN"/>
        </w:rPr>
        <w:t>地块概况</w:t>
      </w:r>
    </w:p>
    <w:p w14:paraId="0F47BBB8">
      <w:pPr>
        <w:pStyle w:val="2"/>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地块名称：</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广东省全民国防教育基地项目一期C地块</w:t>
      </w:r>
    </w:p>
    <w:p w14:paraId="0839CD9C">
      <w:pPr>
        <w:pStyle w:val="3"/>
        <w:keepNext w:val="0"/>
        <w:keepLines w:val="0"/>
        <w:pageBreakBefore w:val="0"/>
        <w:widowControl w:val="0"/>
        <w:kinsoku/>
        <w:wordWrap/>
        <w:overflowPunct/>
        <w:topLinePunct w:val="0"/>
        <w:bidi w:val="0"/>
        <w:adjustRightInd/>
        <w:snapToGrid/>
        <w:spacing w:before="0" w:line="360" w:lineRule="auto"/>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占地面积：</w:t>
      </w:r>
      <w:r>
        <w:rPr>
          <w:rFonts w:hint="default" w:ascii="Times New Roman" w:hAnsi="Times New Roman" w:cs="Times New Roman"/>
          <w:color w:val="000000" w:themeColor="text1"/>
          <w:sz w:val="24"/>
          <w:szCs w:val="24"/>
          <w:highlight w:val="none"/>
          <w14:textFill>
            <w14:solidFill>
              <w14:schemeClr w14:val="tx1"/>
            </w14:solidFill>
          </w14:textFill>
        </w:rPr>
        <w:t>810065.9423m</w:t>
      </w:r>
      <w:r>
        <w:rPr>
          <w:rFonts w:hint="default" w:ascii="Times New Roman" w:hAnsi="Times New Roman" w:cs="Times New Roman"/>
          <w:color w:val="000000" w:themeColor="text1"/>
          <w:sz w:val="24"/>
          <w:szCs w:val="24"/>
          <w:highlight w:val="none"/>
          <w:vertAlign w:val="superscript"/>
          <w14:textFill>
            <w14:solidFill>
              <w14:schemeClr w14:val="tx1"/>
            </w14:solidFill>
          </w14:textFill>
        </w:rPr>
        <w:t>2</w:t>
      </w:r>
    </w:p>
    <w:p w14:paraId="17F5DEC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地理位置：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广东省</w:t>
      </w:r>
      <w:r>
        <w:rPr>
          <w:rFonts w:ascii="Times New Roman" w:hAnsi="Times New Roman" w:cs="Times New Roman"/>
          <w:color w:val="000000" w:themeColor="text1"/>
          <w:sz w:val="24"/>
          <w:szCs w:val="24"/>
          <w:highlight w:val="none"/>
          <w14:textFill>
            <w14:solidFill>
              <w14:schemeClr w14:val="tx1"/>
            </w14:solidFill>
          </w14:textFill>
        </w:rPr>
        <w:t>梅州市兴宁市黄槐镇四望嶂矿区，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地理中心经</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纬度：北纬24°28′52.058″，东经</w:t>
      </w:r>
      <w:bookmarkStart w:id="2" w:name="OLE_LINK7"/>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115</w:t>
      </w:r>
      <w:bookmarkEnd w:id="2"/>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°46′57.658″。</w:t>
      </w:r>
    </w:p>
    <w:p w14:paraId="0A854C2B">
      <w:pPr>
        <w:pStyle w:val="3"/>
        <w:keepNext w:val="0"/>
        <w:keepLines w:val="0"/>
        <w:pageBreakBefore w:val="0"/>
        <w:widowControl w:val="0"/>
        <w:kinsoku/>
        <w:wordWrap/>
        <w:overflowPunct/>
        <w:topLinePunct w:val="0"/>
        <w:bidi w:val="0"/>
        <w:adjustRightInd/>
        <w:snapToGrid/>
        <w:spacing w:before="0" w:line="360" w:lineRule="auto"/>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土地使用权人：</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兴宁市土地储备和征地服务中心</w:t>
      </w:r>
    </w:p>
    <w:p w14:paraId="3D3D5348">
      <w:pPr>
        <w:pStyle w:val="3"/>
        <w:keepNext w:val="0"/>
        <w:keepLines w:val="0"/>
        <w:pageBreakBefore w:val="0"/>
        <w:widowControl w:val="0"/>
        <w:kinsoku/>
        <w:wordWrap/>
        <w:overflowPunct/>
        <w:topLinePunct w:val="0"/>
        <w:bidi w:val="0"/>
        <w:adjustRightInd/>
        <w:snapToGrid/>
        <w:spacing w:before="0" w:line="360" w:lineRule="auto"/>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eastAsia="zh-CN"/>
          <w14:textFill>
            <w14:solidFill>
              <w14:schemeClr w14:val="tx1"/>
            </w14:solidFill>
          </w14:textFill>
        </w:rPr>
        <w:t>地块土地利用现状</w:t>
      </w:r>
      <w:r>
        <w:rPr>
          <w:rFonts w:hint="eastAsia"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采矿用地、村庄、风景名胜及特殊用地、公路用地、果园、旱地、建制镇、农村道路、其他草地、其他林地、乔木林地、设施农用地、竹林地。。</w:t>
      </w:r>
    </w:p>
    <w:p w14:paraId="28886A15">
      <w:pPr>
        <w:bidi w:val="0"/>
        <w:rPr>
          <w:rFonts w:hint="eastAsia"/>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未来</w:t>
      </w:r>
      <w:r>
        <w:rPr>
          <w:rFonts w:hint="default"/>
          <w:b/>
          <w:bCs/>
          <w:color w:val="000000" w:themeColor="text1"/>
          <w:highlight w:val="none"/>
          <w:lang w:eastAsia="zh-CN"/>
          <w14:textFill>
            <w14:solidFill>
              <w14:schemeClr w14:val="tx1"/>
            </w14:solidFill>
          </w14:textFill>
        </w:rPr>
        <w:t>规划：</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公共管理与公共服务用地——文化用地、体育用地，交通运输用地——公路用地，绿地与开敞空间用地——防护绿地。</w:t>
      </w:r>
    </w:p>
    <w:p w14:paraId="42C777B2">
      <w:pPr>
        <w:pStyle w:val="4"/>
        <w:rPr>
          <w:rFonts w:hint="eastAsia"/>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土壤污染状况初步调查单位：</w:t>
      </w:r>
      <w:r>
        <w:rPr>
          <w:rFonts w:hint="eastAsia"/>
          <w:color w:val="000000" w:themeColor="text1"/>
          <w:highlight w:val="none"/>
          <w:lang w:eastAsia="zh-CN"/>
          <w14:textFill>
            <w14:solidFill>
              <w14:schemeClr w14:val="tx1"/>
            </w14:solidFill>
          </w14:textFill>
        </w:rPr>
        <w:t>广东晨风环保科技有限公司。</w:t>
      </w:r>
    </w:p>
    <w:p w14:paraId="384AB812">
      <w:pPr>
        <w:pStyle w:val="4"/>
        <w:rPr>
          <w:rFonts w:hint="eastAsia"/>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检测单位：</w:t>
      </w:r>
      <w:r>
        <w:rPr>
          <w:rFonts w:hint="eastAsia"/>
          <w:color w:val="000000" w:themeColor="text1"/>
          <w:highlight w:val="none"/>
          <w:lang w:eastAsia="zh-CN"/>
          <w14:textFill>
            <w14:solidFill>
              <w14:schemeClr w14:val="tx1"/>
            </w14:solidFill>
          </w14:textFill>
        </w:rPr>
        <w:t>广东朴华检测技术有限公司、广东天鉴检测技术服务股份有限公司</w:t>
      </w:r>
    </w:p>
    <w:p w14:paraId="1D395AE7">
      <w:pPr>
        <w:pStyle w:val="4"/>
        <w:rPr>
          <w:rFonts w:hint="eastAsia"/>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钻探单位：</w:t>
      </w:r>
      <w:r>
        <w:rPr>
          <w:rFonts w:hint="eastAsia"/>
          <w:color w:val="000000" w:themeColor="text1"/>
          <w:highlight w:val="none"/>
          <w:lang w:eastAsia="zh-CN"/>
          <w14:textFill>
            <w14:solidFill>
              <w14:schemeClr w14:val="tx1"/>
            </w14:solidFill>
          </w14:textFill>
        </w:rPr>
        <w:t>广东绿棕环保工程有限公司</w:t>
      </w:r>
    </w:p>
    <w:p w14:paraId="47B3F666">
      <w:pPr>
        <w:pStyle w:val="4"/>
        <w:rPr>
          <w:rFonts w:hint="eastAsia"/>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调查缘由：</w:t>
      </w:r>
      <w:r>
        <w:rPr>
          <w:rFonts w:hint="eastAsia"/>
          <w:color w:val="000000" w:themeColor="text1"/>
          <w:highlight w:val="none"/>
          <w:lang w:eastAsia="zh-CN"/>
          <w14:textFill>
            <w14:solidFill>
              <w14:schemeClr w14:val="tx1"/>
            </w14:solidFill>
          </w14:textFill>
        </w:rPr>
        <w:t>用途变更为住宅、公共管理与公共服务用地的，变更前应当按照规定进行土壤污染状况调查的地块。</w:t>
      </w:r>
    </w:p>
    <w:p w14:paraId="246BF3AB">
      <w:pPr>
        <w:pStyle w:val="7"/>
        <w:bidi w:val="0"/>
        <w:rPr>
          <w:rFonts w:hint="eastAsia"/>
          <w:lang w:val="en-US" w:eastAsia="zh-CN"/>
        </w:rPr>
      </w:pPr>
      <w:r>
        <w:rPr>
          <w:rFonts w:hint="eastAsia"/>
          <w:lang w:eastAsia="zh-CN"/>
        </w:rPr>
        <w:t>二、</w:t>
      </w:r>
      <w:r>
        <w:rPr>
          <w:rFonts w:hint="eastAsia"/>
          <w:lang w:val="en-US" w:eastAsia="zh-CN"/>
        </w:rPr>
        <w:t>第一阶段调查</w:t>
      </w:r>
    </w:p>
    <w:p w14:paraId="3A881B33">
      <w:pPr>
        <w:pStyle w:val="5"/>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第一阶段调查工作</w:t>
      </w:r>
      <w:r>
        <w:rPr>
          <w:rFonts w:hint="eastAsia" w:ascii="Times New Roman" w:hAnsi="Times New Roman" w:eastAsia="宋体" w:cs="Times New Roman"/>
          <w:b w:val="0"/>
          <w:bCs w:val="0"/>
          <w:lang w:val="en-US" w:eastAsia="zh-CN"/>
        </w:rPr>
        <w:t>开展</w:t>
      </w:r>
      <w:r>
        <w:rPr>
          <w:rFonts w:hint="default" w:ascii="Times New Roman" w:hAnsi="Times New Roman" w:eastAsia="宋体" w:cs="Times New Roman"/>
          <w:b w:val="0"/>
          <w:bCs w:val="0"/>
          <w:lang w:val="en-US" w:eastAsia="zh-CN"/>
        </w:rPr>
        <w:t>时间为2024年</w:t>
      </w:r>
      <w:r>
        <w:rPr>
          <w:rFonts w:hint="eastAsia" w:ascii="Times New Roman" w:hAnsi="Times New Roman" w:eastAsia="宋体" w:cs="Times New Roman"/>
          <w:b w:val="0"/>
          <w:bCs w:val="0"/>
          <w:lang w:val="en-US" w:eastAsia="zh-CN"/>
        </w:rPr>
        <w:t>10</w:t>
      </w:r>
      <w:r>
        <w:rPr>
          <w:rFonts w:hint="default" w:ascii="Times New Roman" w:hAnsi="Times New Roman" w:eastAsia="宋体" w:cs="Times New Roman"/>
          <w:b w:val="0"/>
          <w:bCs w:val="0"/>
          <w:lang w:val="en-US" w:eastAsia="zh-CN"/>
        </w:rPr>
        <w:t>月~</w:t>
      </w:r>
      <w:r>
        <w:rPr>
          <w:rFonts w:hint="eastAsia" w:ascii="Times New Roman" w:hAnsi="Times New Roman" w:eastAsia="宋体" w:cs="Times New Roman"/>
          <w:b w:val="0"/>
          <w:bCs w:val="0"/>
          <w:lang w:val="en-US" w:eastAsia="zh-CN"/>
        </w:rPr>
        <w:t>2025年3</w:t>
      </w:r>
      <w:r>
        <w:rPr>
          <w:rFonts w:hint="default" w:ascii="Times New Roman" w:hAnsi="Times New Roman" w:eastAsia="宋体" w:cs="Times New Roman"/>
          <w:b w:val="0"/>
          <w:bCs w:val="0"/>
          <w:lang w:val="en-US" w:eastAsia="zh-CN"/>
        </w:rPr>
        <w:t>月。</w:t>
      </w:r>
    </w:p>
    <w:p w14:paraId="14AB62A7">
      <w:pPr>
        <w:rPr>
          <w:rFonts w:ascii="Times New Roman" w:hAnsi="Times New Roman" w:cs="Times New Roman"/>
          <w:color w:val="000000" w:themeColor="text1"/>
          <w:sz w:val="24"/>
          <w:szCs w:val="24"/>
          <w:highlight w:val="none"/>
          <w14:textFill>
            <w14:solidFill>
              <w14:schemeClr w14:val="tx1"/>
            </w14:solidFill>
          </w14:textFill>
        </w:rPr>
      </w:pPr>
      <w:r>
        <w:rPr>
          <w:rFonts w:hint="default"/>
          <w:lang w:val="en-US" w:eastAsia="zh-CN"/>
        </w:rPr>
        <w:t>根据第一阶段环境调查结果，</w:t>
      </w:r>
      <w:r>
        <w:rPr>
          <w:rFonts w:hint="eastAsia"/>
          <w:lang w:val="en-US" w:eastAsia="zh-CN"/>
        </w:rPr>
        <w:t>目标地块位于</w:t>
      </w:r>
      <w:r>
        <w:rPr>
          <w:rFonts w:hint="eastAsia"/>
          <w:color w:val="000000" w:themeColor="text1"/>
          <w:highlight w:val="none"/>
          <w:lang w:val="en-US" w:eastAsia="zh-CN"/>
          <w14:textFill>
            <w14:solidFill>
              <w14:schemeClr w14:val="tx1"/>
            </w14:solidFill>
          </w14:textFill>
        </w:rPr>
        <w:t>广东省梅州市兴宁市黄槐镇四望嶂矿区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占地面积810065.9423m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116881E4">
      <w:pPr>
        <w:pStyle w:val="4"/>
        <w:rPr>
          <w:rFonts w:hint="default"/>
          <w:lang w:val="en-US" w:eastAsia="zh-CN"/>
        </w:rPr>
      </w:pPr>
      <w:r>
        <w:rPr>
          <w:rFonts w:hint="default"/>
          <w:lang w:val="en-US" w:eastAsia="zh-CN"/>
        </w:rPr>
        <w:t>调查地块历史沿革清楚：</w:t>
      </w:r>
    </w:p>
    <w:p w14:paraId="06B4F8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bookmarkStart w:id="3" w:name="OLE_LINK473"/>
      <w:r>
        <w:rPr>
          <w:rFonts w:hint="eastAsia" w:eastAsia="宋体" w:cs="Times New Roman"/>
          <w:color w:val="000000" w:themeColor="text1"/>
          <w:sz w:val="24"/>
          <w:szCs w:val="24"/>
          <w:highlight w:val="none"/>
          <w:lang w:val="en-US" w:eastAsia="zh-CN"/>
          <w14:textFill>
            <w14:solidFill>
              <w14:schemeClr w14:val="tx1"/>
            </w14:solidFill>
          </w14:textFill>
        </w:rPr>
        <w:t>调查地块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由两部分构成，一部分占地面积</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373717.3078</w:t>
      </w:r>
      <w:bookmarkEnd w:id="3"/>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前土地使用权人为</w:t>
      </w:r>
      <w:bookmarkStart w:id="4" w:name="OLE_LINK595"/>
      <w:r>
        <w:rPr>
          <w:rFonts w:hint="eastAsia" w:cs="Times New Roman"/>
          <w:color w:val="000000" w:themeColor="text1"/>
          <w:sz w:val="24"/>
          <w:szCs w:val="24"/>
          <w:highlight w:val="none"/>
          <w:lang w:val="en-US" w:eastAsia="zh-CN"/>
          <w14:textFill>
            <w14:solidFill>
              <w14:schemeClr w14:val="tx1"/>
            </w14:solidFill>
          </w14:textFill>
        </w:rPr>
        <w:t>兴宁市黄槐镇槐东村集体</w:t>
      </w:r>
      <w:bookmarkEnd w:id="4"/>
      <w:r>
        <w:rPr>
          <w:rFonts w:hint="eastAsia"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用地性质为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集体农用地、集体建设用地</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以山地、旱地、耕地为主，1998年~2005年小部分用地设私人小煤窑（北部为易顺煤矿，南部为杨进排煤矿）及土窑炼焦（村民私人建设），其他区域未进行开发利用。2024年至本次调查初步采样期间，调查地块作为广东省全民国防教育基地项目一期用地，正在开展现有建筑拆除、场地平整等工作。该地块于2024年6月20日征收。</w:t>
      </w:r>
    </w:p>
    <w:p w14:paraId="419B1D7B">
      <w:pPr>
        <w:pStyle w:val="3"/>
        <w:keepNext w:val="0"/>
        <w:keepLines w:val="0"/>
        <w:pageBreakBefore w:val="0"/>
        <w:widowControl w:val="0"/>
        <w:kinsoku/>
        <w:wordWrap/>
        <w:overflowPunct/>
        <w:topLinePunct w:val="0"/>
        <w:bidi w:val="0"/>
        <w:adjustRightInd/>
        <w:snapToGrid/>
        <w:spacing w:before="0" w:line="360" w:lineRule="auto"/>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另一部分占地</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面积为</w:t>
      </w:r>
      <w:bookmarkStart w:id="5" w:name="OLE_LINK474"/>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436348.6345</w:t>
      </w:r>
      <w:bookmarkEnd w:id="5"/>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，前土地使用权人为</w:t>
      </w:r>
      <w:bookmarkStart w:id="6" w:name="OLE_LINK476"/>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原四望嶂矿务局一矿</w:t>
      </w:r>
      <w:bookmarkEnd w:id="6"/>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、兴宁市四矿粮食管理所</w:t>
      </w:r>
      <w:bookmarkStart w:id="7" w:name="OLE_LINK8"/>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四望嶂矿务局</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一矿</w:t>
      </w:r>
      <w:bookmarkEnd w:id="7"/>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煤炭开采利用时期</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（1968年~1998年）</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作为独立工矿用地，</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用于四望嶂矿务局一矿生产办公区，伴有少量私人煤窑开采。四望嶂矿务局一矿关停后，1998年~2005年由兴宁市大径里煤炭有限公司生产经营，</w:t>
      </w:r>
      <w:bookmarkStart w:id="8" w:name="OLE_LINK472"/>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伴有私人煤窑开采</w:t>
      </w:r>
      <w:bookmarkEnd w:id="8"/>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。2005年~2024年全面停止煤炭开采，早期主要对煤矸石进行筛分、破碎加工；近期新增鸽子养殖。</w:t>
      </w:r>
      <w:bookmarkStart w:id="9" w:name="OLE_LINK475"/>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兴宁市四矿粮食管理所用地为兴宁市四矿粮食管理所一矿粮店，四望嶂矿务局一矿关停后空置。2024年至本次调查初步采样期间，调查地块作为广东省全民国防教育基地项目一期用地，正在开展现有建筑拆除、场地平整等工作。</w:t>
      </w:r>
      <w:bookmarkEnd w:id="9"/>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该地块分别于2024年5月30日和2024年7月5日收回</w:t>
      </w:r>
      <w:r>
        <w:rPr>
          <w:rFonts w:hint="eastAsia"/>
          <w:color w:val="000000" w:themeColor="text1"/>
          <w:sz w:val="24"/>
          <w:szCs w:val="24"/>
          <w:highlight w:val="none"/>
          <w:lang w:val="en-US" w:eastAsia="zh-CN"/>
          <w14:textFill>
            <w14:solidFill>
              <w14:schemeClr w14:val="tx1"/>
            </w14:solidFill>
          </w14:textFill>
        </w:rPr>
        <w:t>，纳入政府储备土地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5E42CC3B">
      <w:pPr>
        <w:pStyle w:val="5"/>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污染识别情况如下：</w:t>
      </w:r>
    </w:p>
    <w:p w14:paraId="15F12BF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eastAsia="宋体" w:cs="Times New Roman"/>
          <w:color w:val="000000" w:themeColor="text1"/>
          <w:sz w:val="24"/>
          <w:szCs w:val="24"/>
          <w:highlight w:val="none"/>
          <w:lang w:eastAsia="zh-CN"/>
          <w14:textFill>
            <w14:solidFill>
              <w14:schemeClr w14:val="tx1"/>
            </w14:solidFill>
          </w14:textFill>
        </w:rPr>
        <w:t>根据对本地块调查结果可知，调查地块</w:t>
      </w:r>
      <w:r>
        <w:rPr>
          <w:rFonts w:hint="default" w:ascii="Times New Roman" w:hAnsi="Times New Roman" w:eastAsia="宋体" w:cs="Times New Roman"/>
          <w:color w:val="000000" w:themeColor="text1"/>
          <w:sz w:val="24"/>
          <w:szCs w:val="24"/>
          <w:highlight w:val="none"/>
          <w14:textFill>
            <w14:solidFill>
              <w14:schemeClr w14:val="tx1"/>
            </w14:solidFill>
          </w14:textFill>
        </w:rPr>
        <w:t>历史至今生产活动及生产企业主要为煤炭开采（四望嶂矿务局一矿、兴宁市大径里煤炭有限公司、柚树下煤矿及其他私人煤窑）、土窑炼焦/炼铁（村民私人建设）、煤矸石筛分破碎加工（兴宁市达源沥青混凝土有限公司及其他村民私人利用）、鸽场（兴宁市华永种养专业合作社、梅州市金林鸟生态农业发展有限公司）；集体用地历史至今生产活动及生产企业主要为煤炭开采（易顺煤矿、杨进排煤矿）、土窑炼焦（村民私人建设）、煤矸石筛分破碎加工（村民私人利用）。</w:t>
      </w:r>
    </w:p>
    <w:p w14:paraId="257B1F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根据对周边地块调查结果可知，周边地块历史为</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山地和旱地，土地开发利用后相邻东侧、西侧和北侧地块均涉及煤矸石堆场、私人煤窑及煤矸石加工区。</w:t>
      </w:r>
    </w:p>
    <w:p w14:paraId="043A4785">
      <w:pPr>
        <w:pStyle w:val="5"/>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根据污染识别结果，</w:t>
      </w:r>
      <w:bookmarkStart w:id="10" w:name="OLE_LINK550"/>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本次初步调查重点关注四望嶂矿务局煤炭开采利用时期本地块内的开采生产区、煤仓/煤台、煤矸石堆场、运输道路、一矿发电厂、一矿变电所和砖厂；四望嶂矿务局关停后，重点关注本地块内私人煤窑、土窑炼铁/炼焦、煤矸石破碎加工各生产企业的生产区域、原辅料存放区域和固废堆放区；广东省全民国防教育基地项目一期场地平整过程中重点关注区域土方回填区域。重点关注区域面积约为</w:t>
      </w:r>
      <w:bookmarkStart w:id="11" w:name="OLE_LINK545"/>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393086.893</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z w:val="24"/>
          <w:szCs w:val="24"/>
          <w:highlight w:val="none"/>
          <w:vertAlign w:val="superscript"/>
          <w:lang w:val="en-US" w:eastAsia="zh-CN"/>
          <w14:textFill>
            <w14:solidFill>
              <w14:schemeClr w14:val="tx1"/>
            </w14:solidFill>
          </w14:textFill>
        </w:rPr>
        <w:t>2</w:t>
      </w:r>
      <w:bookmarkEnd w:id="11"/>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bookmarkEnd w:id="10"/>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识别本地块需关注污染物为</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重金属（砷、汞等）、氟化物、锌、挥发酚、氰化物、多环芳烃、多氯联苯和石油烃（</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C</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~C</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40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其他未进行开发利用的山地、旱地对本地块土壤和地下水环境污染影响较小，</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基于调查保守原则考虑，将其纳入一般区域进行调查。</w:t>
      </w:r>
    </w:p>
    <w:p w14:paraId="133BE1C7">
      <w:pPr>
        <w:pStyle w:val="5"/>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污染识别结论如下：</w:t>
      </w:r>
    </w:p>
    <w:p w14:paraId="103DE7C8">
      <w:pPr>
        <w:pStyle w:val="5"/>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本次调查目标地块需要重点关注的污染物包括</w:t>
      </w:r>
      <w:r>
        <w:rPr>
          <w:rFonts w:hint="eastAsia" w:ascii="Times New Roman" w:hAnsi="Times New Roman" w:eastAsia="宋体" w:cs="Times New Roman"/>
          <w:b w:val="0"/>
          <w:bCs w:val="0"/>
          <w:lang w:val="en-US" w:eastAsia="zh-CN"/>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重金属（砷、汞等）、氟化物、锌、挥发酚、氰化物、多环芳烃、多氯联苯和石油烃（</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C</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~C</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40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vertAlign w:val="baseline"/>
          <w:lang w:eastAsia="zh-CN"/>
          <w14:textFill>
            <w14:solidFill>
              <w14:schemeClr w14:val="tx1"/>
            </w14:solidFill>
          </w14:textFill>
        </w:rPr>
        <w:t>。</w:t>
      </w:r>
    </w:p>
    <w:p w14:paraId="442ED60E">
      <w:pPr>
        <w:keepNext w:val="0"/>
        <w:keepLines w:val="0"/>
        <w:widowControl/>
        <w:suppressLineNumbers w:val="0"/>
        <w:jc w:val="left"/>
        <w:rPr>
          <w:rFonts w:hint="default" w:ascii="Times New Roman" w:hAnsi="Times New Roman" w:eastAsia="宋体" w:cs="Times New Roman"/>
          <w:b w:val="0"/>
          <w:bCs w:val="0"/>
          <w:lang w:val="en-US" w:eastAsia="zh-CN"/>
        </w:rPr>
      </w:pPr>
      <w:r>
        <w:rPr>
          <w:rFonts w:hint="default"/>
          <w:color w:val="000000" w:themeColor="text1"/>
          <w:highlight w:val="none"/>
          <w:lang w:eastAsia="zh-CN"/>
          <w14:textFill>
            <w14:solidFill>
              <w14:schemeClr w14:val="tx1"/>
            </w14:solidFill>
          </w14:textFill>
        </w:rPr>
        <w:t>根据《建设用地土壤污染状况调查技术导则》（HJ 25.1-2019）和《建设用地土壤污染防治第1部分：污染状况调查技术规范》（DB4401/T 102.1-2020）等相关文件与导则规定，</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调查</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地块</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393086.893</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作为重点区域、</w:t>
      </w:r>
      <w:bookmarkStart w:id="12" w:name="OLE_LINK555"/>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416979.0493</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highlight w:val="none"/>
          <w:vertAlign w:val="superscript"/>
          <w:lang w:val="en-US" w:eastAsia="zh-CN" w:bidi="ar"/>
          <w14:textFill>
            <w14:solidFill>
              <w14:schemeClr w14:val="tx1"/>
            </w14:solidFill>
          </w14:textFill>
        </w:rPr>
        <w:t>2</w:t>
      </w:r>
      <w:bookmarkEnd w:id="12"/>
      <w:r>
        <w:rPr>
          <w:rFonts w:hint="eastAsia" w:ascii="Times New Roman" w:hAnsi="Times New Roman" w:eastAsia="宋体" w:cs="Times New Roman"/>
          <w:color w:val="000000" w:themeColor="text1"/>
          <w:kern w:val="0"/>
          <w:sz w:val="24"/>
          <w:szCs w:val="24"/>
          <w:highlight w:val="none"/>
          <w:vertAlign w:val="baseline"/>
          <w:lang w:val="en-US" w:eastAsia="zh-CN" w:bidi="ar"/>
          <w14:textFill>
            <w14:solidFill>
              <w14:schemeClr w14:val="tx1"/>
            </w14:solidFill>
          </w14:textFill>
        </w:rPr>
        <w:t>作为一般区域</w:t>
      </w:r>
      <w:r>
        <w:rPr>
          <w:rFonts w:hint="default"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开展</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土壤污染状况调查第二阶段调查工作，进一步确定地块污染物种类及污染程度。</w:t>
      </w:r>
    </w:p>
    <w:p w14:paraId="480798CD">
      <w:pPr>
        <w:pStyle w:val="7"/>
        <w:numPr>
          <w:ilvl w:val="0"/>
          <w:numId w:val="0"/>
        </w:numPr>
        <w:bidi w:val="0"/>
        <w:ind w:leftChars="200"/>
        <w:rPr>
          <w:rFonts w:hint="eastAsia"/>
          <w:lang w:val="en-US" w:eastAsia="zh-CN"/>
        </w:rPr>
      </w:pPr>
      <w:r>
        <w:rPr>
          <w:rFonts w:hint="eastAsia"/>
          <w:lang w:val="en-US" w:eastAsia="zh-CN"/>
        </w:rPr>
        <w:t>三、初步采样分析</w:t>
      </w:r>
    </w:p>
    <w:p w14:paraId="3DD74432">
      <w:pPr>
        <w:pStyle w:val="5"/>
        <w:rPr>
          <w:rFonts w:hint="eastAsia" w:ascii="Times New Roman" w:hAnsi="Times New Roman" w:eastAsia="宋体" w:cs="Times New Roman"/>
          <w:b/>
          <w:bCs/>
          <w:i w:val="0"/>
          <w:iCs w:val="0"/>
          <w:caps w:val="0"/>
          <w:color w:val="000000" w:themeColor="text1"/>
          <w:spacing w:val="0"/>
          <w:sz w:val="24"/>
          <w:szCs w:val="24"/>
          <w:u w:val="none"/>
          <w:shd w:val="clear" w:fill="FFFFFF"/>
          <w:lang w:val="en-US" w:eastAsia="zh-CN"/>
          <w14:textFill>
            <w14:solidFill>
              <w14:schemeClr w14:val="tx1"/>
            </w14:solidFill>
          </w14:textFill>
        </w:rPr>
      </w:pPr>
      <w:r>
        <w:rPr>
          <w:rFonts w:hint="eastAsia" w:ascii="Times New Roman" w:hAnsi="Times New Roman" w:eastAsia="宋体" w:cs="Times New Roman"/>
          <w:b/>
          <w:bCs/>
          <w:i w:val="0"/>
          <w:iCs w:val="0"/>
          <w:caps w:val="0"/>
          <w:color w:val="000000" w:themeColor="text1"/>
          <w:spacing w:val="0"/>
          <w:sz w:val="24"/>
          <w:szCs w:val="24"/>
          <w:u w:val="none"/>
          <w:shd w:val="clear" w:fill="FFFFFF"/>
          <w:lang w:val="en-US" w:eastAsia="zh-CN"/>
          <w14:textFill>
            <w14:solidFill>
              <w14:schemeClr w14:val="tx1"/>
            </w14:solidFill>
          </w14:textFill>
        </w:rPr>
        <w:t>1、点位布设情况</w:t>
      </w:r>
    </w:p>
    <w:p w14:paraId="40684731">
      <w:pPr>
        <w:pStyle w:val="5"/>
        <w:rPr>
          <w:rFonts w:hint="default" w:ascii="Times New Roman" w:hAnsi="Times New Roman" w:eastAsia="宋体" w:cs="Times New Roman"/>
          <w:i w:val="0"/>
          <w:iCs w:val="0"/>
          <w:caps w:val="0"/>
          <w:color w:val="000000" w:themeColor="text1"/>
          <w:spacing w:val="0"/>
          <w:sz w:val="24"/>
          <w:szCs w:val="24"/>
          <w:u w:val="none"/>
          <w:shd w:val="clear" w:fill="FFFFFF"/>
          <w:lang w:val="en-US"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u w:val="none"/>
          <w:shd w:val="clear" w:fill="FFFFFF"/>
          <w14:textFill>
            <w14:solidFill>
              <w14:schemeClr w14:val="tx1"/>
            </w14:solidFill>
          </w14:textFill>
        </w:rPr>
        <w:t>本次调查采用判断布点法与系统布点法布设点位在地块内布设</w:t>
      </w:r>
      <w:r>
        <w:rPr>
          <w:rFonts w:hint="eastAsia" w:ascii="Times New Roman" w:hAnsi="Times New Roman" w:eastAsia="宋体" w:cs="Times New Roman"/>
          <w:i w:val="0"/>
          <w:iCs w:val="0"/>
          <w:caps w:val="0"/>
          <w:color w:val="000000" w:themeColor="text1"/>
          <w:spacing w:val="0"/>
          <w:sz w:val="24"/>
          <w:szCs w:val="24"/>
          <w:u w:val="none"/>
          <w:shd w:val="clear" w:fill="FFFFFF"/>
          <w:lang w:val="en-US" w:eastAsia="zh-CN"/>
          <w14:textFill>
            <w14:solidFill>
              <w14:schemeClr w14:val="tx1"/>
            </w14:solidFill>
          </w14:textFill>
        </w:rPr>
        <w:t>323个土壤监测点位，在本地块外布设3个土壤对照点，采集表层土壤样品。结合地块内残余废弃物分布情况，共布设12个残余废弃物监测点位。按照地块四周布设并兼顾地下水下游处，共布设了17口地下水监测井，3个地表水及底泥监测断面，均满足《建设用地土壤污染状况调查技术导则》（HJ 25.1-2019）、《广东省建设用地土壤污染状况调查、风险评估及效果评估报告技术审查要点（修订版）》等相关技术规范要求。</w:t>
      </w:r>
    </w:p>
    <w:p w14:paraId="66CD199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r>
        <w:rPr>
          <w:rFonts w:hint="eastAsia" w:eastAsia="宋体" w:cs="Times New Roman"/>
          <w:b/>
          <w:bCs/>
          <w:color w:val="000000" w:themeColor="text1"/>
          <w:kern w:val="0"/>
          <w:sz w:val="24"/>
          <w:szCs w:val="24"/>
          <w:highlight w:val="none"/>
          <w:lang w:val="en-US" w:eastAsia="zh-CN" w:bidi="ar"/>
          <w14:textFill>
            <w14:solidFill>
              <w14:schemeClr w14:val="tx1"/>
            </w14:solidFill>
          </w14:textFill>
        </w:rPr>
        <w:t>2、现场钻探情况</w:t>
      </w:r>
    </w:p>
    <w:p w14:paraId="054658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次调查实际钻探311个点位（其中287个点位采用XY-100型钻机，24个点位采用IN-SL-15型背包钻机），另外12个点位中位于煤矸石堆放区点位5个、地势陡峭机械难以进场点位7个，故不实施钻探工作。钻探深度一般为6m，如遇外来填土，则贯穿填土或尾矿石层以下3m，遇风化层或基岩难以突破则终孔，实际钻探深度在2.0~15.0m之间。</w:t>
      </w:r>
    </w:p>
    <w:p w14:paraId="3710F10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r>
        <w:rPr>
          <w:rFonts w:hint="eastAsia" w:eastAsia="宋体" w:cs="Times New Roman"/>
          <w:b/>
          <w:bCs/>
          <w:color w:val="000000" w:themeColor="text1"/>
          <w:kern w:val="0"/>
          <w:sz w:val="24"/>
          <w:szCs w:val="24"/>
          <w:highlight w:val="none"/>
          <w:lang w:val="en-US" w:eastAsia="zh-CN" w:bidi="ar"/>
          <w14:textFill>
            <w14:solidFill>
              <w14:schemeClr w14:val="tx1"/>
            </w14:solidFill>
          </w14:textFill>
        </w:rPr>
        <w:t>3、样品采集点位及数量统计</w:t>
      </w:r>
    </w:p>
    <w:p w14:paraId="428409E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次调查结合钻探现场情况，各要素样品实际采集点位包括残余废弃物样品采集点位12个，土壤样品采集点位共计306个（地块内303个，地块外对照点3个），地下水样品采集点位8个，地表水样品采集断面3个，底泥样品采集点位3个。</w:t>
      </w:r>
    </w:p>
    <w:p w14:paraId="5BEDA4C2">
      <w:pP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次调查各要素样品实际采集样品数量为残余废弃物（煤矸石）样品12个，土壤样品1058个（地块内1052个，对照点6个），地下水样品14个（两次采样），地表水样品5个（两次采样），底泥样品3个，上述样品数量均不含现场质控样品和平行样品。</w:t>
      </w:r>
    </w:p>
    <w:p w14:paraId="0277FF3C">
      <w:pPr>
        <w:pStyle w:val="4"/>
        <w:numPr>
          <w:ilvl w:val="0"/>
          <w:numId w:val="2"/>
        </w:numPr>
        <w:rPr>
          <w:rFonts w:hint="eastAsia"/>
          <w:b/>
          <w:bCs/>
          <w:lang w:val="en-US" w:eastAsia="zh-CN"/>
        </w:rPr>
      </w:pPr>
      <w:r>
        <w:rPr>
          <w:rFonts w:hint="eastAsia"/>
          <w:b/>
          <w:bCs/>
          <w:lang w:val="en-US" w:eastAsia="zh-CN"/>
        </w:rPr>
        <w:t>检测结果分析</w:t>
      </w:r>
    </w:p>
    <w:p w14:paraId="1FA84235">
      <w:pPr>
        <w:pStyle w:val="4"/>
        <w:keepNext w:val="0"/>
        <w:keepLines w:val="0"/>
        <w:pageBreakBefore w:val="0"/>
        <w:widowControl w:val="0"/>
        <w:numPr>
          <w:ilvl w:val="0"/>
          <w:numId w:val="0"/>
        </w:numPr>
        <w:kinsoku/>
        <w:wordWrap/>
        <w:overflowPunct/>
        <w:topLinePunct w:val="0"/>
        <w:autoSpaceDE/>
        <w:autoSpaceDN/>
        <w:bidi w:val="0"/>
        <w:adjustRightInd/>
        <w:snapToGrid/>
        <w:ind w:right="17" w:rightChars="0" w:firstLine="480" w:firstLineChars="200"/>
        <w:textAlignment w:val="auto"/>
        <w:rPr>
          <w:rFonts w:hint="eastAsia"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根据检测结果，经统计汇总分析如下：</w:t>
      </w:r>
    </w:p>
    <w:p w14:paraId="6EF4F2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bookmarkStart w:id="13" w:name="_Toc23425"/>
      <w:r>
        <w:rPr>
          <w:rFonts w:hint="eastAsia"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（1）残余废弃物（煤矸石）样品检测结果分析</w:t>
      </w:r>
      <w:bookmarkEnd w:id="13"/>
    </w:p>
    <w:p w14:paraId="49D797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调查地块内的残余废弃物煤矸石所有检出项的检出值均远低于《危险废物鉴别标准 浸出毒性鉴别》（GB 5085.3-2007）中规定的浸出液中危害成分浓度限值。因此，可以判定调查地块内的残余废弃物煤矸石不属于危险废物，为一般工业固体废物；此外，煤矸石样品检出项检测结果均低于第一类和第二类用地土壤污染风险筛选值，各检出项检出值的最大浓度占标率均小于1%。根据污染物迁移和富集情况分析，调查地块垂直方向和水平方向上污染物分布基本不受煤矸石的影响。结合资料查找、人员访谈及现场踏勘等方式了解，调查地块内各区域土层中回填的煤矸石回填时间起码十年以上，部分点位于四望嶂矿务局基础设施建设时期回填，回填时间长达五十~六十年。回填区域在煤矸石长期作用下，各代表性点位土壤检测13项检出指标检测结果变化均不大，且绝大部分处于低水平状态，远小于第一类用地筛选值，由此可见，调查地块煤矸石场内堆存对土壤污染影响较小，通过合理设置挡墙及放坡、覆土复绿等于场内堆存利用是可行的。</w:t>
      </w:r>
    </w:p>
    <w:p w14:paraId="0D5F705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bookmarkStart w:id="14" w:name="_Toc10833"/>
      <w:r>
        <w:rPr>
          <w:rFonts w:hint="eastAsia"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（2）土壤样品检测结果分析</w:t>
      </w:r>
      <w:bookmarkEnd w:id="14"/>
    </w:p>
    <w:p w14:paraId="08B9D0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对照点土壤样品各检测指标的检测结果均低于对应的土壤风险筛选值，有检出的检测指标含量均落在调查地块内各采样点检测结果的范围内；本地块内土壤所有指标检测结果均低于对应的土壤风险筛选值。</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调查地块内土壤回填区域各监测点所有检出项检测结果均低于一类用地标准，由此可见各监测点位对应区域土壤回填的环境风险在人体可接受范围内。</w:t>
      </w:r>
    </w:p>
    <w:p w14:paraId="45A5AD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此外，本次调查地块内土壤样品采集的1052个土壤样品均检出钴、砷、钒、铅，其中有123个样品钴超出一类筛选值，29个样品砷超出一类筛选值，15个样品钒超出一类筛选值，2个样品铅超出一类筛选值，共169个样品超出一类用地筛选值（但均未超过二类用地筛选值），超一类筛选值的样品数占总样品数比例为16.1%。主要分布在煤矿开采区、煤矸石堆场区及主要运输通道，极少部分未开发利用区域可能受煤矸石淋滤水冲刷影响导致超一类用地标准。本地块规划用地为二类用地，针对此种超出一类用地筛选值，但满足二类用地标准的情况，应提出后续环境管理要求，在后续使用和管理过程中，若规划用途发生变更，变更为一类用地，需另行调查。地块后续开发时产生的土方不得外运至规划为一类用地的地方。若地块规划用途发生变更，后续管理过程中土地使用权人和管理单位可对超一类用地筛选值点位进行进一步核查。</w:t>
      </w:r>
    </w:p>
    <w:p w14:paraId="341501D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2"/>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bookmarkStart w:id="15" w:name="_Toc12660"/>
      <w:r>
        <w:rPr>
          <w:rFonts w:hint="eastAsia"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（3）地下水样品检测结果分析</w:t>
      </w:r>
      <w:bookmarkEnd w:id="15"/>
    </w:p>
    <w:p w14:paraId="5EE7F0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本次调查</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地下水样品各</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检测指标中，浑浊度8个样品中7个样品超出《地下水质量标准》（GB/T 14848-2017）Ⅲ类限值，锰8个样品中1个样品超出《地下水质量标准》（GB/T 14848-2017）Ⅲ类限值，其他各项检测指标均可满足地下水污染风险筛选值。</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因浑浊度和锰</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并非本项目特征污染物，</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为</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感官性状及一般化学指标，在地下水中不属于毒理学指标，在梅州市地下水环境出现超筛选值的情况较为常见，且地块内地下水不作为饮用水源，其对人体造成的健康风险可接受。</w:t>
      </w:r>
    </w:p>
    <w:p w14:paraId="42E3321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2"/>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bookmarkStart w:id="16" w:name="_Toc3075"/>
      <w:r>
        <w:rPr>
          <w:rFonts w:hint="eastAsia"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（4）地表水检测结果分析</w:t>
      </w:r>
      <w:bookmarkEnd w:id="16"/>
    </w:p>
    <w:p w14:paraId="2B6B7D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本次调查</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地表水样品检测分析结果可知，所有检测</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项目</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除锰外</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其他检测指标</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均符合《地表水环境质量标准》（GB/T 14848-2017）Ⅲ</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类</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限值。超标项目（锰）为感官性状及一般化学指标，在梅州市地表水环境出现超筛选值的情况较为常见，且地块内地表水不作为饮用水源，其对人体造成的健康风险可接受</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w:t>
      </w:r>
    </w:p>
    <w:p w14:paraId="58A1A89C">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82" w:firstLineChars="200"/>
        <w:jc w:val="left"/>
        <w:textAlignment w:val="auto"/>
        <w:outlineLvl w:val="2"/>
        <w:rPr>
          <w:rFonts w:hint="eastAsia"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bookmarkStart w:id="17" w:name="_Toc3168"/>
      <w:r>
        <w:rPr>
          <w:rFonts w:hint="eastAsia"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底泥检测结果分析</w:t>
      </w:r>
      <w:bookmarkEnd w:id="17"/>
    </w:p>
    <w:p w14:paraId="2627C7C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本次调查</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底泥</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样品检测分析结果可知，所有检测</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项目均可满足二类用地筛选值。</w:t>
      </w:r>
    </w:p>
    <w:p w14:paraId="0EA5ACC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综上</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可知，调查地块内各要素环境风险在人体可接受范围内，无需进行详细调查与风险评估工作。</w:t>
      </w:r>
    </w:p>
    <w:p w14:paraId="78A50FF2">
      <w:pPr>
        <w:pStyle w:val="7"/>
        <w:bidi w:val="0"/>
        <w:rPr>
          <w:rFonts w:hint="eastAsia"/>
          <w:lang w:eastAsia="zh-CN"/>
        </w:rPr>
      </w:pPr>
      <w:r>
        <w:rPr>
          <w:rFonts w:hint="eastAsia"/>
          <w:lang w:eastAsia="zh-CN"/>
        </w:rPr>
        <w:t>四、初步调查结论</w:t>
      </w:r>
    </w:p>
    <w:p w14:paraId="3A44D7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调查地块C地块不属于污染地块，作为公共管理与公共服务用地、交通运输用地和绿地与开敞空间用地进行开发建设的人体健康风险可接受。根据调查导则的规定，本次调查可以结束，不需进一步开展下一阶段土壤污染状况调查工作。</w:t>
      </w:r>
    </w:p>
    <w:p w14:paraId="5D8534A0">
      <w:pPr>
        <w:bidi w:val="0"/>
        <w:rPr>
          <w:rFonts w:hint="eastAsia"/>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在后续使用和管理过程中，若规划用途发生变更，变更为一类用地，需另行调查。地块后续开发时产生的土方不得外运至规划为一类用地的地方。</w:t>
      </w:r>
    </w:p>
    <w:p w14:paraId="26EAF384">
      <w:pPr>
        <w:pStyle w:val="7"/>
        <w:bidi w:val="0"/>
        <w:ind w:left="0" w:leftChars="0" w:firstLine="0" w:firstLineChars="0"/>
        <w:rPr>
          <w:rFonts w:hint="eastAsia"/>
          <w:lang w:eastAsia="zh-CN"/>
        </w:rPr>
      </w:pPr>
      <w:r>
        <w:rPr>
          <w:rFonts w:hint="eastAsia"/>
          <w:lang w:eastAsia="zh-CN"/>
        </w:rPr>
        <w:t>五、联系方式</w:t>
      </w:r>
    </w:p>
    <w:p w14:paraId="33F7A298">
      <w:pPr>
        <w:spacing w:line="360" w:lineRule="auto"/>
        <w:ind w:left="0" w:leftChars="0" w:firstLine="0" w:firstLineChars="0"/>
        <w:outlineLvl w:val="0"/>
        <w:rPr>
          <w:rFonts w:hint="eastAsia"/>
          <w:b/>
          <w:sz w:val="24"/>
          <w:szCs w:val="24"/>
        </w:rPr>
      </w:pPr>
      <w:r>
        <w:rPr>
          <w:rFonts w:hint="eastAsia"/>
          <w:b/>
          <w:sz w:val="24"/>
          <w:szCs w:val="24"/>
        </w:rPr>
        <w:t>委托单位及联系方式</w:t>
      </w:r>
    </w:p>
    <w:p w14:paraId="6F2FEF03">
      <w:pPr>
        <w:spacing w:line="360" w:lineRule="auto"/>
        <w:ind w:firstLine="480" w:firstLineChars="200"/>
        <w:rPr>
          <w:sz w:val="24"/>
          <w:szCs w:val="24"/>
        </w:rPr>
      </w:pPr>
      <w:r>
        <w:rPr>
          <w:rFonts w:hint="eastAsia"/>
          <w:sz w:val="24"/>
          <w:szCs w:val="24"/>
          <w:lang w:eastAsia="zh-CN"/>
        </w:rPr>
        <w:t>委托</w:t>
      </w:r>
      <w:r>
        <w:rPr>
          <w:rFonts w:hint="eastAsia"/>
          <w:sz w:val="24"/>
          <w:szCs w:val="24"/>
        </w:rPr>
        <w:t>单位：兴宁市土地储备和征地服务中心</w:t>
      </w:r>
    </w:p>
    <w:p w14:paraId="557A425C">
      <w:pPr>
        <w:spacing w:line="360" w:lineRule="auto"/>
        <w:ind w:firstLine="480" w:firstLineChars="200"/>
        <w:rPr>
          <w:rFonts w:hint="eastAsia"/>
          <w:sz w:val="24"/>
          <w:szCs w:val="24"/>
        </w:rPr>
      </w:pPr>
      <w:r>
        <w:rPr>
          <w:rFonts w:hint="eastAsia"/>
          <w:sz w:val="24"/>
          <w:szCs w:val="24"/>
        </w:rPr>
        <w:t>联系人：</w:t>
      </w:r>
      <w:r>
        <w:rPr>
          <w:rFonts w:hint="eastAsia"/>
          <w:sz w:val="24"/>
          <w:szCs w:val="24"/>
          <w:lang w:eastAsia="zh-CN"/>
        </w:rPr>
        <w:t>罗先生</w:t>
      </w:r>
      <w:r>
        <w:rPr>
          <w:rFonts w:hint="eastAsia"/>
          <w:sz w:val="24"/>
          <w:szCs w:val="24"/>
        </w:rPr>
        <w:t xml:space="preserve">   电话：0753-3238815</w:t>
      </w:r>
    </w:p>
    <w:p w14:paraId="2755653F">
      <w:pPr>
        <w:spacing w:line="360" w:lineRule="auto"/>
        <w:ind w:firstLine="480" w:firstLineChars="200"/>
        <w:rPr>
          <w:rFonts w:hint="eastAsia"/>
          <w:sz w:val="24"/>
          <w:szCs w:val="24"/>
        </w:rPr>
      </w:pPr>
      <w:r>
        <w:rPr>
          <w:rFonts w:hint="eastAsia"/>
          <w:sz w:val="24"/>
          <w:szCs w:val="24"/>
        </w:rPr>
        <w:t>联系地址：兴宁市人民大道西2号</w:t>
      </w:r>
    </w:p>
    <w:p w14:paraId="608D09D6">
      <w:pPr>
        <w:spacing w:line="360" w:lineRule="auto"/>
        <w:ind w:left="0" w:leftChars="0" w:firstLine="0" w:firstLineChars="0"/>
        <w:outlineLvl w:val="0"/>
        <w:rPr>
          <w:rFonts w:hint="eastAsia"/>
          <w:b/>
          <w:sz w:val="24"/>
          <w:szCs w:val="24"/>
        </w:rPr>
      </w:pPr>
      <w:r>
        <w:rPr>
          <w:rFonts w:hint="eastAsia"/>
          <w:b/>
          <w:sz w:val="24"/>
          <w:szCs w:val="24"/>
        </w:rPr>
        <w:t>土壤污染状况调查单位单位及联系方式</w:t>
      </w:r>
    </w:p>
    <w:p w14:paraId="51559D9A">
      <w:pPr>
        <w:spacing w:line="360" w:lineRule="auto"/>
        <w:ind w:firstLine="480" w:firstLineChars="200"/>
        <w:rPr>
          <w:rFonts w:hint="eastAsia" w:eastAsiaTheme="minorEastAsia"/>
          <w:sz w:val="24"/>
          <w:szCs w:val="24"/>
          <w:lang w:eastAsia="zh-CN"/>
        </w:rPr>
      </w:pPr>
      <w:r>
        <w:rPr>
          <w:rFonts w:hint="eastAsia"/>
          <w:sz w:val="24"/>
          <w:szCs w:val="24"/>
        </w:rPr>
        <w:t>建设单位：</w:t>
      </w:r>
      <w:r>
        <w:rPr>
          <w:rFonts w:hint="eastAsia"/>
          <w:sz w:val="24"/>
          <w:szCs w:val="24"/>
          <w:lang w:eastAsia="zh-CN"/>
        </w:rPr>
        <w:t>广东晨风环保科技有限公司</w:t>
      </w:r>
    </w:p>
    <w:p w14:paraId="53856B41">
      <w:pPr>
        <w:spacing w:line="360" w:lineRule="auto"/>
        <w:ind w:firstLine="480" w:firstLineChars="200"/>
        <w:rPr>
          <w:rFonts w:hint="default" w:eastAsiaTheme="minorEastAsia"/>
          <w:sz w:val="24"/>
          <w:szCs w:val="24"/>
          <w:lang w:val="en-US" w:eastAsia="zh-CN"/>
        </w:rPr>
      </w:pPr>
      <w:r>
        <w:rPr>
          <w:rFonts w:hint="eastAsia"/>
          <w:sz w:val="24"/>
          <w:szCs w:val="24"/>
        </w:rPr>
        <w:t>联系人：</w:t>
      </w:r>
      <w:r>
        <w:rPr>
          <w:rFonts w:hint="eastAsia"/>
          <w:sz w:val="24"/>
          <w:szCs w:val="24"/>
          <w:lang w:eastAsia="zh-CN"/>
        </w:rPr>
        <w:t>梁小姐</w:t>
      </w:r>
      <w:r>
        <w:rPr>
          <w:rFonts w:hint="eastAsia"/>
          <w:sz w:val="24"/>
          <w:szCs w:val="24"/>
        </w:rPr>
        <w:t xml:space="preserve">   电话：</w:t>
      </w:r>
      <w:r>
        <w:rPr>
          <w:rFonts w:hint="eastAsia"/>
          <w:sz w:val="24"/>
          <w:szCs w:val="24"/>
          <w:lang w:val="en-US" w:eastAsia="zh-CN"/>
        </w:rPr>
        <w:t>0753-2332788</w:t>
      </w:r>
    </w:p>
    <w:p w14:paraId="3FDC5969">
      <w:pPr>
        <w:spacing w:line="360" w:lineRule="auto"/>
        <w:ind w:firstLine="480" w:firstLineChars="200"/>
        <w:rPr>
          <w:rFonts w:hint="eastAsia"/>
          <w:sz w:val="24"/>
          <w:szCs w:val="24"/>
        </w:rPr>
      </w:pPr>
      <w:r>
        <w:rPr>
          <w:rFonts w:hint="eastAsia"/>
          <w:sz w:val="24"/>
          <w:szCs w:val="24"/>
        </w:rPr>
        <w:t>联系地址：梅州市梅江区三角镇剑英大道西侧兴华潮鑫商会大厦</w:t>
      </w:r>
    </w:p>
    <w:p w14:paraId="5674089C">
      <w:pPr>
        <w:pStyle w:val="4"/>
        <w:rPr>
          <w:rFonts w:hint="eastAsia" w:cs="Times New Roman"/>
          <w:color w:val="000000" w:themeColor="text1"/>
          <w:sz w:val="24"/>
          <w:szCs w:val="24"/>
          <w:highlight w:val="none"/>
          <w:lang w:eastAsia="zh-CN"/>
          <w14:textFill>
            <w14:solidFill>
              <w14:schemeClr w14:val="tx1"/>
            </w14:solidFill>
          </w14:textFill>
        </w:rPr>
      </w:pPr>
    </w:p>
    <w:p w14:paraId="1AE8856E">
      <w:pPr>
        <w:pStyle w:val="5"/>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2CAC9"/>
    <w:multiLevelType w:val="singleLevel"/>
    <w:tmpl w:val="B772CAC9"/>
    <w:lvl w:ilvl="0" w:tentative="0">
      <w:start w:val="5"/>
      <w:numFmt w:val="decimal"/>
      <w:suff w:val="nothing"/>
      <w:lvlText w:val="（%1）"/>
      <w:lvlJc w:val="left"/>
    </w:lvl>
  </w:abstractNum>
  <w:abstractNum w:abstractNumId="1">
    <w:nsid w:val="226B59BC"/>
    <w:multiLevelType w:val="singleLevel"/>
    <w:tmpl w:val="226B59BC"/>
    <w:lvl w:ilvl="0" w:tentative="0">
      <w:start w:val="1"/>
      <w:numFmt w:val="chineseCounting"/>
      <w:suff w:val="nothing"/>
      <w:lvlText w:val="%1、"/>
      <w:lvlJc w:val="left"/>
      <w:rPr>
        <w:rFonts w:hint="eastAsia"/>
      </w:rPr>
    </w:lvl>
  </w:abstractNum>
  <w:abstractNum w:abstractNumId="2">
    <w:nsid w:val="34BB15AF"/>
    <w:multiLevelType w:val="singleLevel"/>
    <w:tmpl w:val="34BB15AF"/>
    <w:lvl w:ilvl="0" w:tentative="0">
      <w:start w:val="4"/>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zkwM2QzMGUyODJlNTlhYTc5M2MwYzZjN2UzYTgifQ=="/>
  </w:docVars>
  <w:rsids>
    <w:rsidRoot w:val="1C5622B2"/>
    <w:rsid w:val="01973B44"/>
    <w:rsid w:val="02C72207"/>
    <w:rsid w:val="05737E2F"/>
    <w:rsid w:val="06DB42E2"/>
    <w:rsid w:val="07DB720D"/>
    <w:rsid w:val="0A8A7FAD"/>
    <w:rsid w:val="0D4B1AB9"/>
    <w:rsid w:val="0FC92877"/>
    <w:rsid w:val="19E716B5"/>
    <w:rsid w:val="1A807414"/>
    <w:rsid w:val="1C5622B2"/>
    <w:rsid w:val="28424C17"/>
    <w:rsid w:val="30AB4D93"/>
    <w:rsid w:val="31CE4BAD"/>
    <w:rsid w:val="39897C3B"/>
    <w:rsid w:val="3F056573"/>
    <w:rsid w:val="3F210200"/>
    <w:rsid w:val="47AC0A26"/>
    <w:rsid w:val="4D225F85"/>
    <w:rsid w:val="50745D05"/>
    <w:rsid w:val="51D320A3"/>
    <w:rsid w:val="552E786B"/>
    <w:rsid w:val="56B06F04"/>
    <w:rsid w:val="57733BF2"/>
    <w:rsid w:val="58A123D0"/>
    <w:rsid w:val="6126799A"/>
    <w:rsid w:val="628508CB"/>
    <w:rsid w:val="6A896F8E"/>
    <w:rsid w:val="6D9503B7"/>
    <w:rsid w:val="6DB52632"/>
    <w:rsid w:val="77007FCB"/>
    <w:rsid w:val="7B58479C"/>
    <w:rsid w:val="7D456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883" w:firstLineChars="200"/>
      <w:jc w:val="both"/>
    </w:pPr>
    <w:rPr>
      <w:rFonts w:ascii="Times New Roman" w:hAnsi="Times New Roman" w:eastAsiaTheme="minorEastAsia" w:cstheme="minorBidi"/>
      <w:kern w:val="2"/>
      <w:sz w:val="24"/>
      <w:szCs w:val="24"/>
      <w:lang w:val="en-US" w:eastAsia="zh-CN" w:bidi="ar-SA"/>
    </w:rPr>
  </w:style>
  <w:style w:type="paragraph" w:styleId="7">
    <w:name w:val="heading 1"/>
    <w:basedOn w:val="1"/>
    <w:next w:val="1"/>
    <w:autoRedefine/>
    <w:qFormat/>
    <w:uiPriority w:val="0"/>
    <w:pPr>
      <w:keepNext/>
      <w:keepLines/>
      <w:spacing w:beforeLines="0" w:beforeAutospacing="0" w:afterLines="0" w:afterAutospacing="0" w:line="360" w:lineRule="auto"/>
      <w:outlineLvl w:val="0"/>
    </w:pPr>
    <w:rPr>
      <w:rFonts w:ascii="Times New Roman" w:hAnsi="Times New Roman" w:eastAsia="宋体"/>
      <w:b/>
      <w:kern w:val="44"/>
      <w:sz w:val="2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autoSpaceDE w:val="0"/>
      <w:autoSpaceDN w:val="0"/>
      <w:spacing w:line="480" w:lineRule="exact"/>
      <w:ind w:firstLine="480"/>
      <w:jc w:val="left"/>
    </w:pPr>
    <w:rPr>
      <w:rFonts w:ascii="宋体" w:hAnsi="宋体"/>
      <w:color w:val="000000"/>
    </w:rPr>
  </w:style>
  <w:style w:type="paragraph" w:customStyle="1" w:styleId="3">
    <w:name w:val="样式 正文文本 + 首行缩进:  2 字符"/>
    <w:basedOn w:val="4"/>
    <w:autoRedefine/>
    <w:qFormat/>
    <w:uiPriority w:val="0"/>
    <w:pPr>
      <w:spacing w:after="0" w:line="500" w:lineRule="atLeast"/>
      <w:ind w:firstLine="200" w:firstLineChars="200"/>
    </w:pPr>
    <w:rPr>
      <w:kern w:val="0"/>
      <w:sz w:val="28"/>
      <w:szCs w:val="20"/>
    </w:rPr>
  </w:style>
  <w:style w:type="paragraph" w:styleId="4">
    <w:name w:val="Body Text"/>
    <w:basedOn w:val="1"/>
    <w:next w:val="5"/>
    <w:autoRedefine/>
    <w:qFormat/>
    <w:uiPriority w:val="99"/>
    <w:pPr>
      <w:spacing w:before="10"/>
      <w:ind w:right="16" w:firstLine="0"/>
    </w:pPr>
    <w:rPr>
      <w:rFonts w:ascii="Times New Roman" w:hAnsi="Times New Roman" w:eastAsia="宋体"/>
    </w:rPr>
  </w:style>
  <w:style w:type="paragraph" w:customStyle="1" w:styleId="5">
    <w:name w:val="Default"/>
    <w:basedOn w:val="6"/>
    <w:next w:val="1"/>
    <w:autoRedefine/>
    <w:unhideWhenUsed/>
    <w:qFormat/>
    <w:uiPriority w:val="0"/>
    <w:pPr>
      <w:autoSpaceDE w:val="0"/>
      <w:autoSpaceDN w:val="0"/>
    </w:pPr>
    <w:rPr>
      <w:rFonts w:hint="eastAsia" w:ascii="黑体" w:hAnsi="黑体" w:eastAsia="黑体"/>
      <w:color w:val="000000"/>
      <w:szCs w:val="22"/>
    </w:rPr>
  </w:style>
  <w:style w:type="paragraph" w:customStyle="1" w:styleId="6">
    <w:name w:val="纯文本1"/>
    <w:basedOn w:val="1"/>
    <w:autoRedefine/>
    <w:semiHidden/>
    <w:qFormat/>
    <w:uiPriority w:val="0"/>
    <w:pPr>
      <w:ind w:firstLine="200"/>
      <w:textAlignment w:val="baseline"/>
    </w:pPr>
    <w:rPr>
      <w:rFonts w:ascii="宋体" w:hAnsi="Courier New"/>
      <w:szCs w:val="20"/>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4970</Words>
  <Characters>5410</Characters>
  <Lines>0</Lines>
  <Paragraphs>0</Paragraphs>
  <TotalTime>8</TotalTime>
  <ScaleCrop>false</ScaleCrop>
  <LinksUpToDate>false</LinksUpToDate>
  <CharactersWithSpaces>5427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2024-09-25T09:35:00Z</dcterms:created>
  <dc:creator>lyx</dc:creator>
  <cp:lastModifiedBy>小猪vivi</cp:lastModifiedBy>
  <dcterms:modified xsi:type="dcterms:W3CDTF">2025-10-10T09:41:31Z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451AF4281A46419BBEBCD65A6E6E4F2F_13</vt:lpwstr>
  </property>
  <property fmtid="{D5CDD505-2E9C-101B-9397-08002B2CF9AE}" pid="4" name="KSOTemplateDocerSaveRecord">
    <vt:lpwstr>eyJoZGlkIjoiYzIxZjBmNWZlNmFlZjhlMDhkZTE4YTRlYTg1OWY3NmUiLCJ1c2VySWQiOiI0MDgxODU0OTAifQ==</vt:lpwstr>
  </property>
</Properties>
</file>