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2"/>
        <w:tblpPr w:leftFromText="180" w:rightFromText="180" w:vertAnchor="page" w:horzAnchor="margin" w:tblpX="108" w:tblpY="1597"/>
        <w:tblW w:w="0" w:type="auto"/>
        <w:tblInd w:w="0" w:type="dxa"/>
        <w:tblBorders>
          <w:top w:val="threeDEmboss" w:color="auto" w:sz="24" w:space="0"/>
          <w:left w:val="threeDEmboss" w:color="auto" w:sz="24" w:space="0"/>
          <w:bottom w:val="threeDEmboss" w:color="auto" w:sz="24" w:space="0"/>
          <w:right w:val="threeDEmboss" w:color="auto" w:sz="24" w:space="0"/>
          <w:insideH w:val="threeDEmboss" w:color="auto" w:sz="24" w:space="0"/>
          <w:insideV w:val="threeDEmboss" w:color="auto" w:sz="24" w:space="0"/>
        </w:tblBorders>
        <w:tblLayout w:type="fixed"/>
        <w:tblCellMar>
          <w:top w:w="0" w:type="dxa"/>
          <w:left w:w="108" w:type="dxa"/>
          <w:bottom w:w="0" w:type="dxa"/>
          <w:right w:w="108" w:type="dxa"/>
        </w:tblCellMar>
      </w:tblPr>
      <w:tblGrid>
        <w:gridCol w:w="3936"/>
      </w:tblGrid>
      <w:tr w14:paraId="5C110AB0">
        <w:tblPrEx>
          <w:tblBorders>
            <w:top w:val="threeDEmboss" w:color="auto" w:sz="24" w:space="0"/>
            <w:left w:val="threeDEmboss" w:color="auto" w:sz="24" w:space="0"/>
            <w:bottom w:val="threeDEmboss" w:color="auto" w:sz="24" w:space="0"/>
            <w:right w:val="threeDEmboss" w:color="auto" w:sz="24" w:space="0"/>
            <w:insideH w:val="threeDEmboss" w:color="auto" w:sz="24" w:space="0"/>
            <w:insideV w:val="threeDEmboss" w:color="auto" w:sz="24" w:space="0"/>
          </w:tblBorders>
          <w:tblCellMar>
            <w:top w:w="0" w:type="dxa"/>
            <w:left w:w="108" w:type="dxa"/>
            <w:bottom w:w="0" w:type="dxa"/>
            <w:right w:w="108" w:type="dxa"/>
          </w:tblCellMar>
        </w:tblPrEx>
        <w:trPr>
          <w:trHeight w:val="640" w:hRule="atLeast"/>
        </w:trPr>
        <w:tc>
          <w:tcPr>
            <w:tcW w:w="3936" w:type="dxa"/>
            <w:vAlign w:val="center"/>
          </w:tcPr>
          <w:p w14:paraId="2F7D8B7F">
            <w:pPr>
              <w:spacing w:line="240" w:lineRule="auto"/>
              <w:ind w:firstLine="0" w:firstLineChars="0"/>
              <w:jc w:val="center"/>
              <w:rPr>
                <w:bCs/>
              </w:rPr>
            </w:pPr>
            <w:bookmarkStart w:id="0" w:name="OLE_LINK1"/>
            <w:bookmarkStart w:id="1" w:name="OLE_LINK2"/>
            <w:bookmarkStart w:id="2" w:name="_Toc142706418"/>
            <w:bookmarkStart w:id="3" w:name="_Toc217717037"/>
            <w:bookmarkStart w:id="4" w:name="_Toc227126349"/>
            <w:bookmarkStart w:id="5" w:name="_Toc223798187"/>
            <w:r>
              <w:rPr>
                <w:bCs/>
              </w:rPr>
              <w:t>兴宁市亲水公园一区工程项目</w:t>
            </w:r>
          </w:p>
          <w:p w14:paraId="2D4839AD">
            <w:pPr>
              <w:spacing w:line="240" w:lineRule="auto"/>
              <w:ind w:firstLine="0" w:firstLineChars="0"/>
              <w:jc w:val="center"/>
              <w:rPr>
                <w:bCs/>
                <w:lang w:val="zh-CN"/>
              </w:rPr>
            </w:pPr>
            <w:r>
              <w:rPr>
                <w:bCs/>
                <w:lang w:val="zh-CN"/>
              </w:rPr>
              <w:t>水土保持设施验收</w:t>
            </w:r>
          </w:p>
        </w:tc>
      </w:tr>
    </w:tbl>
    <w:p w14:paraId="76CD6C26">
      <w:pPr>
        <w:ind w:firstLine="561"/>
        <w:rPr>
          <w:rFonts w:eastAsia="华文中宋"/>
          <w:b/>
          <w:bCs/>
          <w:sz w:val="28"/>
        </w:rPr>
      </w:pPr>
    </w:p>
    <w:p w14:paraId="3AE858EB">
      <w:pPr>
        <w:ind w:firstLine="561"/>
        <w:rPr>
          <w:rFonts w:eastAsia="华文中宋"/>
          <w:b/>
          <w:bCs/>
          <w:sz w:val="28"/>
        </w:rPr>
      </w:pPr>
    </w:p>
    <w:p w14:paraId="3F7B9488">
      <w:pPr>
        <w:ind w:firstLine="561"/>
        <w:rPr>
          <w:rFonts w:eastAsia="华文中宋"/>
          <w:b/>
          <w:bCs/>
          <w:sz w:val="28"/>
        </w:rPr>
      </w:pPr>
    </w:p>
    <w:p w14:paraId="3E5AD7A5">
      <w:pPr>
        <w:ind w:firstLine="561"/>
        <w:rPr>
          <w:rFonts w:eastAsia="华文中宋"/>
          <w:b/>
          <w:bCs/>
          <w:sz w:val="28"/>
        </w:rPr>
      </w:pPr>
    </w:p>
    <w:p w14:paraId="227B3467">
      <w:pPr>
        <w:ind w:firstLine="561"/>
        <w:rPr>
          <w:rFonts w:eastAsia="华文中宋"/>
          <w:b/>
          <w:bCs/>
          <w:sz w:val="28"/>
        </w:rPr>
      </w:pPr>
    </w:p>
    <w:p w14:paraId="7630FC74">
      <w:pPr>
        <w:ind w:firstLine="0" w:firstLineChars="0"/>
        <w:jc w:val="center"/>
        <w:rPr>
          <w:b/>
          <w:bCs/>
          <w:w w:val="80"/>
          <w:kern w:val="96"/>
          <w:sz w:val="44"/>
          <w:szCs w:val="44"/>
          <w:u w:color="FF0000"/>
        </w:rPr>
      </w:pPr>
      <w:r>
        <w:rPr>
          <w:b/>
          <w:bCs/>
          <w:w w:val="80"/>
          <w:kern w:val="96"/>
          <w:sz w:val="44"/>
          <w:szCs w:val="44"/>
          <w:u w:color="FF0000"/>
        </w:rPr>
        <w:t>兴宁市亲水公园一区工程项目</w:t>
      </w:r>
    </w:p>
    <w:p w14:paraId="3FE9CEC2">
      <w:pPr>
        <w:ind w:firstLine="0" w:firstLineChars="0"/>
        <w:jc w:val="center"/>
        <w:rPr>
          <w:rFonts w:eastAsia="黑体"/>
          <w:b/>
          <w:bCs/>
          <w:w w:val="80"/>
          <w:kern w:val="96"/>
          <w:sz w:val="72"/>
          <w:szCs w:val="72"/>
        </w:rPr>
      </w:pPr>
      <w:r>
        <w:rPr>
          <w:rFonts w:eastAsia="黑体"/>
          <w:b/>
          <w:bCs/>
          <w:w w:val="80"/>
          <w:kern w:val="96"/>
          <w:sz w:val="72"/>
          <w:szCs w:val="72"/>
        </w:rPr>
        <w:t>水土保持设施验收报告</w:t>
      </w:r>
    </w:p>
    <w:p w14:paraId="156B03C2">
      <w:pPr>
        <w:ind w:firstLine="0" w:firstLineChars="0"/>
        <w:jc w:val="center"/>
        <w:rPr>
          <w:bCs/>
        </w:rPr>
      </w:pPr>
    </w:p>
    <w:p w14:paraId="7BE2779F">
      <w:pPr>
        <w:ind w:firstLine="0" w:firstLineChars="0"/>
        <w:jc w:val="center"/>
        <w:rPr>
          <w:bCs/>
        </w:rPr>
      </w:pPr>
    </w:p>
    <w:p w14:paraId="71735D7F">
      <w:pPr>
        <w:adjustRightInd w:val="0"/>
        <w:snapToGrid w:val="0"/>
        <w:ind w:firstLine="0" w:firstLineChars="0"/>
        <w:jc w:val="center"/>
        <w:rPr>
          <w:bCs/>
        </w:rPr>
      </w:pPr>
    </w:p>
    <w:p w14:paraId="7F0019BE">
      <w:pPr>
        <w:adjustRightInd w:val="0"/>
        <w:snapToGrid w:val="0"/>
        <w:ind w:firstLine="0" w:firstLineChars="0"/>
        <w:jc w:val="center"/>
        <w:rPr>
          <w:bCs/>
        </w:rPr>
      </w:pPr>
    </w:p>
    <w:p w14:paraId="7D2A413F">
      <w:pPr>
        <w:adjustRightInd w:val="0"/>
        <w:snapToGrid w:val="0"/>
        <w:ind w:firstLine="0" w:firstLineChars="0"/>
        <w:jc w:val="center"/>
        <w:rPr>
          <w:bCs/>
        </w:rPr>
      </w:pPr>
    </w:p>
    <w:p w14:paraId="7382DCCD">
      <w:pPr>
        <w:adjustRightInd w:val="0"/>
        <w:snapToGrid w:val="0"/>
        <w:ind w:firstLine="0" w:firstLineChars="0"/>
        <w:jc w:val="center"/>
        <w:rPr>
          <w:bCs/>
        </w:rPr>
      </w:pPr>
    </w:p>
    <w:p w14:paraId="6DE899E5">
      <w:pPr>
        <w:adjustRightInd w:val="0"/>
        <w:snapToGrid w:val="0"/>
        <w:ind w:firstLine="0" w:firstLineChars="0"/>
        <w:jc w:val="center"/>
        <w:rPr>
          <w:bCs/>
        </w:rPr>
      </w:pPr>
    </w:p>
    <w:p w14:paraId="07C156A1">
      <w:pPr>
        <w:adjustRightInd w:val="0"/>
        <w:snapToGrid w:val="0"/>
        <w:ind w:firstLine="0" w:firstLineChars="0"/>
        <w:jc w:val="center"/>
        <w:rPr>
          <w:bCs/>
        </w:rPr>
      </w:pPr>
    </w:p>
    <w:p w14:paraId="0E36D9D0">
      <w:pPr>
        <w:adjustRightInd w:val="0"/>
        <w:snapToGrid w:val="0"/>
        <w:ind w:firstLine="0" w:firstLineChars="0"/>
        <w:jc w:val="center"/>
        <w:rPr>
          <w:bCs/>
        </w:rPr>
      </w:pPr>
    </w:p>
    <w:p w14:paraId="07233C12">
      <w:pPr>
        <w:adjustRightInd w:val="0"/>
        <w:snapToGrid w:val="0"/>
        <w:ind w:firstLine="0" w:firstLineChars="0"/>
        <w:jc w:val="center"/>
        <w:rPr>
          <w:bCs/>
        </w:rPr>
      </w:pPr>
    </w:p>
    <w:p w14:paraId="042C8D1D">
      <w:pPr>
        <w:adjustRightInd w:val="0"/>
        <w:snapToGrid w:val="0"/>
        <w:ind w:firstLine="0" w:firstLineChars="0"/>
        <w:jc w:val="center"/>
        <w:rPr>
          <w:bCs/>
        </w:rPr>
      </w:pPr>
    </w:p>
    <w:p w14:paraId="2B11CA14">
      <w:pPr>
        <w:adjustRightInd w:val="0"/>
        <w:snapToGrid w:val="0"/>
        <w:ind w:firstLine="0" w:firstLineChars="0"/>
        <w:jc w:val="center"/>
        <w:rPr>
          <w:bCs/>
        </w:rPr>
      </w:pPr>
    </w:p>
    <w:p w14:paraId="4766661E">
      <w:pPr>
        <w:adjustRightInd w:val="0"/>
        <w:snapToGrid w:val="0"/>
        <w:ind w:firstLine="0" w:firstLineChars="0"/>
        <w:jc w:val="center"/>
        <w:rPr>
          <w:bCs/>
        </w:rPr>
      </w:pPr>
    </w:p>
    <w:p w14:paraId="76D3AD52">
      <w:pPr>
        <w:adjustRightInd w:val="0"/>
        <w:snapToGrid w:val="0"/>
        <w:ind w:firstLine="0" w:firstLineChars="0"/>
        <w:jc w:val="center"/>
        <w:rPr>
          <w:bCs/>
        </w:rPr>
      </w:pPr>
    </w:p>
    <w:p w14:paraId="7E2CB96C">
      <w:pPr>
        <w:ind w:firstLine="0" w:firstLineChars="0"/>
        <w:jc w:val="center"/>
        <w:rPr>
          <w:bCs/>
        </w:rPr>
      </w:pPr>
    </w:p>
    <w:p w14:paraId="785F4204">
      <w:pPr>
        <w:ind w:firstLine="0" w:firstLineChars="0"/>
        <w:jc w:val="center"/>
        <w:rPr>
          <w:bCs/>
        </w:rPr>
      </w:pPr>
    </w:p>
    <w:p w14:paraId="44CA8AFD">
      <w:pPr>
        <w:widowControl/>
        <w:spacing w:beforeLines="50" w:afterLines="50"/>
        <w:ind w:firstLine="993" w:firstLineChars="309"/>
        <w:rPr>
          <w:rFonts w:hAnsi="宋体"/>
          <w:b/>
          <w:kern w:val="0"/>
          <w:sz w:val="32"/>
          <w:szCs w:val="32"/>
        </w:rPr>
      </w:pPr>
      <w:r>
        <w:rPr>
          <w:rFonts w:hAnsi="宋体"/>
          <w:b/>
          <w:kern w:val="0"/>
          <w:sz w:val="32"/>
          <w:szCs w:val="32"/>
        </w:rPr>
        <w:t>建设单位：</w:t>
      </w:r>
      <w:r>
        <w:rPr>
          <w:rFonts w:hint="eastAsia" w:hAnsi="宋体"/>
          <w:b/>
          <w:bCs/>
          <w:kern w:val="0"/>
          <w:sz w:val="32"/>
          <w:szCs w:val="32"/>
        </w:rPr>
        <w:t>兴宁市住房和城乡建设局</w:t>
      </w:r>
    </w:p>
    <w:p w14:paraId="5F8D673A">
      <w:pPr>
        <w:widowControl/>
        <w:spacing w:beforeLines="50" w:afterLines="50"/>
        <w:ind w:firstLine="964" w:firstLineChars="300"/>
        <w:jc w:val="left"/>
        <w:rPr>
          <w:rFonts w:hAnsi="宋体"/>
          <w:b/>
          <w:kern w:val="0"/>
          <w:sz w:val="32"/>
          <w:szCs w:val="32"/>
        </w:rPr>
      </w:pPr>
      <w:r>
        <w:rPr>
          <w:rFonts w:hAnsi="宋体"/>
          <w:b/>
          <w:kern w:val="0"/>
          <w:sz w:val="32"/>
          <w:szCs w:val="32"/>
        </w:rPr>
        <w:t>监测单位：</w:t>
      </w:r>
      <w:r>
        <w:rPr>
          <w:rFonts w:hint="eastAsia" w:hAnsi="宋体"/>
          <w:b/>
          <w:kern w:val="0"/>
          <w:sz w:val="32"/>
          <w:szCs w:val="32"/>
        </w:rPr>
        <w:t>兴宁市粤宁水利水电勘测设计有限公司</w:t>
      </w:r>
    </w:p>
    <w:p w14:paraId="6029CA8E">
      <w:pPr>
        <w:adjustRightInd w:val="0"/>
        <w:snapToGrid w:val="0"/>
        <w:spacing w:line="300" w:lineRule="auto"/>
        <w:ind w:firstLine="0" w:firstLineChars="0"/>
        <w:jc w:val="center"/>
        <w:rPr>
          <w:rFonts w:asciiTheme="minorEastAsia" w:hAnsiTheme="minorEastAsia" w:eastAsiaTheme="minorEastAsia"/>
          <w:b/>
          <w:sz w:val="30"/>
          <w:szCs w:val="30"/>
        </w:rPr>
      </w:pPr>
    </w:p>
    <w:p w14:paraId="61F5B939">
      <w:pPr>
        <w:adjustRightInd w:val="0"/>
        <w:snapToGrid w:val="0"/>
        <w:spacing w:line="300" w:lineRule="auto"/>
        <w:ind w:firstLine="0" w:firstLineChars="0"/>
        <w:jc w:val="center"/>
        <w:rPr>
          <w:rFonts w:asciiTheme="minorEastAsia" w:hAnsiTheme="minorEastAsia" w:eastAsiaTheme="minorEastAsia"/>
          <w:b/>
          <w:sz w:val="30"/>
          <w:szCs w:val="30"/>
        </w:rPr>
      </w:pPr>
      <w:r>
        <w:rPr>
          <w:rFonts w:asciiTheme="minorEastAsia" w:hAnsiTheme="minorEastAsia" w:eastAsiaTheme="minorEastAsia"/>
          <w:b/>
          <w:sz w:val="30"/>
          <w:szCs w:val="30"/>
        </w:rPr>
        <w:t>二〇二</w:t>
      </w:r>
      <w:r>
        <w:rPr>
          <w:rFonts w:hint="eastAsia" w:cs="宋体" w:asciiTheme="minorEastAsia" w:hAnsiTheme="minorEastAsia" w:eastAsiaTheme="minorEastAsia"/>
          <w:b/>
          <w:sz w:val="30"/>
          <w:szCs w:val="30"/>
        </w:rPr>
        <w:t>二</w:t>
      </w:r>
      <w:r>
        <w:rPr>
          <w:rFonts w:asciiTheme="minorEastAsia" w:hAnsiTheme="minorEastAsia" w:eastAsiaTheme="minorEastAsia"/>
          <w:b/>
          <w:sz w:val="30"/>
          <w:szCs w:val="30"/>
        </w:rPr>
        <w:t>年</w:t>
      </w:r>
      <w:r>
        <w:rPr>
          <w:rFonts w:hint="eastAsia" w:asciiTheme="minorEastAsia" w:hAnsiTheme="minorEastAsia" w:eastAsiaTheme="minorEastAsia"/>
          <w:b/>
          <w:sz w:val="30"/>
          <w:szCs w:val="30"/>
        </w:rPr>
        <w:t>六</w:t>
      </w:r>
      <w:r>
        <w:rPr>
          <w:rFonts w:asciiTheme="minorEastAsia" w:hAnsiTheme="minorEastAsia" w:eastAsiaTheme="minorEastAsia"/>
          <w:b/>
          <w:sz w:val="30"/>
          <w:szCs w:val="30"/>
        </w:rPr>
        <w:t>月</w:t>
      </w:r>
    </w:p>
    <w:p w14:paraId="0A34A6ED">
      <w:pPr>
        <w:ind w:firstLine="561"/>
        <w:rPr>
          <w:rFonts w:eastAsia="华文中宋"/>
          <w:b/>
          <w:bCs/>
          <w:sz w:val="28"/>
        </w:rPr>
      </w:pPr>
    </w:p>
    <w:p w14:paraId="408B3A5C">
      <w:pPr>
        <w:ind w:firstLine="561"/>
        <w:rPr>
          <w:rFonts w:eastAsia="华文中宋"/>
          <w:b/>
          <w:bCs/>
          <w:sz w:val="28"/>
        </w:rPr>
      </w:pPr>
    </w:p>
    <w:p w14:paraId="08D40210">
      <w:pPr>
        <w:ind w:firstLine="561"/>
        <w:rPr>
          <w:rFonts w:eastAsia="华文中宋"/>
          <w:b/>
          <w:bCs/>
          <w:sz w:val="28"/>
        </w:rPr>
      </w:pPr>
    </w:p>
    <w:p w14:paraId="2643114A">
      <w:pPr>
        <w:ind w:firstLine="561"/>
        <w:rPr>
          <w:rFonts w:eastAsia="华文中宋"/>
          <w:b/>
          <w:bCs/>
          <w:sz w:val="28"/>
        </w:rPr>
      </w:pPr>
    </w:p>
    <w:p w14:paraId="681E27AF">
      <w:pPr>
        <w:ind w:firstLine="561"/>
        <w:rPr>
          <w:rFonts w:eastAsia="华文中宋"/>
          <w:b/>
          <w:bCs/>
          <w:sz w:val="28"/>
        </w:rPr>
      </w:pPr>
    </w:p>
    <w:p w14:paraId="3A4EF8E8">
      <w:pPr>
        <w:ind w:firstLine="0" w:firstLineChars="0"/>
        <w:jc w:val="center"/>
        <w:rPr>
          <w:rFonts w:eastAsia="宋体"/>
          <w:b/>
          <w:bCs/>
          <w:w w:val="80"/>
          <w:kern w:val="96"/>
          <w:sz w:val="44"/>
          <w:szCs w:val="44"/>
        </w:rPr>
      </w:pPr>
      <w:r>
        <w:rPr>
          <w:b/>
          <w:bCs/>
          <w:w w:val="80"/>
          <w:kern w:val="96"/>
          <w:sz w:val="44"/>
          <w:szCs w:val="44"/>
          <w:u w:color="FF0000"/>
        </w:rPr>
        <w:t>兴宁市亲水公园一区工程项目</w:t>
      </w:r>
    </w:p>
    <w:p w14:paraId="164DFFD4">
      <w:pPr>
        <w:ind w:firstLine="0" w:firstLineChars="0"/>
        <w:jc w:val="center"/>
        <w:rPr>
          <w:rFonts w:eastAsia="黑体"/>
          <w:b/>
          <w:bCs/>
          <w:w w:val="80"/>
          <w:kern w:val="96"/>
          <w:sz w:val="72"/>
          <w:szCs w:val="72"/>
        </w:rPr>
      </w:pPr>
      <w:r>
        <w:rPr>
          <w:rFonts w:eastAsia="黑体"/>
          <w:b/>
          <w:bCs/>
          <w:w w:val="80"/>
          <w:kern w:val="96"/>
          <w:sz w:val="72"/>
          <w:szCs w:val="72"/>
        </w:rPr>
        <w:t>水土保持设施验收报告</w:t>
      </w:r>
    </w:p>
    <w:p w14:paraId="28695161">
      <w:pPr>
        <w:ind w:firstLine="0" w:firstLineChars="0"/>
        <w:jc w:val="center"/>
        <w:rPr>
          <w:bCs/>
          <w:sz w:val="28"/>
          <w:szCs w:val="28"/>
        </w:rPr>
      </w:pPr>
    </w:p>
    <w:p w14:paraId="63F86A97">
      <w:pPr>
        <w:ind w:firstLine="0" w:firstLineChars="0"/>
        <w:jc w:val="center"/>
        <w:rPr>
          <w:bCs/>
          <w:sz w:val="28"/>
          <w:szCs w:val="28"/>
        </w:rPr>
      </w:pPr>
    </w:p>
    <w:p w14:paraId="511CFE06">
      <w:pPr>
        <w:ind w:firstLine="0" w:firstLineChars="0"/>
        <w:jc w:val="center"/>
        <w:rPr>
          <w:bCs/>
        </w:rPr>
      </w:pPr>
    </w:p>
    <w:p w14:paraId="7B08D6CE">
      <w:pPr>
        <w:ind w:firstLine="0" w:firstLineChars="0"/>
        <w:jc w:val="center"/>
        <w:rPr>
          <w:bCs/>
        </w:rPr>
      </w:pPr>
    </w:p>
    <w:p w14:paraId="023083B4">
      <w:pPr>
        <w:ind w:firstLine="0" w:firstLineChars="0"/>
        <w:jc w:val="center"/>
        <w:rPr>
          <w:bCs/>
        </w:rPr>
      </w:pPr>
    </w:p>
    <w:p w14:paraId="48B31AB6">
      <w:pPr>
        <w:ind w:firstLine="0" w:firstLineChars="0"/>
        <w:jc w:val="center"/>
        <w:rPr>
          <w:bCs/>
        </w:rPr>
      </w:pPr>
    </w:p>
    <w:p w14:paraId="71C0525D">
      <w:pPr>
        <w:ind w:firstLine="0" w:firstLineChars="0"/>
        <w:jc w:val="center"/>
        <w:rPr>
          <w:bCs/>
        </w:rPr>
      </w:pPr>
    </w:p>
    <w:p w14:paraId="06F37D85">
      <w:pPr>
        <w:ind w:firstLine="0" w:firstLineChars="0"/>
        <w:jc w:val="center"/>
        <w:rPr>
          <w:bCs/>
        </w:rPr>
      </w:pPr>
    </w:p>
    <w:p w14:paraId="404AFB16">
      <w:pPr>
        <w:ind w:firstLine="0" w:firstLineChars="0"/>
        <w:jc w:val="center"/>
        <w:rPr>
          <w:bCs/>
        </w:rPr>
      </w:pPr>
    </w:p>
    <w:p w14:paraId="6A6A0AF8">
      <w:pPr>
        <w:ind w:firstLine="0" w:firstLineChars="0"/>
        <w:jc w:val="center"/>
        <w:rPr>
          <w:bCs/>
        </w:rPr>
      </w:pPr>
    </w:p>
    <w:p w14:paraId="6B96CAFC">
      <w:pPr>
        <w:ind w:firstLine="0" w:firstLineChars="0"/>
        <w:jc w:val="center"/>
        <w:rPr>
          <w:bCs/>
        </w:rPr>
      </w:pPr>
    </w:p>
    <w:p w14:paraId="18CE71EE">
      <w:pPr>
        <w:ind w:firstLine="0" w:firstLineChars="0"/>
        <w:jc w:val="center"/>
        <w:rPr>
          <w:bCs/>
        </w:rPr>
      </w:pPr>
    </w:p>
    <w:p w14:paraId="3E90532D">
      <w:pPr>
        <w:ind w:firstLine="0" w:firstLineChars="0"/>
        <w:jc w:val="center"/>
        <w:rPr>
          <w:bCs/>
        </w:rPr>
      </w:pPr>
    </w:p>
    <w:p w14:paraId="5E4A04E7">
      <w:pPr>
        <w:ind w:firstLine="0" w:firstLineChars="0"/>
        <w:jc w:val="center"/>
        <w:rPr>
          <w:bCs/>
        </w:rPr>
      </w:pPr>
    </w:p>
    <w:p w14:paraId="01ECBF88">
      <w:pPr>
        <w:ind w:firstLine="0" w:firstLineChars="0"/>
        <w:jc w:val="center"/>
        <w:rPr>
          <w:bCs/>
        </w:rPr>
      </w:pPr>
    </w:p>
    <w:p w14:paraId="7F9AB081">
      <w:pPr>
        <w:ind w:firstLine="0" w:firstLineChars="0"/>
        <w:jc w:val="center"/>
        <w:rPr>
          <w:bCs/>
        </w:rPr>
      </w:pPr>
    </w:p>
    <w:p w14:paraId="7B36D45B">
      <w:pPr>
        <w:widowControl/>
        <w:spacing w:beforeLines="50" w:afterLines="50"/>
        <w:ind w:firstLine="993" w:firstLineChars="309"/>
        <w:rPr>
          <w:rFonts w:hAnsi="宋体"/>
          <w:b/>
          <w:kern w:val="0"/>
          <w:sz w:val="32"/>
          <w:szCs w:val="32"/>
        </w:rPr>
      </w:pPr>
      <w:r>
        <w:rPr>
          <w:rFonts w:hAnsi="宋体"/>
          <w:b/>
          <w:kern w:val="0"/>
          <w:sz w:val="32"/>
          <w:szCs w:val="32"/>
        </w:rPr>
        <w:t>建设单位：</w:t>
      </w:r>
      <w:r>
        <w:rPr>
          <w:rFonts w:hint="eastAsia" w:hAnsi="宋体"/>
          <w:b/>
          <w:bCs/>
          <w:kern w:val="0"/>
          <w:sz w:val="32"/>
          <w:szCs w:val="32"/>
        </w:rPr>
        <w:t>兴宁市住房和城乡建设局</w:t>
      </w:r>
    </w:p>
    <w:p w14:paraId="116F8AA9">
      <w:pPr>
        <w:widowControl/>
        <w:spacing w:beforeLines="50" w:afterLines="50"/>
        <w:ind w:firstLine="964" w:firstLineChars="300"/>
        <w:jc w:val="left"/>
        <w:rPr>
          <w:rFonts w:hAnsi="宋体"/>
          <w:b/>
          <w:kern w:val="0"/>
          <w:sz w:val="32"/>
          <w:szCs w:val="32"/>
        </w:rPr>
      </w:pPr>
      <w:r>
        <w:rPr>
          <w:rFonts w:hAnsi="宋体"/>
          <w:b/>
          <w:kern w:val="0"/>
          <w:sz w:val="32"/>
          <w:szCs w:val="32"/>
        </w:rPr>
        <w:t>监测单位：</w:t>
      </w:r>
      <w:r>
        <w:rPr>
          <w:rFonts w:hint="eastAsia" w:hAnsi="宋体"/>
          <w:b/>
          <w:kern w:val="0"/>
          <w:sz w:val="32"/>
          <w:szCs w:val="32"/>
        </w:rPr>
        <w:t>兴宁市粤宁水利水电勘测设计有限公司</w:t>
      </w:r>
    </w:p>
    <w:p w14:paraId="2DDCED0B">
      <w:pPr>
        <w:adjustRightInd w:val="0"/>
        <w:snapToGrid w:val="0"/>
        <w:spacing w:line="300" w:lineRule="auto"/>
        <w:ind w:firstLine="0" w:firstLineChars="0"/>
        <w:jc w:val="center"/>
        <w:rPr>
          <w:rFonts w:eastAsia="黑体"/>
          <w:bCs/>
          <w:sz w:val="30"/>
          <w:szCs w:val="30"/>
        </w:rPr>
        <w:sectPr>
          <w:headerReference r:id="rId7" w:type="first"/>
          <w:footerReference r:id="rId10" w:type="first"/>
          <w:headerReference r:id="rId5" w:type="default"/>
          <w:footerReference r:id="rId8" w:type="default"/>
          <w:headerReference r:id="rId6" w:type="even"/>
          <w:footerReference r:id="rId9" w:type="even"/>
          <w:pgSz w:w="11906" w:h="16838"/>
          <w:pgMar w:top="1440" w:right="1797" w:bottom="1440" w:left="1797" w:header="851" w:footer="992" w:gutter="0"/>
          <w:pgNumType w:start="1"/>
          <w:cols w:space="720" w:num="1"/>
          <w:docGrid w:linePitch="312" w:charSpace="0"/>
        </w:sectPr>
      </w:pPr>
      <w:r>
        <w:rPr>
          <w:b/>
          <w:sz w:val="30"/>
          <w:szCs w:val="30"/>
        </w:rPr>
        <w:t>二</w:t>
      </w:r>
      <w:r>
        <w:rPr>
          <w:rFonts w:hint="eastAsia" w:ascii="宋体" w:hAnsi="宋体" w:eastAsia="宋体" w:cs="宋体"/>
          <w:b/>
          <w:sz w:val="30"/>
          <w:szCs w:val="30"/>
        </w:rPr>
        <w:t>〇</w:t>
      </w:r>
      <w:r>
        <w:rPr>
          <w:b/>
          <w:sz w:val="30"/>
          <w:szCs w:val="30"/>
        </w:rPr>
        <w:t>二</w:t>
      </w:r>
      <w:r>
        <w:rPr>
          <w:rFonts w:hint="eastAsia"/>
          <w:b/>
          <w:sz w:val="30"/>
          <w:szCs w:val="30"/>
        </w:rPr>
        <w:t>二</w:t>
      </w:r>
      <w:r>
        <w:rPr>
          <w:b/>
          <w:sz w:val="30"/>
          <w:szCs w:val="30"/>
        </w:rPr>
        <w:t>年</w:t>
      </w:r>
      <w:r>
        <w:rPr>
          <w:rFonts w:hint="eastAsia"/>
          <w:b/>
          <w:sz w:val="30"/>
          <w:szCs w:val="30"/>
        </w:rPr>
        <w:t>六</w:t>
      </w:r>
      <w:r>
        <w:rPr>
          <w:b/>
          <w:sz w:val="30"/>
          <w:szCs w:val="30"/>
        </w:rPr>
        <w:t>月</w:t>
      </w:r>
    </w:p>
    <w:p w14:paraId="4A621490">
      <w:pPr>
        <w:autoSpaceDE w:val="0"/>
        <w:autoSpaceDN w:val="0"/>
        <w:adjustRightInd w:val="0"/>
        <w:ind w:firstLine="0" w:firstLineChars="0"/>
        <w:jc w:val="center"/>
        <w:rPr>
          <w:rFonts w:hAnsi="宋体"/>
          <w:b/>
          <w:sz w:val="36"/>
          <w:szCs w:val="28"/>
        </w:rPr>
      </w:pPr>
      <w:r>
        <w:rPr>
          <w:sz w:val="32"/>
          <w:szCs w:val="32"/>
        </w:rPr>
        <w:drawing>
          <wp:inline distT="0" distB="0" distL="0" distR="0">
            <wp:extent cx="5400040" cy="3855720"/>
            <wp:effectExtent l="1905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6"/>
                    <a:srcRect l="8592" t="3574" r="4295"/>
                    <a:stretch>
                      <a:fillRect/>
                    </a:stretch>
                  </pic:blipFill>
                  <pic:spPr>
                    <a:xfrm>
                      <a:off x="0" y="0"/>
                      <a:ext cx="5400040" cy="3855720"/>
                    </a:xfrm>
                    <a:prstGeom prst="rect">
                      <a:avLst/>
                    </a:prstGeom>
                    <a:noFill/>
                    <a:ln w="9525">
                      <a:noFill/>
                      <a:miter lim="800000"/>
                      <a:headEnd/>
                      <a:tailEnd/>
                    </a:ln>
                  </pic:spPr>
                </pic:pic>
              </a:graphicData>
            </a:graphic>
          </wp:inline>
        </w:drawing>
      </w:r>
    </w:p>
    <w:p w14:paraId="51CC144E">
      <w:pPr>
        <w:autoSpaceDE w:val="0"/>
        <w:autoSpaceDN w:val="0"/>
        <w:adjustRightInd w:val="0"/>
        <w:ind w:firstLine="0" w:firstLineChars="0"/>
        <w:jc w:val="center"/>
        <w:rPr>
          <w:rFonts w:hAnsi="宋体"/>
          <w:b/>
          <w:sz w:val="36"/>
          <w:szCs w:val="28"/>
        </w:rPr>
      </w:pPr>
      <w:r>
        <w:rPr>
          <w:sz w:val="32"/>
          <w:szCs w:val="32"/>
        </w:rPr>
        <w:drawing>
          <wp:inline distT="0" distB="0" distL="0" distR="0">
            <wp:extent cx="5400040" cy="7522210"/>
            <wp:effectExtent l="1905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7"/>
                    <a:srcRect l="1906" t="1971" r="1747"/>
                    <a:stretch>
                      <a:fillRect/>
                    </a:stretch>
                  </pic:blipFill>
                  <pic:spPr>
                    <a:xfrm>
                      <a:off x="0" y="0"/>
                      <a:ext cx="5400040" cy="7522210"/>
                    </a:xfrm>
                    <a:prstGeom prst="rect">
                      <a:avLst/>
                    </a:prstGeom>
                    <a:noFill/>
                    <a:ln w="9525">
                      <a:noFill/>
                      <a:miter lim="800000"/>
                      <a:headEnd/>
                      <a:tailEnd/>
                    </a:ln>
                  </pic:spPr>
                </pic:pic>
              </a:graphicData>
            </a:graphic>
          </wp:inline>
        </w:drawing>
      </w:r>
    </w:p>
    <w:p w14:paraId="29CAC2AA">
      <w:pPr>
        <w:widowControl/>
        <w:spacing w:line="240" w:lineRule="auto"/>
        <w:ind w:firstLine="0" w:firstLineChars="0"/>
        <w:jc w:val="left"/>
        <w:rPr>
          <w:rFonts w:hAnsi="宋体"/>
          <w:b/>
          <w:sz w:val="36"/>
          <w:szCs w:val="28"/>
        </w:rPr>
      </w:pPr>
      <w:r>
        <w:rPr>
          <w:rFonts w:hAnsi="宋体"/>
          <w:b/>
          <w:sz w:val="36"/>
          <w:szCs w:val="28"/>
        </w:rPr>
        <w:br w:type="page"/>
      </w:r>
    </w:p>
    <w:p w14:paraId="088E3945">
      <w:pPr>
        <w:autoSpaceDE w:val="0"/>
        <w:autoSpaceDN w:val="0"/>
        <w:adjustRightInd w:val="0"/>
        <w:ind w:firstLine="0" w:firstLineChars="0"/>
        <w:jc w:val="center"/>
        <w:rPr>
          <w:b/>
          <w:sz w:val="36"/>
          <w:szCs w:val="28"/>
        </w:rPr>
      </w:pPr>
      <w:r>
        <w:rPr>
          <w:rFonts w:hAnsi="宋体"/>
          <w:b/>
          <w:sz w:val="36"/>
          <w:szCs w:val="28"/>
        </w:rPr>
        <w:t>兴宁市亲水公园一区工程项目</w:t>
      </w:r>
    </w:p>
    <w:p w14:paraId="3F5FCC14">
      <w:pPr>
        <w:autoSpaceDE w:val="0"/>
        <w:autoSpaceDN w:val="0"/>
        <w:adjustRightInd w:val="0"/>
        <w:ind w:firstLine="0" w:firstLineChars="0"/>
        <w:jc w:val="center"/>
        <w:rPr>
          <w:b/>
          <w:sz w:val="36"/>
          <w:szCs w:val="28"/>
        </w:rPr>
      </w:pPr>
      <w:r>
        <w:rPr>
          <w:rFonts w:hAnsi="宋体"/>
          <w:b/>
          <w:sz w:val="36"/>
          <w:szCs w:val="28"/>
        </w:rPr>
        <w:t>水土保持设施验收报告书</w:t>
      </w:r>
    </w:p>
    <w:p w14:paraId="5C6F644A">
      <w:pPr>
        <w:autoSpaceDE w:val="0"/>
        <w:autoSpaceDN w:val="0"/>
        <w:adjustRightInd w:val="0"/>
        <w:ind w:firstLine="0" w:firstLineChars="0"/>
        <w:jc w:val="center"/>
        <w:rPr>
          <w:b/>
          <w:sz w:val="36"/>
          <w:szCs w:val="28"/>
        </w:rPr>
      </w:pPr>
      <w:r>
        <w:rPr>
          <w:rFonts w:hAnsi="宋体"/>
          <w:b/>
          <w:sz w:val="36"/>
          <w:szCs w:val="28"/>
        </w:rPr>
        <w:t>责任页</w:t>
      </w:r>
    </w:p>
    <w:p w14:paraId="4B79927A">
      <w:pPr>
        <w:autoSpaceDE w:val="0"/>
        <w:autoSpaceDN w:val="0"/>
        <w:adjustRightInd w:val="0"/>
        <w:ind w:firstLine="0" w:firstLineChars="0"/>
        <w:jc w:val="center"/>
        <w:rPr>
          <w:b/>
          <w:sz w:val="36"/>
          <w:szCs w:val="28"/>
        </w:rPr>
      </w:pPr>
      <w:r>
        <w:rPr>
          <w:rFonts w:hAnsi="宋体"/>
          <w:b/>
          <w:sz w:val="36"/>
          <w:szCs w:val="28"/>
        </w:rPr>
        <w:t>（</w:t>
      </w:r>
      <w:r>
        <w:rPr>
          <w:rFonts w:hint="eastAsia" w:hAnsi="宋体"/>
          <w:b/>
          <w:kern w:val="0"/>
          <w:sz w:val="32"/>
          <w:szCs w:val="32"/>
        </w:rPr>
        <w:t>兴宁市粤宁水利水电勘测设计有限公司</w:t>
      </w:r>
      <w:r>
        <w:rPr>
          <w:rFonts w:hAnsi="宋体"/>
          <w:b/>
          <w:sz w:val="36"/>
          <w:szCs w:val="28"/>
        </w:rPr>
        <w:t>）</w:t>
      </w:r>
    </w:p>
    <w:p w14:paraId="3F304BB9">
      <w:pPr>
        <w:autoSpaceDE w:val="0"/>
        <w:autoSpaceDN w:val="0"/>
        <w:adjustRightInd w:val="0"/>
        <w:ind w:firstLine="562"/>
        <w:jc w:val="left"/>
        <w:rPr>
          <w:b/>
          <w:sz w:val="28"/>
          <w:szCs w:val="28"/>
        </w:rPr>
      </w:pPr>
    </w:p>
    <w:p w14:paraId="2D8B20BA">
      <w:pPr>
        <w:autoSpaceDE w:val="0"/>
        <w:autoSpaceDN w:val="0"/>
        <w:adjustRightInd w:val="0"/>
        <w:ind w:firstLine="562"/>
        <w:jc w:val="left"/>
        <w:rPr>
          <w:b/>
          <w:sz w:val="28"/>
          <w:szCs w:val="28"/>
        </w:rPr>
      </w:pPr>
    </w:p>
    <w:p w14:paraId="51A39052">
      <w:pPr>
        <w:autoSpaceDE w:val="0"/>
        <w:autoSpaceDN w:val="0"/>
        <w:adjustRightInd w:val="0"/>
        <w:ind w:firstLine="562"/>
        <w:jc w:val="left"/>
        <w:rPr>
          <w:b/>
          <w:sz w:val="28"/>
          <w:szCs w:val="28"/>
        </w:rPr>
      </w:pPr>
    </w:p>
    <w:p w14:paraId="6925C107">
      <w:pPr>
        <w:autoSpaceDE w:val="0"/>
        <w:autoSpaceDN w:val="0"/>
        <w:adjustRightInd w:val="0"/>
        <w:ind w:firstLine="562"/>
        <w:jc w:val="left"/>
        <w:rPr>
          <w:b/>
          <w:sz w:val="28"/>
          <w:szCs w:val="28"/>
        </w:rPr>
      </w:pPr>
    </w:p>
    <w:bookmarkEnd w:id="0"/>
    <w:bookmarkEnd w:id="1"/>
    <w:p w14:paraId="6B0BC3E2">
      <w:pPr>
        <w:autoSpaceDE w:val="0"/>
        <w:autoSpaceDN w:val="0"/>
        <w:adjustRightInd w:val="0"/>
        <w:snapToGrid w:val="0"/>
        <w:spacing w:line="720" w:lineRule="auto"/>
        <w:ind w:firstLine="562"/>
        <w:jc w:val="left"/>
        <w:rPr>
          <w:sz w:val="28"/>
          <w:szCs w:val="28"/>
        </w:rPr>
      </w:pPr>
      <w:r>
        <w:rPr>
          <w:b/>
          <w:sz w:val="28"/>
          <w:szCs w:val="28"/>
        </w:rPr>
        <w:t>批</w:t>
      </w:r>
      <w:r>
        <w:rPr>
          <w:rFonts w:hint="eastAsia"/>
          <w:b/>
          <w:sz w:val="28"/>
          <w:szCs w:val="28"/>
        </w:rPr>
        <w:t xml:space="preserve">      </w:t>
      </w:r>
      <w:r>
        <w:rPr>
          <w:b/>
          <w:sz w:val="28"/>
          <w:szCs w:val="28"/>
        </w:rPr>
        <w:t>准：</w:t>
      </w:r>
      <w:r>
        <w:rPr>
          <w:rFonts w:hint="eastAsia"/>
          <w:sz w:val="28"/>
          <w:szCs w:val="28"/>
        </w:rPr>
        <w:t>石春辉</w:t>
      </w:r>
      <w:r>
        <w:rPr>
          <w:sz w:val="28"/>
          <w:szCs w:val="28"/>
        </w:rPr>
        <w:t>（</w:t>
      </w:r>
      <w:r>
        <w:rPr>
          <w:rFonts w:hint="eastAsia"/>
          <w:sz w:val="28"/>
          <w:szCs w:val="28"/>
        </w:rPr>
        <w:t>法人代表</w:t>
      </w:r>
      <w:r>
        <w:rPr>
          <w:sz w:val="28"/>
          <w:szCs w:val="28"/>
        </w:rPr>
        <w:t>）</w:t>
      </w:r>
    </w:p>
    <w:p w14:paraId="1B9EEF11">
      <w:pPr>
        <w:autoSpaceDE w:val="0"/>
        <w:autoSpaceDN w:val="0"/>
        <w:adjustRightInd w:val="0"/>
        <w:snapToGrid w:val="0"/>
        <w:spacing w:line="720" w:lineRule="auto"/>
        <w:ind w:firstLine="562"/>
        <w:jc w:val="left"/>
        <w:rPr>
          <w:sz w:val="28"/>
          <w:szCs w:val="28"/>
        </w:rPr>
      </w:pPr>
      <w:r>
        <w:rPr>
          <w:b/>
          <w:sz w:val="28"/>
          <w:szCs w:val="28"/>
        </w:rPr>
        <w:t>核</w:t>
      </w:r>
      <w:r>
        <w:rPr>
          <w:rFonts w:hint="eastAsia"/>
          <w:b/>
          <w:sz w:val="28"/>
          <w:szCs w:val="28"/>
        </w:rPr>
        <w:t xml:space="preserve">      </w:t>
      </w:r>
      <w:r>
        <w:rPr>
          <w:b/>
          <w:sz w:val="28"/>
          <w:szCs w:val="28"/>
        </w:rPr>
        <w:t>定：</w:t>
      </w:r>
      <w:r>
        <w:rPr>
          <w:rFonts w:hint="eastAsia"/>
          <w:sz w:val="28"/>
          <w:szCs w:val="28"/>
        </w:rPr>
        <w:t>石春辉</w:t>
      </w:r>
      <w:r>
        <w:rPr>
          <w:sz w:val="28"/>
          <w:szCs w:val="28"/>
        </w:rPr>
        <w:t>（</w:t>
      </w:r>
      <w:r>
        <w:rPr>
          <w:rFonts w:hint="eastAsia"/>
          <w:sz w:val="28"/>
          <w:szCs w:val="28"/>
        </w:rPr>
        <w:t>法人代表</w:t>
      </w:r>
      <w:r>
        <w:rPr>
          <w:sz w:val="28"/>
          <w:szCs w:val="28"/>
        </w:rPr>
        <w:t>）</w:t>
      </w:r>
    </w:p>
    <w:p w14:paraId="03EAC8FD">
      <w:pPr>
        <w:autoSpaceDE w:val="0"/>
        <w:autoSpaceDN w:val="0"/>
        <w:adjustRightInd w:val="0"/>
        <w:snapToGrid w:val="0"/>
        <w:spacing w:line="720" w:lineRule="auto"/>
        <w:ind w:firstLine="562"/>
        <w:jc w:val="left"/>
        <w:rPr>
          <w:rFonts w:hint="eastAsia"/>
          <w:sz w:val="28"/>
          <w:szCs w:val="28"/>
        </w:rPr>
      </w:pPr>
      <w:r>
        <w:rPr>
          <w:b/>
          <w:sz w:val="28"/>
          <w:szCs w:val="28"/>
        </w:rPr>
        <w:t>审</w:t>
      </w:r>
      <w:r>
        <w:rPr>
          <w:rFonts w:hint="eastAsia"/>
          <w:b/>
          <w:sz w:val="28"/>
          <w:szCs w:val="28"/>
        </w:rPr>
        <w:t xml:space="preserve">      </w:t>
      </w:r>
      <w:r>
        <w:rPr>
          <w:b/>
          <w:sz w:val="28"/>
          <w:szCs w:val="28"/>
        </w:rPr>
        <w:t>查：</w:t>
      </w:r>
      <w:r>
        <w:rPr>
          <w:sz w:val="28"/>
          <w:szCs w:val="28"/>
        </w:rPr>
        <w:t xml:space="preserve"> </w:t>
      </w:r>
      <w:r>
        <w:rPr>
          <w:rFonts w:hint="eastAsia"/>
          <w:sz w:val="28"/>
          <w:szCs w:val="28"/>
        </w:rPr>
        <w:t>李子军（技术负责人）</w:t>
      </w:r>
    </w:p>
    <w:p w14:paraId="03F1FC08">
      <w:pPr>
        <w:autoSpaceDE w:val="0"/>
        <w:autoSpaceDN w:val="0"/>
        <w:adjustRightInd w:val="0"/>
        <w:snapToGrid w:val="0"/>
        <w:spacing w:line="720" w:lineRule="auto"/>
        <w:ind w:firstLine="562"/>
        <w:jc w:val="left"/>
        <w:rPr>
          <w:sz w:val="28"/>
          <w:szCs w:val="28"/>
        </w:rPr>
      </w:pPr>
      <w:r>
        <w:rPr>
          <w:b/>
          <w:sz w:val="28"/>
          <w:szCs w:val="28"/>
        </w:rPr>
        <w:t>校</w:t>
      </w:r>
      <w:r>
        <w:rPr>
          <w:rFonts w:hint="eastAsia"/>
          <w:b/>
          <w:sz w:val="28"/>
          <w:szCs w:val="28"/>
        </w:rPr>
        <w:t xml:space="preserve">      </w:t>
      </w:r>
      <w:r>
        <w:rPr>
          <w:b/>
          <w:sz w:val="28"/>
          <w:szCs w:val="28"/>
        </w:rPr>
        <w:t>核：</w:t>
      </w:r>
      <w:r>
        <w:rPr>
          <w:sz w:val="28"/>
          <w:szCs w:val="28"/>
        </w:rPr>
        <w:t xml:space="preserve"> </w:t>
      </w:r>
      <w:r>
        <w:rPr>
          <w:rFonts w:hint="eastAsia"/>
          <w:sz w:val="28"/>
          <w:szCs w:val="28"/>
        </w:rPr>
        <w:t>张文武（高级工程师）</w:t>
      </w:r>
    </w:p>
    <w:p w14:paraId="10821A41">
      <w:pPr>
        <w:autoSpaceDE w:val="0"/>
        <w:autoSpaceDN w:val="0"/>
        <w:adjustRightInd w:val="0"/>
        <w:snapToGrid w:val="0"/>
        <w:spacing w:line="720" w:lineRule="auto"/>
        <w:ind w:firstLine="562"/>
        <w:jc w:val="left"/>
        <w:rPr>
          <w:sz w:val="28"/>
          <w:szCs w:val="28"/>
        </w:rPr>
      </w:pPr>
      <w:r>
        <w:rPr>
          <w:b/>
          <w:sz w:val="28"/>
          <w:szCs w:val="28"/>
        </w:rPr>
        <w:t>项目负责人：</w:t>
      </w:r>
      <w:r>
        <w:rPr>
          <w:sz w:val="28"/>
          <w:szCs w:val="28"/>
        </w:rPr>
        <w:t xml:space="preserve"> </w:t>
      </w:r>
      <w:r>
        <w:rPr>
          <w:rFonts w:hint="eastAsia"/>
          <w:sz w:val="28"/>
          <w:szCs w:val="28"/>
        </w:rPr>
        <w:t>彭超</w:t>
      </w:r>
    </w:p>
    <w:p w14:paraId="7EA946E5">
      <w:pPr>
        <w:autoSpaceDE w:val="0"/>
        <w:autoSpaceDN w:val="0"/>
        <w:adjustRightInd w:val="0"/>
        <w:snapToGrid w:val="0"/>
        <w:spacing w:line="720" w:lineRule="auto"/>
        <w:ind w:firstLine="562"/>
        <w:jc w:val="left"/>
        <w:rPr>
          <w:sz w:val="28"/>
          <w:szCs w:val="28"/>
        </w:rPr>
      </w:pPr>
      <w:r>
        <w:rPr>
          <w:b/>
          <w:sz w:val="28"/>
          <w:szCs w:val="28"/>
        </w:rPr>
        <w:t>编</w:t>
      </w:r>
      <w:r>
        <w:rPr>
          <w:rFonts w:hint="eastAsia"/>
          <w:b/>
          <w:sz w:val="28"/>
          <w:szCs w:val="28"/>
        </w:rPr>
        <w:t xml:space="preserve">      </w:t>
      </w:r>
      <w:r>
        <w:rPr>
          <w:b/>
          <w:sz w:val="28"/>
          <w:szCs w:val="28"/>
        </w:rPr>
        <w:t>写：</w:t>
      </w:r>
      <w:r>
        <w:rPr>
          <w:sz w:val="28"/>
          <w:szCs w:val="28"/>
        </w:rPr>
        <w:t xml:space="preserve"> </w:t>
      </w:r>
      <w:r>
        <w:rPr>
          <w:rFonts w:hint="eastAsia"/>
          <w:sz w:val="28"/>
          <w:szCs w:val="28"/>
        </w:rPr>
        <w:t>黄森林</w:t>
      </w:r>
      <w:r>
        <w:rPr>
          <w:sz w:val="28"/>
          <w:szCs w:val="28"/>
        </w:rPr>
        <w:br w:type="page"/>
      </w:r>
    </w:p>
    <w:p w14:paraId="26580F7B">
      <w:pPr>
        <w:spacing w:line="520" w:lineRule="atLeast"/>
        <w:ind w:firstLine="0" w:firstLineChars="0"/>
        <w:jc w:val="center"/>
        <w:rPr>
          <w:rFonts w:eastAsiaTheme="majorEastAsia"/>
          <w:b/>
          <w:bCs/>
          <w:sz w:val="44"/>
          <w:szCs w:val="44"/>
        </w:rPr>
      </w:pPr>
      <w:r>
        <w:rPr>
          <w:rFonts w:hAnsiTheme="majorEastAsia" w:eastAsiaTheme="majorEastAsia"/>
          <w:b/>
          <w:bCs/>
          <w:sz w:val="32"/>
          <w:szCs w:val="32"/>
        </w:rPr>
        <w:t>目</w:t>
      </w:r>
      <w:r>
        <w:rPr>
          <w:rFonts w:eastAsiaTheme="majorEastAsia"/>
          <w:b/>
          <w:bCs/>
          <w:sz w:val="32"/>
          <w:szCs w:val="32"/>
        </w:rPr>
        <w:t xml:space="preserve">  </w:t>
      </w:r>
      <w:r>
        <w:rPr>
          <w:rFonts w:hAnsiTheme="majorEastAsia" w:eastAsiaTheme="majorEastAsia"/>
          <w:b/>
          <w:bCs/>
          <w:sz w:val="32"/>
          <w:szCs w:val="32"/>
        </w:rPr>
        <w:t>录</w:t>
      </w:r>
    </w:p>
    <w:p w14:paraId="69D31E70">
      <w:pPr>
        <w:pStyle w:val="22"/>
        <w:rPr>
          <w:rFonts w:asciiTheme="minorHAnsi" w:hAnsiTheme="minorHAnsi" w:eastAsiaTheme="minorEastAsia" w:cstheme="minorBidi"/>
          <w:b w:val="0"/>
          <w:bCs w:val="0"/>
          <w:caps w:val="0"/>
          <w:sz w:val="21"/>
          <w:szCs w:val="22"/>
        </w:rPr>
      </w:pPr>
      <w:r>
        <w:rPr>
          <w:rFonts w:ascii="Times New Roman" w:hAnsi="Times New Roman"/>
          <w:b w:val="0"/>
          <w:bCs w:val="0"/>
          <w:caps w:val="0"/>
          <w:sz w:val="24"/>
          <w:szCs w:val="24"/>
        </w:rPr>
        <w:fldChar w:fldCharType="begin"/>
      </w:r>
      <w:r>
        <w:rPr>
          <w:rFonts w:ascii="Times New Roman" w:hAnsi="Times New Roman"/>
          <w:b w:val="0"/>
          <w:bCs w:val="0"/>
          <w:caps w:val="0"/>
          <w:sz w:val="24"/>
          <w:szCs w:val="24"/>
        </w:rPr>
        <w:instrText xml:space="preserve"> TOC \o "1-2" \h \z \u </w:instrText>
      </w:r>
      <w:r>
        <w:rPr>
          <w:rFonts w:ascii="Times New Roman" w:hAnsi="Times New Roman"/>
          <w:b w:val="0"/>
          <w:bCs w:val="0"/>
          <w:caps w:val="0"/>
          <w:sz w:val="24"/>
          <w:szCs w:val="24"/>
        </w:rPr>
        <w:fldChar w:fldCharType="separate"/>
      </w:r>
      <w:r>
        <w:fldChar w:fldCharType="begin"/>
      </w:r>
      <w:r>
        <w:instrText xml:space="preserve"> HYPERLINK \l "_Toc108445714" </w:instrText>
      </w:r>
      <w:r>
        <w:fldChar w:fldCharType="separate"/>
      </w:r>
      <w:r>
        <w:rPr>
          <w:rStyle w:val="37"/>
          <w:rFonts w:hint="eastAsia"/>
        </w:rPr>
        <w:t>前言</w:t>
      </w:r>
      <w:r>
        <w:tab/>
      </w:r>
      <w:r>
        <w:fldChar w:fldCharType="begin"/>
      </w:r>
      <w:r>
        <w:instrText xml:space="preserve"> PAGEREF _Toc108445714 \h </w:instrText>
      </w:r>
      <w:r>
        <w:fldChar w:fldCharType="separate"/>
      </w:r>
      <w:r>
        <w:t>1</w:t>
      </w:r>
      <w:r>
        <w:fldChar w:fldCharType="end"/>
      </w:r>
      <w:r>
        <w:fldChar w:fldCharType="end"/>
      </w:r>
    </w:p>
    <w:p w14:paraId="75E92F68">
      <w:pPr>
        <w:pStyle w:val="22"/>
        <w:ind w:firstLine="562"/>
        <w:rPr>
          <w:rFonts w:asciiTheme="minorHAnsi" w:hAnsiTheme="minorHAnsi" w:eastAsiaTheme="minorEastAsia" w:cstheme="minorBidi"/>
          <w:b w:val="0"/>
          <w:bCs w:val="0"/>
          <w:caps w:val="0"/>
          <w:sz w:val="21"/>
          <w:szCs w:val="22"/>
        </w:rPr>
      </w:pPr>
      <w:r>
        <w:fldChar w:fldCharType="begin"/>
      </w:r>
      <w:r>
        <w:instrText xml:space="preserve"> HYPERLINK \l "_Toc108445715" </w:instrText>
      </w:r>
      <w:r>
        <w:fldChar w:fldCharType="separate"/>
      </w:r>
      <w:r>
        <w:rPr>
          <w:rStyle w:val="37"/>
        </w:rPr>
        <w:t xml:space="preserve">1 </w:t>
      </w:r>
      <w:r>
        <w:rPr>
          <w:rStyle w:val="37"/>
          <w:rFonts w:hint="eastAsia"/>
        </w:rPr>
        <w:t>项目及项目区概况</w:t>
      </w:r>
      <w:r>
        <w:tab/>
      </w:r>
      <w:r>
        <w:fldChar w:fldCharType="begin"/>
      </w:r>
      <w:r>
        <w:instrText xml:space="preserve"> PAGEREF _Toc108445715 \h </w:instrText>
      </w:r>
      <w:r>
        <w:fldChar w:fldCharType="separate"/>
      </w:r>
      <w:r>
        <w:t>3</w:t>
      </w:r>
      <w:r>
        <w:fldChar w:fldCharType="end"/>
      </w:r>
      <w:r>
        <w:fldChar w:fldCharType="end"/>
      </w:r>
    </w:p>
    <w:p w14:paraId="5BB0D4CC">
      <w:pPr>
        <w:pStyle w:val="26"/>
        <w:ind w:firstLine="560"/>
        <w:rPr>
          <w:rFonts w:asciiTheme="minorHAnsi" w:hAnsiTheme="minorHAnsi" w:eastAsiaTheme="minorEastAsia" w:cstheme="minorBidi"/>
          <w:smallCaps w:val="0"/>
          <w:sz w:val="21"/>
          <w:szCs w:val="22"/>
        </w:rPr>
      </w:pPr>
      <w:r>
        <w:fldChar w:fldCharType="begin"/>
      </w:r>
      <w:r>
        <w:instrText xml:space="preserve"> HYPERLINK \l "_Toc108445716" </w:instrText>
      </w:r>
      <w:r>
        <w:fldChar w:fldCharType="separate"/>
      </w:r>
      <w:r>
        <w:rPr>
          <w:rStyle w:val="37"/>
          <w:rFonts w:eastAsia="宋体"/>
        </w:rPr>
        <w:t xml:space="preserve">1.1 </w:t>
      </w:r>
      <w:r>
        <w:rPr>
          <w:rStyle w:val="37"/>
          <w:rFonts w:hint="eastAsia" w:eastAsia="宋体"/>
        </w:rPr>
        <w:t>项目概况</w:t>
      </w:r>
      <w:r>
        <w:tab/>
      </w:r>
      <w:r>
        <w:fldChar w:fldCharType="begin"/>
      </w:r>
      <w:r>
        <w:instrText xml:space="preserve"> PAGEREF _Toc108445716 \h </w:instrText>
      </w:r>
      <w:r>
        <w:fldChar w:fldCharType="separate"/>
      </w:r>
      <w:r>
        <w:t>3</w:t>
      </w:r>
      <w:r>
        <w:fldChar w:fldCharType="end"/>
      </w:r>
      <w:r>
        <w:fldChar w:fldCharType="end"/>
      </w:r>
    </w:p>
    <w:p w14:paraId="1F0AA4FC">
      <w:pPr>
        <w:pStyle w:val="26"/>
        <w:ind w:firstLine="560"/>
        <w:rPr>
          <w:rFonts w:asciiTheme="minorHAnsi" w:hAnsiTheme="minorHAnsi" w:eastAsiaTheme="minorEastAsia" w:cstheme="minorBidi"/>
          <w:smallCaps w:val="0"/>
          <w:sz w:val="21"/>
          <w:szCs w:val="22"/>
        </w:rPr>
      </w:pPr>
      <w:r>
        <w:fldChar w:fldCharType="begin"/>
      </w:r>
      <w:r>
        <w:instrText xml:space="preserve"> HYPERLINK \l "_Toc108445717" </w:instrText>
      </w:r>
      <w:r>
        <w:fldChar w:fldCharType="separate"/>
      </w:r>
      <w:r>
        <w:rPr>
          <w:rStyle w:val="37"/>
          <w:rFonts w:eastAsia="宋体"/>
        </w:rPr>
        <w:t xml:space="preserve">1.2 </w:t>
      </w:r>
      <w:r>
        <w:rPr>
          <w:rStyle w:val="37"/>
          <w:rFonts w:hint="eastAsia" w:eastAsia="宋体"/>
        </w:rPr>
        <w:t>项目区概况</w:t>
      </w:r>
      <w:r>
        <w:tab/>
      </w:r>
      <w:r>
        <w:fldChar w:fldCharType="begin"/>
      </w:r>
      <w:r>
        <w:instrText xml:space="preserve"> PAGEREF _Toc108445717 \h </w:instrText>
      </w:r>
      <w:r>
        <w:fldChar w:fldCharType="separate"/>
      </w:r>
      <w:r>
        <w:t>5</w:t>
      </w:r>
      <w:r>
        <w:fldChar w:fldCharType="end"/>
      </w:r>
      <w:r>
        <w:fldChar w:fldCharType="end"/>
      </w:r>
    </w:p>
    <w:p w14:paraId="66A6E5D7">
      <w:pPr>
        <w:pStyle w:val="22"/>
        <w:ind w:firstLine="562"/>
        <w:rPr>
          <w:rFonts w:asciiTheme="minorHAnsi" w:hAnsiTheme="minorHAnsi" w:eastAsiaTheme="minorEastAsia" w:cstheme="minorBidi"/>
          <w:b w:val="0"/>
          <w:bCs w:val="0"/>
          <w:caps w:val="0"/>
          <w:sz w:val="21"/>
          <w:szCs w:val="22"/>
        </w:rPr>
      </w:pPr>
      <w:r>
        <w:fldChar w:fldCharType="begin"/>
      </w:r>
      <w:r>
        <w:instrText xml:space="preserve"> HYPERLINK \l "_Toc108445718" </w:instrText>
      </w:r>
      <w:r>
        <w:fldChar w:fldCharType="separate"/>
      </w:r>
      <w:r>
        <w:rPr>
          <w:rStyle w:val="37"/>
        </w:rPr>
        <w:t xml:space="preserve">2 </w:t>
      </w:r>
      <w:r>
        <w:rPr>
          <w:rStyle w:val="37"/>
          <w:rFonts w:hint="eastAsia"/>
        </w:rPr>
        <w:t>水土保持方案和设计情况</w:t>
      </w:r>
      <w:r>
        <w:tab/>
      </w:r>
      <w:r>
        <w:fldChar w:fldCharType="begin"/>
      </w:r>
      <w:r>
        <w:instrText xml:space="preserve"> PAGEREF _Toc108445718 \h </w:instrText>
      </w:r>
      <w:r>
        <w:fldChar w:fldCharType="separate"/>
      </w:r>
      <w:r>
        <w:t>8</w:t>
      </w:r>
      <w:r>
        <w:fldChar w:fldCharType="end"/>
      </w:r>
      <w:r>
        <w:fldChar w:fldCharType="end"/>
      </w:r>
    </w:p>
    <w:p w14:paraId="0A0E7964">
      <w:pPr>
        <w:pStyle w:val="26"/>
        <w:ind w:firstLine="560"/>
        <w:rPr>
          <w:rFonts w:asciiTheme="minorHAnsi" w:hAnsiTheme="minorHAnsi" w:eastAsiaTheme="minorEastAsia" w:cstheme="minorBidi"/>
          <w:smallCaps w:val="0"/>
          <w:sz w:val="21"/>
          <w:szCs w:val="22"/>
        </w:rPr>
      </w:pPr>
      <w:r>
        <w:fldChar w:fldCharType="begin"/>
      </w:r>
      <w:r>
        <w:instrText xml:space="preserve"> HYPERLINK \l "_Toc108445719" </w:instrText>
      </w:r>
      <w:r>
        <w:fldChar w:fldCharType="separate"/>
      </w:r>
      <w:r>
        <w:rPr>
          <w:rStyle w:val="37"/>
          <w:rFonts w:eastAsia="宋体"/>
        </w:rPr>
        <w:t xml:space="preserve">2.1 </w:t>
      </w:r>
      <w:r>
        <w:rPr>
          <w:rStyle w:val="37"/>
          <w:rFonts w:hint="eastAsia" w:eastAsia="宋体"/>
        </w:rPr>
        <w:t>主体工程设计</w:t>
      </w:r>
      <w:r>
        <w:tab/>
      </w:r>
      <w:r>
        <w:fldChar w:fldCharType="begin"/>
      </w:r>
      <w:r>
        <w:instrText xml:space="preserve"> PAGEREF _Toc108445719 \h </w:instrText>
      </w:r>
      <w:r>
        <w:fldChar w:fldCharType="separate"/>
      </w:r>
      <w:r>
        <w:t>8</w:t>
      </w:r>
      <w:r>
        <w:fldChar w:fldCharType="end"/>
      </w:r>
      <w:r>
        <w:fldChar w:fldCharType="end"/>
      </w:r>
    </w:p>
    <w:p w14:paraId="3108ACF9">
      <w:pPr>
        <w:pStyle w:val="26"/>
        <w:ind w:firstLine="560"/>
        <w:rPr>
          <w:rFonts w:asciiTheme="minorHAnsi" w:hAnsiTheme="minorHAnsi" w:eastAsiaTheme="minorEastAsia" w:cstheme="minorBidi"/>
          <w:smallCaps w:val="0"/>
          <w:sz w:val="21"/>
          <w:szCs w:val="22"/>
        </w:rPr>
      </w:pPr>
      <w:r>
        <w:fldChar w:fldCharType="begin"/>
      </w:r>
      <w:r>
        <w:instrText xml:space="preserve"> HYPERLINK \l "_Toc108445720" </w:instrText>
      </w:r>
      <w:r>
        <w:fldChar w:fldCharType="separate"/>
      </w:r>
      <w:r>
        <w:rPr>
          <w:rStyle w:val="37"/>
          <w:rFonts w:eastAsia="宋体"/>
        </w:rPr>
        <w:t xml:space="preserve">2.2 </w:t>
      </w:r>
      <w:r>
        <w:rPr>
          <w:rStyle w:val="37"/>
          <w:rFonts w:hint="eastAsia" w:eastAsia="宋体"/>
        </w:rPr>
        <w:t>水土保持方案</w:t>
      </w:r>
      <w:r>
        <w:tab/>
      </w:r>
      <w:r>
        <w:fldChar w:fldCharType="begin"/>
      </w:r>
      <w:r>
        <w:instrText xml:space="preserve"> PAGEREF _Toc108445720 \h </w:instrText>
      </w:r>
      <w:r>
        <w:fldChar w:fldCharType="separate"/>
      </w:r>
      <w:r>
        <w:t>8</w:t>
      </w:r>
      <w:r>
        <w:fldChar w:fldCharType="end"/>
      </w:r>
      <w:r>
        <w:fldChar w:fldCharType="end"/>
      </w:r>
    </w:p>
    <w:p w14:paraId="0728B432">
      <w:pPr>
        <w:pStyle w:val="26"/>
        <w:ind w:firstLine="560"/>
        <w:rPr>
          <w:rFonts w:asciiTheme="minorHAnsi" w:hAnsiTheme="minorHAnsi" w:eastAsiaTheme="minorEastAsia" w:cstheme="minorBidi"/>
          <w:smallCaps w:val="0"/>
          <w:sz w:val="21"/>
          <w:szCs w:val="22"/>
        </w:rPr>
      </w:pPr>
      <w:r>
        <w:fldChar w:fldCharType="begin"/>
      </w:r>
      <w:r>
        <w:instrText xml:space="preserve"> HYPERLINK \l "_Toc108445721" </w:instrText>
      </w:r>
      <w:r>
        <w:fldChar w:fldCharType="separate"/>
      </w:r>
      <w:r>
        <w:rPr>
          <w:rStyle w:val="37"/>
          <w:rFonts w:eastAsia="宋体"/>
        </w:rPr>
        <w:t xml:space="preserve">2.3 </w:t>
      </w:r>
      <w:r>
        <w:rPr>
          <w:rStyle w:val="37"/>
          <w:rFonts w:hint="eastAsia" w:eastAsia="宋体"/>
        </w:rPr>
        <w:t>水土保持方案变更</w:t>
      </w:r>
      <w:r>
        <w:tab/>
      </w:r>
      <w:r>
        <w:fldChar w:fldCharType="begin"/>
      </w:r>
      <w:r>
        <w:instrText xml:space="preserve"> PAGEREF _Toc108445721 \h </w:instrText>
      </w:r>
      <w:r>
        <w:fldChar w:fldCharType="separate"/>
      </w:r>
      <w:r>
        <w:t>9</w:t>
      </w:r>
      <w:r>
        <w:fldChar w:fldCharType="end"/>
      </w:r>
      <w:r>
        <w:fldChar w:fldCharType="end"/>
      </w:r>
    </w:p>
    <w:p w14:paraId="7D5C38DE">
      <w:pPr>
        <w:pStyle w:val="26"/>
        <w:ind w:firstLine="560"/>
        <w:rPr>
          <w:rFonts w:asciiTheme="minorHAnsi" w:hAnsiTheme="minorHAnsi" w:eastAsiaTheme="minorEastAsia" w:cstheme="minorBidi"/>
          <w:smallCaps w:val="0"/>
          <w:sz w:val="21"/>
          <w:szCs w:val="22"/>
        </w:rPr>
      </w:pPr>
      <w:r>
        <w:fldChar w:fldCharType="begin"/>
      </w:r>
      <w:r>
        <w:instrText xml:space="preserve"> HYPERLINK \l "_Toc108445722" </w:instrText>
      </w:r>
      <w:r>
        <w:fldChar w:fldCharType="separate"/>
      </w:r>
      <w:r>
        <w:rPr>
          <w:rStyle w:val="37"/>
          <w:rFonts w:eastAsia="宋体"/>
        </w:rPr>
        <w:t xml:space="preserve">2.4 </w:t>
      </w:r>
      <w:r>
        <w:rPr>
          <w:rStyle w:val="37"/>
          <w:rFonts w:hint="eastAsia" w:eastAsia="宋体"/>
        </w:rPr>
        <w:t>水土保持后续设计</w:t>
      </w:r>
      <w:r>
        <w:tab/>
      </w:r>
      <w:r>
        <w:fldChar w:fldCharType="begin"/>
      </w:r>
      <w:r>
        <w:instrText xml:space="preserve"> PAGEREF _Toc108445722 \h </w:instrText>
      </w:r>
      <w:r>
        <w:fldChar w:fldCharType="separate"/>
      </w:r>
      <w:r>
        <w:t>9</w:t>
      </w:r>
      <w:r>
        <w:fldChar w:fldCharType="end"/>
      </w:r>
      <w:r>
        <w:fldChar w:fldCharType="end"/>
      </w:r>
    </w:p>
    <w:p w14:paraId="54D7F5E6">
      <w:pPr>
        <w:pStyle w:val="22"/>
        <w:ind w:firstLine="562"/>
        <w:rPr>
          <w:rFonts w:asciiTheme="minorHAnsi" w:hAnsiTheme="minorHAnsi" w:eastAsiaTheme="minorEastAsia" w:cstheme="minorBidi"/>
          <w:b w:val="0"/>
          <w:bCs w:val="0"/>
          <w:caps w:val="0"/>
          <w:sz w:val="21"/>
          <w:szCs w:val="22"/>
        </w:rPr>
      </w:pPr>
      <w:r>
        <w:fldChar w:fldCharType="begin"/>
      </w:r>
      <w:r>
        <w:instrText xml:space="preserve"> HYPERLINK \l "_Toc108445723" </w:instrText>
      </w:r>
      <w:r>
        <w:fldChar w:fldCharType="separate"/>
      </w:r>
      <w:r>
        <w:rPr>
          <w:rStyle w:val="37"/>
        </w:rPr>
        <w:t xml:space="preserve">3 </w:t>
      </w:r>
      <w:r>
        <w:rPr>
          <w:rStyle w:val="37"/>
          <w:rFonts w:hint="eastAsia"/>
        </w:rPr>
        <w:t>水土保持方案实施情况</w:t>
      </w:r>
      <w:r>
        <w:tab/>
      </w:r>
      <w:r>
        <w:fldChar w:fldCharType="begin"/>
      </w:r>
      <w:r>
        <w:instrText xml:space="preserve"> PAGEREF _Toc108445723 \h </w:instrText>
      </w:r>
      <w:r>
        <w:fldChar w:fldCharType="separate"/>
      </w:r>
      <w:r>
        <w:t>10</w:t>
      </w:r>
      <w:r>
        <w:fldChar w:fldCharType="end"/>
      </w:r>
      <w:r>
        <w:fldChar w:fldCharType="end"/>
      </w:r>
    </w:p>
    <w:p w14:paraId="276DDEC4">
      <w:pPr>
        <w:pStyle w:val="26"/>
        <w:ind w:firstLine="560"/>
        <w:rPr>
          <w:rFonts w:asciiTheme="minorHAnsi" w:hAnsiTheme="minorHAnsi" w:eastAsiaTheme="minorEastAsia" w:cstheme="minorBidi"/>
          <w:smallCaps w:val="0"/>
          <w:sz w:val="21"/>
          <w:szCs w:val="22"/>
        </w:rPr>
      </w:pPr>
      <w:r>
        <w:fldChar w:fldCharType="begin"/>
      </w:r>
      <w:r>
        <w:instrText xml:space="preserve"> HYPERLINK \l "_Toc108445724" </w:instrText>
      </w:r>
      <w:r>
        <w:fldChar w:fldCharType="separate"/>
      </w:r>
      <w:r>
        <w:rPr>
          <w:rStyle w:val="37"/>
          <w:rFonts w:eastAsia="宋体"/>
        </w:rPr>
        <w:t xml:space="preserve">3.1 </w:t>
      </w:r>
      <w:r>
        <w:rPr>
          <w:rStyle w:val="37"/>
          <w:rFonts w:hint="eastAsia" w:eastAsia="宋体"/>
        </w:rPr>
        <w:t>水土流失防治责任范围</w:t>
      </w:r>
      <w:r>
        <w:tab/>
      </w:r>
      <w:r>
        <w:fldChar w:fldCharType="begin"/>
      </w:r>
      <w:r>
        <w:instrText xml:space="preserve"> PAGEREF _Toc108445724 \h </w:instrText>
      </w:r>
      <w:r>
        <w:fldChar w:fldCharType="separate"/>
      </w:r>
      <w:r>
        <w:t>10</w:t>
      </w:r>
      <w:r>
        <w:fldChar w:fldCharType="end"/>
      </w:r>
      <w:r>
        <w:fldChar w:fldCharType="end"/>
      </w:r>
    </w:p>
    <w:p w14:paraId="4DE64AFE">
      <w:pPr>
        <w:pStyle w:val="26"/>
        <w:ind w:firstLine="560"/>
        <w:rPr>
          <w:rFonts w:asciiTheme="minorHAnsi" w:hAnsiTheme="minorHAnsi" w:eastAsiaTheme="minorEastAsia" w:cstheme="minorBidi"/>
          <w:smallCaps w:val="0"/>
          <w:sz w:val="21"/>
          <w:szCs w:val="22"/>
        </w:rPr>
      </w:pPr>
      <w:r>
        <w:fldChar w:fldCharType="begin"/>
      </w:r>
      <w:r>
        <w:instrText xml:space="preserve"> HYPERLINK \l "_Toc108445725" </w:instrText>
      </w:r>
      <w:r>
        <w:fldChar w:fldCharType="separate"/>
      </w:r>
      <w:r>
        <w:rPr>
          <w:rStyle w:val="37"/>
          <w:rFonts w:eastAsia="宋体"/>
        </w:rPr>
        <w:t xml:space="preserve">3.2 </w:t>
      </w:r>
      <w:r>
        <w:rPr>
          <w:rStyle w:val="37"/>
          <w:rFonts w:hint="eastAsia" w:eastAsia="宋体"/>
        </w:rPr>
        <w:t>弃渣场</w:t>
      </w:r>
      <w:r>
        <w:tab/>
      </w:r>
      <w:r>
        <w:fldChar w:fldCharType="begin"/>
      </w:r>
      <w:r>
        <w:instrText xml:space="preserve"> PAGEREF _Toc108445725 \h </w:instrText>
      </w:r>
      <w:r>
        <w:fldChar w:fldCharType="separate"/>
      </w:r>
      <w:r>
        <w:t>10</w:t>
      </w:r>
      <w:r>
        <w:fldChar w:fldCharType="end"/>
      </w:r>
      <w:r>
        <w:fldChar w:fldCharType="end"/>
      </w:r>
    </w:p>
    <w:p w14:paraId="07C3FB5E">
      <w:pPr>
        <w:pStyle w:val="26"/>
        <w:ind w:firstLine="560"/>
        <w:rPr>
          <w:rFonts w:asciiTheme="minorHAnsi" w:hAnsiTheme="minorHAnsi" w:eastAsiaTheme="minorEastAsia" w:cstheme="minorBidi"/>
          <w:smallCaps w:val="0"/>
          <w:sz w:val="21"/>
          <w:szCs w:val="22"/>
        </w:rPr>
      </w:pPr>
      <w:r>
        <w:fldChar w:fldCharType="begin"/>
      </w:r>
      <w:r>
        <w:instrText xml:space="preserve"> HYPERLINK \l "_Toc108445726" </w:instrText>
      </w:r>
      <w:r>
        <w:fldChar w:fldCharType="separate"/>
      </w:r>
      <w:r>
        <w:rPr>
          <w:rStyle w:val="37"/>
          <w:rFonts w:eastAsia="宋体"/>
        </w:rPr>
        <w:t xml:space="preserve">3.3 </w:t>
      </w:r>
      <w:r>
        <w:rPr>
          <w:rStyle w:val="37"/>
          <w:rFonts w:hint="eastAsia" w:eastAsia="宋体"/>
        </w:rPr>
        <w:t>取土场</w:t>
      </w:r>
      <w:r>
        <w:tab/>
      </w:r>
      <w:r>
        <w:fldChar w:fldCharType="begin"/>
      </w:r>
      <w:r>
        <w:instrText xml:space="preserve"> PAGEREF _Toc108445726 \h </w:instrText>
      </w:r>
      <w:r>
        <w:fldChar w:fldCharType="separate"/>
      </w:r>
      <w:r>
        <w:t>10</w:t>
      </w:r>
      <w:r>
        <w:fldChar w:fldCharType="end"/>
      </w:r>
      <w:r>
        <w:fldChar w:fldCharType="end"/>
      </w:r>
    </w:p>
    <w:p w14:paraId="65144FB2">
      <w:pPr>
        <w:pStyle w:val="26"/>
        <w:ind w:firstLine="560"/>
        <w:rPr>
          <w:rFonts w:asciiTheme="minorHAnsi" w:hAnsiTheme="minorHAnsi" w:eastAsiaTheme="minorEastAsia" w:cstheme="minorBidi"/>
          <w:smallCaps w:val="0"/>
          <w:sz w:val="21"/>
          <w:szCs w:val="22"/>
        </w:rPr>
      </w:pPr>
      <w:r>
        <w:fldChar w:fldCharType="begin"/>
      </w:r>
      <w:r>
        <w:instrText xml:space="preserve"> HYPERLINK \l "_Toc108445727" </w:instrText>
      </w:r>
      <w:r>
        <w:fldChar w:fldCharType="separate"/>
      </w:r>
      <w:r>
        <w:rPr>
          <w:rStyle w:val="37"/>
          <w:rFonts w:eastAsia="宋体"/>
        </w:rPr>
        <w:t xml:space="preserve">3.4 </w:t>
      </w:r>
      <w:r>
        <w:rPr>
          <w:rStyle w:val="37"/>
          <w:rFonts w:hint="eastAsia" w:eastAsia="宋体"/>
        </w:rPr>
        <w:t>水土保持措施总体布局</w:t>
      </w:r>
      <w:r>
        <w:tab/>
      </w:r>
      <w:r>
        <w:fldChar w:fldCharType="begin"/>
      </w:r>
      <w:r>
        <w:instrText xml:space="preserve"> PAGEREF _Toc108445727 \h </w:instrText>
      </w:r>
      <w:r>
        <w:fldChar w:fldCharType="separate"/>
      </w:r>
      <w:r>
        <w:t>10</w:t>
      </w:r>
      <w:r>
        <w:fldChar w:fldCharType="end"/>
      </w:r>
      <w:r>
        <w:fldChar w:fldCharType="end"/>
      </w:r>
    </w:p>
    <w:p w14:paraId="1AFAEE5B">
      <w:pPr>
        <w:pStyle w:val="26"/>
        <w:ind w:firstLine="560"/>
        <w:rPr>
          <w:rFonts w:asciiTheme="minorHAnsi" w:hAnsiTheme="minorHAnsi" w:eastAsiaTheme="minorEastAsia" w:cstheme="minorBidi"/>
          <w:smallCaps w:val="0"/>
          <w:sz w:val="21"/>
          <w:szCs w:val="22"/>
        </w:rPr>
      </w:pPr>
      <w:r>
        <w:fldChar w:fldCharType="begin"/>
      </w:r>
      <w:r>
        <w:instrText xml:space="preserve"> HYPERLINK \l "_Toc108445728" </w:instrText>
      </w:r>
      <w:r>
        <w:fldChar w:fldCharType="separate"/>
      </w:r>
      <w:r>
        <w:rPr>
          <w:rStyle w:val="37"/>
          <w:rFonts w:eastAsia="宋体"/>
        </w:rPr>
        <w:t xml:space="preserve">3.5 </w:t>
      </w:r>
      <w:r>
        <w:rPr>
          <w:rStyle w:val="37"/>
          <w:rFonts w:hint="eastAsia" w:eastAsia="宋体"/>
        </w:rPr>
        <w:t>水土保持设施完成情况</w:t>
      </w:r>
      <w:r>
        <w:tab/>
      </w:r>
      <w:r>
        <w:fldChar w:fldCharType="begin"/>
      </w:r>
      <w:r>
        <w:instrText xml:space="preserve"> PAGEREF _Toc108445728 \h </w:instrText>
      </w:r>
      <w:r>
        <w:fldChar w:fldCharType="separate"/>
      </w:r>
      <w:r>
        <w:t>12</w:t>
      </w:r>
      <w:r>
        <w:fldChar w:fldCharType="end"/>
      </w:r>
      <w:r>
        <w:fldChar w:fldCharType="end"/>
      </w:r>
    </w:p>
    <w:p w14:paraId="465C5E08">
      <w:pPr>
        <w:pStyle w:val="26"/>
        <w:ind w:firstLine="560"/>
        <w:rPr>
          <w:rFonts w:asciiTheme="minorHAnsi" w:hAnsiTheme="minorHAnsi" w:eastAsiaTheme="minorEastAsia" w:cstheme="minorBidi"/>
          <w:smallCaps w:val="0"/>
          <w:sz w:val="21"/>
          <w:szCs w:val="22"/>
        </w:rPr>
      </w:pPr>
      <w:r>
        <w:fldChar w:fldCharType="begin"/>
      </w:r>
      <w:r>
        <w:instrText xml:space="preserve"> HYPERLINK \l "_Toc108445729" </w:instrText>
      </w:r>
      <w:r>
        <w:fldChar w:fldCharType="separate"/>
      </w:r>
      <w:r>
        <w:rPr>
          <w:rStyle w:val="37"/>
          <w:rFonts w:eastAsia="宋体"/>
        </w:rPr>
        <w:t xml:space="preserve">3.6 </w:t>
      </w:r>
      <w:r>
        <w:rPr>
          <w:rStyle w:val="37"/>
          <w:rFonts w:hint="eastAsia" w:eastAsia="宋体"/>
        </w:rPr>
        <w:t>水土保持投资完成情况</w:t>
      </w:r>
      <w:r>
        <w:tab/>
      </w:r>
      <w:r>
        <w:fldChar w:fldCharType="begin"/>
      </w:r>
      <w:r>
        <w:instrText xml:space="preserve"> PAGEREF _Toc108445729 \h </w:instrText>
      </w:r>
      <w:r>
        <w:fldChar w:fldCharType="separate"/>
      </w:r>
      <w:r>
        <w:t>16</w:t>
      </w:r>
      <w:r>
        <w:fldChar w:fldCharType="end"/>
      </w:r>
      <w:r>
        <w:fldChar w:fldCharType="end"/>
      </w:r>
    </w:p>
    <w:p w14:paraId="2ED4AC14">
      <w:pPr>
        <w:pStyle w:val="22"/>
        <w:ind w:firstLine="562"/>
        <w:rPr>
          <w:rFonts w:asciiTheme="minorHAnsi" w:hAnsiTheme="minorHAnsi" w:eastAsiaTheme="minorEastAsia" w:cstheme="minorBidi"/>
          <w:b w:val="0"/>
          <w:bCs w:val="0"/>
          <w:caps w:val="0"/>
          <w:sz w:val="21"/>
          <w:szCs w:val="22"/>
        </w:rPr>
      </w:pPr>
      <w:r>
        <w:fldChar w:fldCharType="begin"/>
      </w:r>
      <w:r>
        <w:instrText xml:space="preserve"> HYPERLINK \l "_Toc108445730" </w:instrText>
      </w:r>
      <w:r>
        <w:fldChar w:fldCharType="separate"/>
      </w:r>
      <w:r>
        <w:rPr>
          <w:rStyle w:val="37"/>
        </w:rPr>
        <w:t xml:space="preserve">4 </w:t>
      </w:r>
      <w:r>
        <w:rPr>
          <w:rStyle w:val="37"/>
          <w:rFonts w:hint="eastAsia"/>
        </w:rPr>
        <w:t>水土保持工程质量</w:t>
      </w:r>
      <w:r>
        <w:tab/>
      </w:r>
      <w:r>
        <w:fldChar w:fldCharType="begin"/>
      </w:r>
      <w:r>
        <w:instrText xml:space="preserve"> PAGEREF _Toc108445730 \h </w:instrText>
      </w:r>
      <w:r>
        <w:fldChar w:fldCharType="separate"/>
      </w:r>
      <w:r>
        <w:t>19</w:t>
      </w:r>
      <w:r>
        <w:fldChar w:fldCharType="end"/>
      </w:r>
      <w:r>
        <w:fldChar w:fldCharType="end"/>
      </w:r>
    </w:p>
    <w:p w14:paraId="103F19CD">
      <w:pPr>
        <w:pStyle w:val="26"/>
        <w:ind w:firstLine="560"/>
        <w:rPr>
          <w:rFonts w:asciiTheme="minorHAnsi" w:hAnsiTheme="minorHAnsi" w:eastAsiaTheme="minorEastAsia" w:cstheme="minorBidi"/>
          <w:smallCaps w:val="0"/>
          <w:sz w:val="21"/>
          <w:szCs w:val="22"/>
        </w:rPr>
      </w:pPr>
      <w:r>
        <w:fldChar w:fldCharType="begin"/>
      </w:r>
      <w:r>
        <w:instrText xml:space="preserve"> HYPERLINK \l "_Toc108445731" </w:instrText>
      </w:r>
      <w:r>
        <w:fldChar w:fldCharType="separate"/>
      </w:r>
      <w:r>
        <w:rPr>
          <w:rStyle w:val="37"/>
          <w:rFonts w:eastAsia="宋体"/>
        </w:rPr>
        <w:t xml:space="preserve">4.1 </w:t>
      </w:r>
      <w:r>
        <w:rPr>
          <w:rStyle w:val="37"/>
          <w:rFonts w:hint="eastAsia" w:eastAsia="宋体"/>
        </w:rPr>
        <w:t>质量管理体系</w:t>
      </w:r>
      <w:r>
        <w:tab/>
      </w:r>
      <w:r>
        <w:fldChar w:fldCharType="begin"/>
      </w:r>
      <w:r>
        <w:instrText xml:space="preserve"> PAGEREF _Toc108445731 \h </w:instrText>
      </w:r>
      <w:r>
        <w:fldChar w:fldCharType="separate"/>
      </w:r>
      <w:r>
        <w:t>19</w:t>
      </w:r>
      <w:r>
        <w:fldChar w:fldCharType="end"/>
      </w:r>
      <w:r>
        <w:fldChar w:fldCharType="end"/>
      </w:r>
    </w:p>
    <w:p w14:paraId="2E040461">
      <w:pPr>
        <w:pStyle w:val="26"/>
        <w:ind w:firstLine="560"/>
        <w:rPr>
          <w:rFonts w:asciiTheme="minorHAnsi" w:hAnsiTheme="minorHAnsi" w:eastAsiaTheme="minorEastAsia" w:cstheme="minorBidi"/>
          <w:smallCaps w:val="0"/>
          <w:sz w:val="21"/>
          <w:szCs w:val="22"/>
        </w:rPr>
      </w:pPr>
      <w:r>
        <w:fldChar w:fldCharType="begin"/>
      </w:r>
      <w:r>
        <w:instrText xml:space="preserve"> HYPERLINK \l "_Toc108445732" </w:instrText>
      </w:r>
      <w:r>
        <w:fldChar w:fldCharType="separate"/>
      </w:r>
      <w:r>
        <w:rPr>
          <w:rStyle w:val="37"/>
          <w:rFonts w:eastAsia="宋体"/>
        </w:rPr>
        <w:t xml:space="preserve">4.2 </w:t>
      </w:r>
      <w:r>
        <w:rPr>
          <w:rStyle w:val="37"/>
          <w:rFonts w:hint="eastAsia" w:eastAsia="宋体"/>
        </w:rPr>
        <w:t>各防治分区水土保持工程质量评定</w:t>
      </w:r>
      <w:r>
        <w:tab/>
      </w:r>
      <w:r>
        <w:fldChar w:fldCharType="begin"/>
      </w:r>
      <w:r>
        <w:instrText xml:space="preserve"> PAGEREF _Toc108445732 \h </w:instrText>
      </w:r>
      <w:r>
        <w:fldChar w:fldCharType="separate"/>
      </w:r>
      <w:r>
        <w:t>20</w:t>
      </w:r>
      <w:r>
        <w:fldChar w:fldCharType="end"/>
      </w:r>
      <w:r>
        <w:fldChar w:fldCharType="end"/>
      </w:r>
    </w:p>
    <w:p w14:paraId="64800690">
      <w:pPr>
        <w:pStyle w:val="26"/>
        <w:ind w:firstLine="560"/>
        <w:rPr>
          <w:rFonts w:asciiTheme="minorHAnsi" w:hAnsiTheme="minorHAnsi" w:eastAsiaTheme="minorEastAsia" w:cstheme="minorBidi"/>
          <w:smallCaps w:val="0"/>
          <w:sz w:val="21"/>
          <w:szCs w:val="22"/>
        </w:rPr>
      </w:pPr>
      <w:r>
        <w:fldChar w:fldCharType="begin"/>
      </w:r>
      <w:r>
        <w:instrText xml:space="preserve"> HYPERLINK \l "_Toc108445733" </w:instrText>
      </w:r>
      <w:r>
        <w:fldChar w:fldCharType="separate"/>
      </w:r>
      <w:r>
        <w:rPr>
          <w:rStyle w:val="37"/>
          <w:rFonts w:eastAsia="宋体"/>
        </w:rPr>
        <w:t xml:space="preserve">4.3 </w:t>
      </w:r>
      <w:r>
        <w:rPr>
          <w:rStyle w:val="37"/>
          <w:rFonts w:hint="eastAsia" w:eastAsia="宋体"/>
        </w:rPr>
        <w:t>弃渣场稳定性评估</w:t>
      </w:r>
      <w:r>
        <w:tab/>
      </w:r>
      <w:r>
        <w:fldChar w:fldCharType="begin"/>
      </w:r>
      <w:r>
        <w:instrText xml:space="preserve"> PAGEREF _Toc108445733 \h </w:instrText>
      </w:r>
      <w:r>
        <w:fldChar w:fldCharType="separate"/>
      </w:r>
      <w:r>
        <w:t>21</w:t>
      </w:r>
      <w:r>
        <w:fldChar w:fldCharType="end"/>
      </w:r>
      <w:r>
        <w:fldChar w:fldCharType="end"/>
      </w:r>
    </w:p>
    <w:p w14:paraId="33B2A613">
      <w:pPr>
        <w:pStyle w:val="26"/>
        <w:ind w:firstLine="560"/>
        <w:rPr>
          <w:rFonts w:asciiTheme="minorHAnsi" w:hAnsiTheme="minorHAnsi" w:eastAsiaTheme="minorEastAsia" w:cstheme="minorBidi"/>
          <w:smallCaps w:val="0"/>
          <w:sz w:val="21"/>
          <w:szCs w:val="22"/>
        </w:rPr>
      </w:pPr>
      <w:r>
        <w:fldChar w:fldCharType="begin"/>
      </w:r>
      <w:r>
        <w:instrText xml:space="preserve"> HYPERLINK \l "_Toc108445734" </w:instrText>
      </w:r>
      <w:r>
        <w:fldChar w:fldCharType="separate"/>
      </w:r>
      <w:r>
        <w:rPr>
          <w:rStyle w:val="37"/>
          <w:rFonts w:eastAsia="宋体"/>
        </w:rPr>
        <w:t xml:space="preserve">4.4 </w:t>
      </w:r>
      <w:r>
        <w:rPr>
          <w:rStyle w:val="37"/>
          <w:rFonts w:hint="eastAsia" w:eastAsia="宋体"/>
        </w:rPr>
        <w:t>总体质量评价</w:t>
      </w:r>
      <w:r>
        <w:tab/>
      </w:r>
      <w:r>
        <w:fldChar w:fldCharType="begin"/>
      </w:r>
      <w:r>
        <w:instrText xml:space="preserve"> PAGEREF _Toc108445734 \h </w:instrText>
      </w:r>
      <w:r>
        <w:fldChar w:fldCharType="separate"/>
      </w:r>
      <w:r>
        <w:t>22</w:t>
      </w:r>
      <w:r>
        <w:fldChar w:fldCharType="end"/>
      </w:r>
      <w:r>
        <w:fldChar w:fldCharType="end"/>
      </w:r>
    </w:p>
    <w:p w14:paraId="223454B0">
      <w:pPr>
        <w:pStyle w:val="22"/>
        <w:ind w:firstLine="562"/>
        <w:rPr>
          <w:rFonts w:asciiTheme="minorHAnsi" w:hAnsiTheme="minorHAnsi" w:eastAsiaTheme="minorEastAsia" w:cstheme="minorBidi"/>
          <w:b w:val="0"/>
          <w:bCs w:val="0"/>
          <w:caps w:val="0"/>
          <w:sz w:val="21"/>
          <w:szCs w:val="22"/>
        </w:rPr>
      </w:pPr>
      <w:r>
        <w:fldChar w:fldCharType="begin"/>
      </w:r>
      <w:r>
        <w:instrText xml:space="preserve"> HYPERLINK \l "_Toc108445735" </w:instrText>
      </w:r>
      <w:r>
        <w:fldChar w:fldCharType="separate"/>
      </w:r>
      <w:r>
        <w:rPr>
          <w:rStyle w:val="37"/>
        </w:rPr>
        <w:t xml:space="preserve">5 </w:t>
      </w:r>
      <w:r>
        <w:rPr>
          <w:rStyle w:val="37"/>
          <w:rFonts w:hint="eastAsia"/>
        </w:rPr>
        <w:t>工程初期运行及水土保持效果</w:t>
      </w:r>
      <w:r>
        <w:tab/>
      </w:r>
      <w:r>
        <w:fldChar w:fldCharType="begin"/>
      </w:r>
      <w:r>
        <w:instrText xml:space="preserve"> PAGEREF _Toc108445735 \h </w:instrText>
      </w:r>
      <w:r>
        <w:fldChar w:fldCharType="separate"/>
      </w:r>
      <w:r>
        <w:t>23</w:t>
      </w:r>
      <w:r>
        <w:fldChar w:fldCharType="end"/>
      </w:r>
      <w:r>
        <w:fldChar w:fldCharType="end"/>
      </w:r>
    </w:p>
    <w:p w14:paraId="4293F827">
      <w:pPr>
        <w:pStyle w:val="26"/>
        <w:ind w:firstLine="560"/>
        <w:rPr>
          <w:rFonts w:asciiTheme="minorHAnsi" w:hAnsiTheme="minorHAnsi" w:eastAsiaTheme="minorEastAsia" w:cstheme="minorBidi"/>
          <w:smallCaps w:val="0"/>
          <w:sz w:val="21"/>
          <w:szCs w:val="22"/>
        </w:rPr>
      </w:pPr>
      <w:r>
        <w:fldChar w:fldCharType="begin"/>
      </w:r>
      <w:r>
        <w:instrText xml:space="preserve"> HYPERLINK \l "_Toc108445736" </w:instrText>
      </w:r>
      <w:r>
        <w:fldChar w:fldCharType="separate"/>
      </w:r>
      <w:r>
        <w:rPr>
          <w:rStyle w:val="37"/>
          <w:rFonts w:eastAsia="宋体"/>
        </w:rPr>
        <w:t xml:space="preserve">5.1 </w:t>
      </w:r>
      <w:r>
        <w:rPr>
          <w:rStyle w:val="37"/>
          <w:rFonts w:hint="eastAsia" w:eastAsia="宋体"/>
        </w:rPr>
        <w:t>初期运行情况</w:t>
      </w:r>
      <w:r>
        <w:tab/>
      </w:r>
      <w:r>
        <w:fldChar w:fldCharType="begin"/>
      </w:r>
      <w:r>
        <w:instrText xml:space="preserve"> PAGEREF _Toc108445736 \h </w:instrText>
      </w:r>
      <w:r>
        <w:fldChar w:fldCharType="separate"/>
      </w:r>
      <w:r>
        <w:t>23</w:t>
      </w:r>
      <w:r>
        <w:fldChar w:fldCharType="end"/>
      </w:r>
      <w:r>
        <w:fldChar w:fldCharType="end"/>
      </w:r>
    </w:p>
    <w:p w14:paraId="442E3DF8">
      <w:pPr>
        <w:pStyle w:val="26"/>
        <w:ind w:firstLine="560"/>
        <w:rPr>
          <w:rFonts w:asciiTheme="minorHAnsi" w:hAnsiTheme="minorHAnsi" w:eastAsiaTheme="minorEastAsia" w:cstheme="minorBidi"/>
          <w:smallCaps w:val="0"/>
          <w:sz w:val="21"/>
          <w:szCs w:val="22"/>
        </w:rPr>
      </w:pPr>
      <w:r>
        <w:fldChar w:fldCharType="begin"/>
      </w:r>
      <w:r>
        <w:instrText xml:space="preserve"> HYPERLINK \l "_Toc108445737" </w:instrText>
      </w:r>
      <w:r>
        <w:fldChar w:fldCharType="separate"/>
      </w:r>
      <w:r>
        <w:rPr>
          <w:rStyle w:val="37"/>
          <w:rFonts w:eastAsia="宋体"/>
        </w:rPr>
        <w:t xml:space="preserve">5.2 </w:t>
      </w:r>
      <w:r>
        <w:rPr>
          <w:rStyle w:val="37"/>
          <w:rFonts w:hint="eastAsia" w:eastAsia="宋体"/>
        </w:rPr>
        <w:t>水土保持效果</w:t>
      </w:r>
      <w:r>
        <w:tab/>
      </w:r>
      <w:r>
        <w:fldChar w:fldCharType="begin"/>
      </w:r>
      <w:r>
        <w:instrText xml:space="preserve"> PAGEREF _Toc108445737 \h </w:instrText>
      </w:r>
      <w:r>
        <w:fldChar w:fldCharType="separate"/>
      </w:r>
      <w:r>
        <w:t>23</w:t>
      </w:r>
      <w:r>
        <w:fldChar w:fldCharType="end"/>
      </w:r>
      <w:r>
        <w:fldChar w:fldCharType="end"/>
      </w:r>
    </w:p>
    <w:p w14:paraId="3F4B5375">
      <w:pPr>
        <w:pStyle w:val="26"/>
        <w:ind w:firstLine="560"/>
        <w:rPr>
          <w:rFonts w:asciiTheme="minorHAnsi" w:hAnsiTheme="minorHAnsi" w:eastAsiaTheme="minorEastAsia" w:cstheme="minorBidi"/>
          <w:smallCaps w:val="0"/>
          <w:sz w:val="21"/>
          <w:szCs w:val="22"/>
        </w:rPr>
      </w:pPr>
      <w:r>
        <w:fldChar w:fldCharType="begin"/>
      </w:r>
      <w:r>
        <w:instrText xml:space="preserve"> HYPERLINK \l "_Toc108445738" </w:instrText>
      </w:r>
      <w:r>
        <w:fldChar w:fldCharType="separate"/>
      </w:r>
      <w:r>
        <w:rPr>
          <w:rStyle w:val="37"/>
          <w:rFonts w:eastAsia="宋体"/>
        </w:rPr>
        <w:t xml:space="preserve">5.3 </w:t>
      </w:r>
      <w:r>
        <w:rPr>
          <w:rStyle w:val="37"/>
          <w:rFonts w:hint="eastAsia" w:eastAsia="宋体"/>
        </w:rPr>
        <w:t>公众满意度调查</w:t>
      </w:r>
      <w:r>
        <w:tab/>
      </w:r>
      <w:r>
        <w:fldChar w:fldCharType="begin"/>
      </w:r>
      <w:r>
        <w:instrText xml:space="preserve"> PAGEREF _Toc108445738 \h </w:instrText>
      </w:r>
      <w:r>
        <w:fldChar w:fldCharType="separate"/>
      </w:r>
      <w:r>
        <w:t>25</w:t>
      </w:r>
      <w:r>
        <w:fldChar w:fldCharType="end"/>
      </w:r>
      <w:r>
        <w:fldChar w:fldCharType="end"/>
      </w:r>
    </w:p>
    <w:p w14:paraId="4C1E8519">
      <w:pPr>
        <w:pStyle w:val="22"/>
        <w:ind w:firstLine="562"/>
        <w:rPr>
          <w:rFonts w:asciiTheme="minorHAnsi" w:hAnsiTheme="minorHAnsi" w:eastAsiaTheme="minorEastAsia" w:cstheme="minorBidi"/>
          <w:b w:val="0"/>
          <w:bCs w:val="0"/>
          <w:caps w:val="0"/>
          <w:sz w:val="21"/>
          <w:szCs w:val="22"/>
        </w:rPr>
      </w:pPr>
      <w:r>
        <w:fldChar w:fldCharType="begin"/>
      </w:r>
      <w:r>
        <w:instrText xml:space="preserve"> HYPERLINK \l "_Toc108445739" </w:instrText>
      </w:r>
      <w:r>
        <w:fldChar w:fldCharType="separate"/>
      </w:r>
      <w:r>
        <w:rPr>
          <w:rStyle w:val="37"/>
        </w:rPr>
        <w:t xml:space="preserve">6 </w:t>
      </w:r>
      <w:r>
        <w:rPr>
          <w:rStyle w:val="37"/>
          <w:rFonts w:hint="eastAsia"/>
        </w:rPr>
        <w:t>水土保持管理</w:t>
      </w:r>
      <w:r>
        <w:tab/>
      </w:r>
      <w:r>
        <w:fldChar w:fldCharType="begin"/>
      </w:r>
      <w:r>
        <w:instrText xml:space="preserve"> PAGEREF _Toc108445739 \h </w:instrText>
      </w:r>
      <w:r>
        <w:fldChar w:fldCharType="separate"/>
      </w:r>
      <w:r>
        <w:t>26</w:t>
      </w:r>
      <w:r>
        <w:fldChar w:fldCharType="end"/>
      </w:r>
      <w:r>
        <w:fldChar w:fldCharType="end"/>
      </w:r>
    </w:p>
    <w:p w14:paraId="1BDDA5AA">
      <w:pPr>
        <w:pStyle w:val="26"/>
        <w:ind w:firstLine="560"/>
        <w:rPr>
          <w:rFonts w:asciiTheme="minorHAnsi" w:hAnsiTheme="minorHAnsi" w:eastAsiaTheme="minorEastAsia" w:cstheme="minorBidi"/>
          <w:smallCaps w:val="0"/>
          <w:sz w:val="21"/>
          <w:szCs w:val="22"/>
        </w:rPr>
      </w:pPr>
      <w:r>
        <w:fldChar w:fldCharType="begin"/>
      </w:r>
      <w:r>
        <w:instrText xml:space="preserve"> HYPERLINK \l "_Toc108445740" </w:instrText>
      </w:r>
      <w:r>
        <w:fldChar w:fldCharType="separate"/>
      </w:r>
      <w:r>
        <w:rPr>
          <w:rStyle w:val="37"/>
          <w:rFonts w:eastAsia="宋体"/>
        </w:rPr>
        <w:t xml:space="preserve">6.1 </w:t>
      </w:r>
      <w:r>
        <w:rPr>
          <w:rStyle w:val="37"/>
          <w:rFonts w:hint="eastAsia" w:eastAsia="宋体"/>
        </w:rPr>
        <w:t>组织领导</w:t>
      </w:r>
      <w:r>
        <w:tab/>
      </w:r>
      <w:r>
        <w:fldChar w:fldCharType="begin"/>
      </w:r>
      <w:r>
        <w:instrText xml:space="preserve"> PAGEREF _Toc108445740 \h </w:instrText>
      </w:r>
      <w:r>
        <w:fldChar w:fldCharType="separate"/>
      </w:r>
      <w:r>
        <w:t>26</w:t>
      </w:r>
      <w:r>
        <w:fldChar w:fldCharType="end"/>
      </w:r>
      <w:r>
        <w:fldChar w:fldCharType="end"/>
      </w:r>
    </w:p>
    <w:p w14:paraId="1B864878">
      <w:pPr>
        <w:pStyle w:val="26"/>
        <w:ind w:firstLine="560"/>
        <w:rPr>
          <w:rFonts w:asciiTheme="minorHAnsi" w:hAnsiTheme="minorHAnsi" w:eastAsiaTheme="minorEastAsia" w:cstheme="minorBidi"/>
          <w:smallCaps w:val="0"/>
          <w:sz w:val="21"/>
          <w:szCs w:val="22"/>
        </w:rPr>
      </w:pPr>
      <w:r>
        <w:fldChar w:fldCharType="begin"/>
      </w:r>
      <w:r>
        <w:instrText xml:space="preserve"> HYPERLINK \l "_Toc108445741" </w:instrText>
      </w:r>
      <w:r>
        <w:fldChar w:fldCharType="separate"/>
      </w:r>
      <w:r>
        <w:rPr>
          <w:rStyle w:val="37"/>
          <w:rFonts w:eastAsia="宋体"/>
        </w:rPr>
        <w:t xml:space="preserve">6.2 </w:t>
      </w:r>
      <w:r>
        <w:rPr>
          <w:rStyle w:val="37"/>
          <w:rFonts w:hint="eastAsia" w:eastAsia="宋体"/>
        </w:rPr>
        <w:t>规章制度</w:t>
      </w:r>
      <w:r>
        <w:tab/>
      </w:r>
      <w:r>
        <w:fldChar w:fldCharType="begin"/>
      </w:r>
      <w:r>
        <w:instrText xml:space="preserve"> PAGEREF _Toc108445741 \h </w:instrText>
      </w:r>
      <w:r>
        <w:fldChar w:fldCharType="separate"/>
      </w:r>
      <w:r>
        <w:t>26</w:t>
      </w:r>
      <w:r>
        <w:fldChar w:fldCharType="end"/>
      </w:r>
      <w:r>
        <w:fldChar w:fldCharType="end"/>
      </w:r>
    </w:p>
    <w:p w14:paraId="19B4FD6F">
      <w:pPr>
        <w:pStyle w:val="26"/>
        <w:ind w:firstLine="560"/>
        <w:rPr>
          <w:rFonts w:asciiTheme="minorHAnsi" w:hAnsiTheme="minorHAnsi" w:eastAsiaTheme="minorEastAsia" w:cstheme="minorBidi"/>
          <w:smallCaps w:val="0"/>
          <w:sz w:val="21"/>
          <w:szCs w:val="22"/>
        </w:rPr>
      </w:pPr>
      <w:r>
        <w:fldChar w:fldCharType="begin"/>
      </w:r>
      <w:r>
        <w:instrText xml:space="preserve"> HYPERLINK \l "_Toc108445742" </w:instrText>
      </w:r>
      <w:r>
        <w:fldChar w:fldCharType="separate"/>
      </w:r>
      <w:r>
        <w:rPr>
          <w:rStyle w:val="37"/>
          <w:rFonts w:eastAsia="宋体"/>
        </w:rPr>
        <w:t xml:space="preserve">6.3 </w:t>
      </w:r>
      <w:r>
        <w:rPr>
          <w:rStyle w:val="37"/>
          <w:rFonts w:hint="eastAsia" w:eastAsia="宋体"/>
        </w:rPr>
        <w:t>建设管理</w:t>
      </w:r>
      <w:r>
        <w:tab/>
      </w:r>
      <w:r>
        <w:fldChar w:fldCharType="begin"/>
      </w:r>
      <w:r>
        <w:instrText xml:space="preserve"> PAGEREF _Toc108445742 \h </w:instrText>
      </w:r>
      <w:r>
        <w:fldChar w:fldCharType="separate"/>
      </w:r>
      <w:r>
        <w:t>26</w:t>
      </w:r>
      <w:r>
        <w:fldChar w:fldCharType="end"/>
      </w:r>
      <w:r>
        <w:fldChar w:fldCharType="end"/>
      </w:r>
    </w:p>
    <w:p w14:paraId="4619E31D">
      <w:pPr>
        <w:pStyle w:val="26"/>
        <w:ind w:firstLine="560"/>
        <w:rPr>
          <w:rFonts w:asciiTheme="minorHAnsi" w:hAnsiTheme="minorHAnsi" w:eastAsiaTheme="minorEastAsia" w:cstheme="minorBidi"/>
          <w:smallCaps w:val="0"/>
          <w:sz w:val="21"/>
          <w:szCs w:val="22"/>
        </w:rPr>
      </w:pPr>
      <w:r>
        <w:fldChar w:fldCharType="begin"/>
      </w:r>
      <w:r>
        <w:instrText xml:space="preserve"> HYPERLINK \l "_Toc108445743" </w:instrText>
      </w:r>
      <w:r>
        <w:fldChar w:fldCharType="separate"/>
      </w:r>
      <w:r>
        <w:rPr>
          <w:rStyle w:val="37"/>
          <w:rFonts w:eastAsia="宋体"/>
        </w:rPr>
        <w:t xml:space="preserve">6.4 </w:t>
      </w:r>
      <w:r>
        <w:rPr>
          <w:rStyle w:val="37"/>
          <w:rFonts w:hint="eastAsia" w:eastAsia="宋体"/>
        </w:rPr>
        <w:t>水土保持监测</w:t>
      </w:r>
      <w:r>
        <w:tab/>
      </w:r>
      <w:r>
        <w:fldChar w:fldCharType="begin"/>
      </w:r>
      <w:r>
        <w:instrText xml:space="preserve"> PAGEREF _Toc108445743 \h </w:instrText>
      </w:r>
      <w:r>
        <w:fldChar w:fldCharType="separate"/>
      </w:r>
      <w:r>
        <w:t>27</w:t>
      </w:r>
      <w:r>
        <w:fldChar w:fldCharType="end"/>
      </w:r>
      <w:r>
        <w:fldChar w:fldCharType="end"/>
      </w:r>
    </w:p>
    <w:p w14:paraId="024D55E3">
      <w:pPr>
        <w:pStyle w:val="26"/>
        <w:ind w:firstLine="560"/>
        <w:rPr>
          <w:rFonts w:asciiTheme="minorHAnsi" w:hAnsiTheme="minorHAnsi" w:eastAsiaTheme="minorEastAsia" w:cstheme="minorBidi"/>
          <w:smallCaps w:val="0"/>
          <w:sz w:val="21"/>
          <w:szCs w:val="22"/>
        </w:rPr>
      </w:pPr>
      <w:r>
        <w:fldChar w:fldCharType="begin"/>
      </w:r>
      <w:r>
        <w:instrText xml:space="preserve"> HYPERLINK \l "_Toc108445744" </w:instrText>
      </w:r>
      <w:r>
        <w:fldChar w:fldCharType="separate"/>
      </w:r>
      <w:r>
        <w:rPr>
          <w:rStyle w:val="37"/>
          <w:rFonts w:eastAsia="宋体"/>
        </w:rPr>
        <w:t xml:space="preserve">6.5 </w:t>
      </w:r>
      <w:r>
        <w:rPr>
          <w:rStyle w:val="37"/>
          <w:rFonts w:hint="eastAsia" w:eastAsia="宋体"/>
        </w:rPr>
        <w:t>水土保持监理</w:t>
      </w:r>
      <w:r>
        <w:tab/>
      </w:r>
      <w:r>
        <w:fldChar w:fldCharType="begin"/>
      </w:r>
      <w:r>
        <w:instrText xml:space="preserve"> PAGEREF _Toc108445744 \h </w:instrText>
      </w:r>
      <w:r>
        <w:fldChar w:fldCharType="separate"/>
      </w:r>
      <w:r>
        <w:t>27</w:t>
      </w:r>
      <w:r>
        <w:fldChar w:fldCharType="end"/>
      </w:r>
      <w:r>
        <w:fldChar w:fldCharType="end"/>
      </w:r>
    </w:p>
    <w:p w14:paraId="508C992B">
      <w:pPr>
        <w:pStyle w:val="26"/>
        <w:ind w:firstLine="560"/>
        <w:rPr>
          <w:rFonts w:asciiTheme="minorHAnsi" w:hAnsiTheme="minorHAnsi" w:eastAsiaTheme="minorEastAsia" w:cstheme="minorBidi"/>
          <w:smallCaps w:val="0"/>
          <w:sz w:val="21"/>
          <w:szCs w:val="22"/>
        </w:rPr>
      </w:pPr>
      <w:r>
        <w:fldChar w:fldCharType="begin"/>
      </w:r>
      <w:r>
        <w:instrText xml:space="preserve"> HYPERLINK \l "_Toc108445745" </w:instrText>
      </w:r>
      <w:r>
        <w:fldChar w:fldCharType="separate"/>
      </w:r>
      <w:r>
        <w:rPr>
          <w:rStyle w:val="37"/>
          <w:rFonts w:eastAsia="宋体"/>
        </w:rPr>
        <w:t xml:space="preserve">6.6 </w:t>
      </w:r>
      <w:r>
        <w:rPr>
          <w:rStyle w:val="37"/>
          <w:rFonts w:hint="eastAsia" w:eastAsia="宋体"/>
        </w:rPr>
        <w:t>水行政主管部门监督检查意见落实情况</w:t>
      </w:r>
      <w:r>
        <w:tab/>
      </w:r>
      <w:r>
        <w:fldChar w:fldCharType="begin"/>
      </w:r>
      <w:r>
        <w:instrText xml:space="preserve"> PAGEREF _Toc108445745 \h </w:instrText>
      </w:r>
      <w:r>
        <w:fldChar w:fldCharType="separate"/>
      </w:r>
      <w:r>
        <w:t>28</w:t>
      </w:r>
      <w:r>
        <w:fldChar w:fldCharType="end"/>
      </w:r>
      <w:r>
        <w:fldChar w:fldCharType="end"/>
      </w:r>
    </w:p>
    <w:p w14:paraId="019840A2">
      <w:pPr>
        <w:pStyle w:val="26"/>
        <w:ind w:firstLine="560"/>
        <w:rPr>
          <w:rFonts w:asciiTheme="minorHAnsi" w:hAnsiTheme="minorHAnsi" w:eastAsiaTheme="minorEastAsia" w:cstheme="minorBidi"/>
          <w:smallCaps w:val="0"/>
          <w:sz w:val="21"/>
          <w:szCs w:val="22"/>
        </w:rPr>
      </w:pPr>
      <w:r>
        <w:fldChar w:fldCharType="begin"/>
      </w:r>
      <w:r>
        <w:instrText xml:space="preserve"> HYPERLINK \l "_Toc108445746" </w:instrText>
      </w:r>
      <w:r>
        <w:fldChar w:fldCharType="separate"/>
      </w:r>
      <w:r>
        <w:rPr>
          <w:rStyle w:val="37"/>
          <w:rFonts w:eastAsia="宋体"/>
        </w:rPr>
        <w:t xml:space="preserve">6.7 </w:t>
      </w:r>
      <w:r>
        <w:rPr>
          <w:rStyle w:val="37"/>
          <w:rFonts w:hint="eastAsia" w:eastAsia="宋体"/>
        </w:rPr>
        <w:t>水土保持补偿费缴纳情况</w:t>
      </w:r>
      <w:r>
        <w:tab/>
      </w:r>
      <w:r>
        <w:fldChar w:fldCharType="begin"/>
      </w:r>
      <w:r>
        <w:instrText xml:space="preserve"> PAGEREF _Toc108445746 \h </w:instrText>
      </w:r>
      <w:r>
        <w:fldChar w:fldCharType="separate"/>
      </w:r>
      <w:r>
        <w:t>28</w:t>
      </w:r>
      <w:r>
        <w:fldChar w:fldCharType="end"/>
      </w:r>
      <w:r>
        <w:fldChar w:fldCharType="end"/>
      </w:r>
    </w:p>
    <w:p w14:paraId="6B80FB2A">
      <w:pPr>
        <w:pStyle w:val="26"/>
        <w:ind w:firstLine="560"/>
        <w:rPr>
          <w:rFonts w:asciiTheme="minorHAnsi" w:hAnsiTheme="minorHAnsi" w:eastAsiaTheme="minorEastAsia" w:cstheme="minorBidi"/>
          <w:smallCaps w:val="0"/>
          <w:sz w:val="21"/>
          <w:szCs w:val="22"/>
        </w:rPr>
      </w:pPr>
      <w:r>
        <w:fldChar w:fldCharType="begin"/>
      </w:r>
      <w:r>
        <w:instrText xml:space="preserve"> HYPERLINK \l "_Toc108445747" </w:instrText>
      </w:r>
      <w:r>
        <w:fldChar w:fldCharType="separate"/>
      </w:r>
      <w:r>
        <w:rPr>
          <w:rStyle w:val="37"/>
          <w:rFonts w:eastAsia="宋体"/>
        </w:rPr>
        <w:t xml:space="preserve">6.8 </w:t>
      </w:r>
      <w:r>
        <w:rPr>
          <w:rStyle w:val="37"/>
          <w:rFonts w:hint="eastAsia" w:eastAsia="宋体"/>
        </w:rPr>
        <w:t>水土保持设施管理维护</w:t>
      </w:r>
      <w:r>
        <w:tab/>
      </w:r>
      <w:r>
        <w:fldChar w:fldCharType="begin"/>
      </w:r>
      <w:r>
        <w:instrText xml:space="preserve"> PAGEREF _Toc108445747 \h </w:instrText>
      </w:r>
      <w:r>
        <w:fldChar w:fldCharType="separate"/>
      </w:r>
      <w:r>
        <w:t>28</w:t>
      </w:r>
      <w:r>
        <w:fldChar w:fldCharType="end"/>
      </w:r>
      <w:r>
        <w:fldChar w:fldCharType="end"/>
      </w:r>
    </w:p>
    <w:p w14:paraId="789BD1E3">
      <w:pPr>
        <w:pStyle w:val="22"/>
        <w:ind w:firstLine="562"/>
        <w:rPr>
          <w:rFonts w:asciiTheme="minorHAnsi" w:hAnsiTheme="minorHAnsi" w:eastAsiaTheme="minorEastAsia" w:cstheme="minorBidi"/>
          <w:b w:val="0"/>
          <w:bCs w:val="0"/>
          <w:caps w:val="0"/>
          <w:sz w:val="21"/>
          <w:szCs w:val="22"/>
        </w:rPr>
      </w:pPr>
      <w:r>
        <w:fldChar w:fldCharType="begin"/>
      </w:r>
      <w:r>
        <w:instrText xml:space="preserve"> HYPERLINK \l "_Toc108445748" </w:instrText>
      </w:r>
      <w:r>
        <w:fldChar w:fldCharType="separate"/>
      </w:r>
      <w:r>
        <w:rPr>
          <w:rStyle w:val="37"/>
        </w:rPr>
        <w:t xml:space="preserve">7 </w:t>
      </w:r>
      <w:r>
        <w:rPr>
          <w:rStyle w:val="37"/>
          <w:rFonts w:hint="eastAsia"/>
        </w:rPr>
        <w:t>结论</w:t>
      </w:r>
      <w:r>
        <w:tab/>
      </w:r>
      <w:r>
        <w:fldChar w:fldCharType="begin"/>
      </w:r>
      <w:r>
        <w:instrText xml:space="preserve"> PAGEREF _Toc108445748 \h </w:instrText>
      </w:r>
      <w:r>
        <w:fldChar w:fldCharType="separate"/>
      </w:r>
      <w:r>
        <w:t>29</w:t>
      </w:r>
      <w:r>
        <w:fldChar w:fldCharType="end"/>
      </w:r>
      <w:r>
        <w:fldChar w:fldCharType="end"/>
      </w:r>
    </w:p>
    <w:p w14:paraId="04370F46">
      <w:pPr>
        <w:pStyle w:val="26"/>
        <w:ind w:firstLine="560"/>
        <w:rPr>
          <w:rFonts w:asciiTheme="minorHAnsi" w:hAnsiTheme="minorHAnsi" w:eastAsiaTheme="minorEastAsia" w:cstheme="minorBidi"/>
          <w:smallCaps w:val="0"/>
          <w:sz w:val="21"/>
          <w:szCs w:val="22"/>
        </w:rPr>
      </w:pPr>
      <w:r>
        <w:fldChar w:fldCharType="begin"/>
      </w:r>
      <w:r>
        <w:instrText xml:space="preserve"> HYPERLINK \l "_Toc108445749" </w:instrText>
      </w:r>
      <w:r>
        <w:fldChar w:fldCharType="separate"/>
      </w:r>
      <w:r>
        <w:rPr>
          <w:rStyle w:val="37"/>
          <w:rFonts w:eastAsia="宋体"/>
        </w:rPr>
        <w:t xml:space="preserve">7.1 </w:t>
      </w:r>
      <w:r>
        <w:rPr>
          <w:rStyle w:val="37"/>
          <w:rFonts w:hint="eastAsia" w:eastAsia="宋体"/>
        </w:rPr>
        <w:t>结论</w:t>
      </w:r>
      <w:r>
        <w:tab/>
      </w:r>
      <w:r>
        <w:fldChar w:fldCharType="begin"/>
      </w:r>
      <w:r>
        <w:instrText xml:space="preserve"> PAGEREF _Toc108445749 \h </w:instrText>
      </w:r>
      <w:r>
        <w:fldChar w:fldCharType="separate"/>
      </w:r>
      <w:r>
        <w:t>29</w:t>
      </w:r>
      <w:r>
        <w:fldChar w:fldCharType="end"/>
      </w:r>
      <w:r>
        <w:fldChar w:fldCharType="end"/>
      </w:r>
    </w:p>
    <w:p w14:paraId="14AC61B3">
      <w:pPr>
        <w:pStyle w:val="26"/>
        <w:ind w:firstLine="560"/>
        <w:rPr>
          <w:rFonts w:asciiTheme="minorHAnsi" w:hAnsiTheme="minorHAnsi" w:eastAsiaTheme="minorEastAsia" w:cstheme="minorBidi"/>
          <w:smallCaps w:val="0"/>
          <w:sz w:val="21"/>
          <w:szCs w:val="22"/>
        </w:rPr>
      </w:pPr>
      <w:r>
        <w:fldChar w:fldCharType="begin"/>
      </w:r>
      <w:r>
        <w:instrText xml:space="preserve"> HYPERLINK \l "_Toc108445750" </w:instrText>
      </w:r>
      <w:r>
        <w:fldChar w:fldCharType="separate"/>
      </w:r>
      <w:r>
        <w:rPr>
          <w:rStyle w:val="37"/>
          <w:rFonts w:eastAsia="宋体"/>
        </w:rPr>
        <w:t xml:space="preserve">7.2 </w:t>
      </w:r>
      <w:r>
        <w:rPr>
          <w:rStyle w:val="37"/>
          <w:rFonts w:hint="eastAsia" w:eastAsia="宋体"/>
        </w:rPr>
        <w:t>遗留问题安排</w:t>
      </w:r>
      <w:r>
        <w:tab/>
      </w:r>
      <w:r>
        <w:fldChar w:fldCharType="begin"/>
      </w:r>
      <w:r>
        <w:instrText xml:space="preserve"> PAGEREF _Toc108445750 \h </w:instrText>
      </w:r>
      <w:r>
        <w:fldChar w:fldCharType="separate"/>
      </w:r>
      <w:r>
        <w:t>29</w:t>
      </w:r>
      <w:r>
        <w:fldChar w:fldCharType="end"/>
      </w:r>
      <w:r>
        <w:fldChar w:fldCharType="end"/>
      </w:r>
    </w:p>
    <w:p w14:paraId="55827677">
      <w:pPr>
        <w:pStyle w:val="22"/>
        <w:ind w:firstLine="562"/>
        <w:rPr>
          <w:rFonts w:asciiTheme="minorHAnsi" w:hAnsiTheme="minorHAnsi" w:eastAsiaTheme="minorEastAsia" w:cstheme="minorBidi"/>
          <w:b w:val="0"/>
          <w:bCs w:val="0"/>
          <w:caps w:val="0"/>
          <w:sz w:val="21"/>
          <w:szCs w:val="22"/>
        </w:rPr>
      </w:pPr>
      <w:r>
        <w:fldChar w:fldCharType="begin"/>
      </w:r>
      <w:r>
        <w:instrText xml:space="preserve"> HYPERLINK \l "_Toc108445751" </w:instrText>
      </w:r>
      <w:r>
        <w:fldChar w:fldCharType="separate"/>
      </w:r>
      <w:r>
        <w:rPr>
          <w:rStyle w:val="37"/>
        </w:rPr>
        <w:t xml:space="preserve">8 </w:t>
      </w:r>
      <w:r>
        <w:rPr>
          <w:rStyle w:val="37"/>
          <w:rFonts w:hint="eastAsia"/>
        </w:rPr>
        <w:t>附件、附图</w:t>
      </w:r>
      <w:r>
        <w:tab/>
      </w:r>
      <w:r>
        <w:fldChar w:fldCharType="begin"/>
      </w:r>
      <w:r>
        <w:instrText xml:space="preserve"> PAGEREF _Toc108445751 \h </w:instrText>
      </w:r>
      <w:r>
        <w:fldChar w:fldCharType="separate"/>
      </w:r>
      <w:r>
        <w:t>31</w:t>
      </w:r>
      <w:r>
        <w:fldChar w:fldCharType="end"/>
      </w:r>
      <w:r>
        <w:fldChar w:fldCharType="end"/>
      </w:r>
    </w:p>
    <w:p w14:paraId="16015DAD">
      <w:pPr>
        <w:pStyle w:val="26"/>
        <w:ind w:firstLine="560"/>
        <w:rPr>
          <w:rFonts w:asciiTheme="minorHAnsi" w:hAnsiTheme="minorHAnsi" w:eastAsiaTheme="minorEastAsia" w:cstheme="minorBidi"/>
          <w:smallCaps w:val="0"/>
          <w:sz w:val="21"/>
          <w:szCs w:val="22"/>
        </w:rPr>
      </w:pPr>
      <w:r>
        <w:fldChar w:fldCharType="begin"/>
      </w:r>
      <w:r>
        <w:instrText xml:space="preserve"> HYPERLINK \l "_Toc108445752" </w:instrText>
      </w:r>
      <w:r>
        <w:fldChar w:fldCharType="separate"/>
      </w:r>
      <w:r>
        <w:rPr>
          <w:rStyle w:val="37"/>
          <w:rFonts w:eastAsia="宋体"/>
        </w:rPr>
        <w:t xml:space="preserve">8.1 </w:t>
      </w:r>
      <w:r>
        <w:rPr>
          <w:rStyle w:val="37"/>
          <w:rFonts w:hint="eastAsia" w:eastAsia="宋体"/>
        </w:rPr>
        <w:t>附件</w:t>
      </w:r>
      <w:r>
        <w:tab/>
      </w:r>
      <w:r>
        <w:fldChar w:fldCharType="begin"/>
      </w:r>
      <w:r>
        <w:instrText xml:space="preserve"> PAGEREF _Toc108445752 \h </w:instrText>
      </w:r>
      <w:r>
        <w:fldChar w:fldCharType="separate"/>
      </w:r>
      <w:r>
        <w:t>31</w:t>
      </w:r>
      <w:r>
        <w:fldChar w:fldCharType="end"/>
      </w:r>
      <w:r>
        <w:fldChar w:fldCharType="end"/>
      </w:r>
    </w:p>
    <w:p w14:paraId="7DF8F147">
      <w:pPr>
        <w:pStyle w:val="26"/>
        <w:ind w:firstLine="560"/>
        <w:rPr>
          <w:rFonts w:asciiTheme="minorHAnsi" w:hAnsiTheme="minorHAnsi" w:eastAsiaTheme="minorEastAsia" w:cstheme="minorBidi"/>
          <w:smallCaps w:val="0"/>
          <w:sz w:val="21"/>
          <w:szCs w:val="22"/>
        </w:rPr>
      </w:pPr>
      <w:r>
        <w:fldChar w:fldCharType="begin"/>
      </w:r>
      <w:r>
        <w:instrText xml:space="preserve"> HYPERLINK \l "_Toc108445753" </w:instrText>
      </w:r>
      <w:r>
        <w:fldChar w:fldCharType="separate"/>
      </w:r>
      <w:r>
        <w:rPr>
          <w:rStyle w:val="37"/>
          <w:rFonts w:eastAsia="宋体"/>
        </w:rPr>
        <w:t xml:space="preserve">8.2 </w:t>
      </w:r>
      <w:r>
        <w:rPr>
          <w:rStyle w:val="37"/>
          <w:rFonts w:hint="eastAsia" w:eastAsia="宋体"/>
        </w:rPr>
        <w:t>附图</w:t>
      </w:r>
      <w:r>
        <w:tab/>
      </w:r>
      <w:r>
        <w:fldChar w:fldCharType="begin"/>
      </w:r>
      <w:r>
        <w:instrText xml:space="preserve"> PAGEREF _Toc108445753 \h </w:instrText>
      </w:r>
      <w:r>
        <w:fldChar w:fldCharType="separate"/>
      </w:r>
      <w:r>
        <w:t>31</w:t>
      </w:r>
      <w:r>
        <w:fldChar w:fldCharType="end"/>
      </w:r>
      <w:r>
        <w:fldChar w:fldCharType="end"/>
      </w:r>
    </w:p>
    <w:p w14:paraId="6CE1FD4C">
      <w:pPr>
        <w:adjustRightInd w:val="0"/>
        <w:snapToGrid w:val="0"/>
        <w:ind w:firstLine="0" w:firstLineChars="0"/>
        <w:jc w:val="left"/>
        <w:rPr>
          <w:szCs w:val="24"/>
        </w:rPr>
      </w:pPr>
      <w:r>
        <w:rPr>
          <w:bCs/>
          <w:caps/>
          <w:szCs w:val="24"/>
        </w:rPr>
        <w:fldChar w:fldCharType="end"/>
      </w:r>
    </w:p>
    <w:p w14:paraId="20FBFF3E">
      <w:pPr>
        <w:ind w:firstLine="560"/>
        <w:rPr>
          <w:sz w:val="28"/>
          <w:szCs w:val="28"/>
        </w:rPr>
        <w:sectPr>
          <w:headerReference r:id="rId11" w:type="default"/>
          <w:footerReference r:id="rId12" w:type="default"/>
          <w:pgSz w:w="11906" w:h="16838"/>
          <w:pgMar w:top="1440" w:right="1440" w:bottom="1440" w:left="1440" w:header="851" w:footer="992" w:gutter="0"/>
          <w:pgNumType w:start="1"/>
          <w:cols w:space="720" w:num="1"/>
          <w:docGrid w:linePitch="312" w:charSpace="0"/>
        </w:sectPr>
      </w:pPr>
    </w:p>
    <w:p w14:paraId="53B75CD2">
      <w:pPr>
        <w:pStyle w:val="2"/>
      </w:pPr>
      <w:bookmarkStart w:id="6" w:name="_Toc292361712"/>
      <w:bookmarkStart w:id="7" w:name="_Toc370111135"/>
      <w:bookmarkStart w:id="8" w:name="_Toc108445714"/>
      <w:bookmarkStart w:id="9" w:name="_Toc244072188"/>
      <w:r>
        <w:t>前言</w:t>
      </w:r>
      <w:bookmarkEnd w:id="6"/>
      <w:bookmarkEnd w:id="7"/>
      <w:bookmarkEnd w:id="8"/>
    </w:p>
    <w:p w14:paraId="2F4F0986">
      <w:pPr>
        <w:rPr>
          <w:bCs/>
          <w:lang w:bidi="en-US"/>
        </w:rPr>
      </w:pPr>
      <w:r>
        <w:rPr>
          <w:rFonts w:hint="eastAsia"/>
          <w:bCs/>
          <w:lang w:bidi="en-US"/>
        </w:rPr>
        <w:t>项目建设位置项目位于兴宁市中心城区新城核心，北至兴南大桥，南至锦绣大桥段。项目中心地理坐标：北纬</w:t>
      </w:r>
      <w:r>
        <w:rPr>
          <w:bCs/>
          <w:lang w:bidi="en-US"/>
        </w:rPr>
        <w:t>24</w:t>
      </w:r>
      <w:r>
        <w:rPr>
          <w:rFonts w:hint="eastAsia"/>
          <w:bCs/>
          <w:lang w:bidi="en-US"/>
        </w:rPr>
        <w:t>°</w:t>
      </w:r>
      <w:r>
        <w:rPr>
          <w:bCs/>
          <w:lang w:bidi="en-US"/>
        </w:rPr>
        <w:t>7</w:t>
      </w:r>
      <w:r>
        <w:rPr>
          <w:rFonts w:hint="eastAsia"/>
          <w:bCs/>
          <w:lang w:bidi="en-US"/>
        </w:rPr>
        <w:t>′</w:t>
      </w:r>
      <w:r>
        <w:rPr>
          <w:bCs/>
          <w:lang w:bidi="en-US"/>
        </w:rPr>
        <w:t>14</w:t>
      </w:r>
      <w:r>
        <w:rPr>
          <w:rFonts w:hint="eastAsia"/>
          <w:bCs/>
          <w:lang w:bidi="en-US"/>
        </w:rPr>
        <w:t>″，东经</w:t>
      </w:r>
      <w:r>
        <w:rPr>
          <w:bCs/>
          <w:lang w:bidi="en-US"/>
        </w:rPr>
        <w:t>115</w:t>
      </w:r>
      <w:r>
        <w:rPr>
          <w:rFonts w:hint="eastAsia"/>
          <w:bCs/>
          <w:lang w:bidi="en-US"/>
        </w:rPr>
        <w:t>°</w:t>
      </w:r>
      <w:r>
        <w:rPr>
          <w:bCs/>
          <w:lang w:bidi="en-US"/>
        </w:rPr>
        <w:t>44</w:t>
      </w:r>
      <w:r>
        <w:rPr>
          <w:rFonts w:hint="eastAsia"/>
          <w:bCs/>
          <w:lang w:bidi="en-US"/>
        </w:rPr>
        <w:t>′</w:t>
      </w:r>
      <w:r>
        <w:rPr>
          <w:bCs/>
          <w:lang w:bidi="en-US"/>
        </w:rPr>
        <w:t>8</w:t>
      </w:r>
      <w:r>
        <w:rPr>
          <w:rFonts w:hint="eastAsia"/>
          <w:bCs/>
          <w:lang w:bidi="en-US"/>
        </w:rPr>
        <w:t>″。</w:t>
      </w:r>
    </w:p>
    <w:p w14:paraId="77C64396">
      <w:pPr>
        <w:rPr>
          <w:bCs/>
          <w:lang w:bidi="en-US"/>
        </w:rPr>
      </w:pPr>
      <w:r>
        <w:rPr>
          <w:rFonts w:hint="eastAsia"/>
          <w:bCs/>
          <w:lang w:bidi="en-US"/>
        </w:rPr>
        <w:t>项目规划用地面积9.36hm</w:t>
      </w:r>
      <w:r>
        <w:rPr>
          <w:rFonts w:hint="eastAsia"/>
          <w:bCs/>
          <w:vertAlign w:val="superscript"/>
          <w:lang w:bidi="en-US"/>
        </w:rPr>
        <w:t>2</w:t>
      </w:r>
      <w:r>
        <w:rPr>
          <w:rFonts w:hint="eastAsia"/>
          <w:bCs/>
          <w:lang w:bidi="en-US"/>
        </w:rPr>
        <w:t>，总投资投资7370万元，其中土建投资5800万元。</w:t>
      </w:r>
      <w:r>
        <w:rPr>
          <w:bCs/>
          <w:lang w:bidi="en-US"/>
        </w:rPr>
        <w:t>工程</w:t>
      </w:r>
      <w:r>
        <w:rPr>
          <w:rFonts w:hint="eastAsia"/>
          <w:bCs/>
          <w:lang w:bidi="en-US"/>
        </w:rPr>
        <w:t>实际动工时间为2019年9月3日，2020年11月30日完工，工期15个月。</w:t>
      </w:r>
    </w:p>
    <w:p w14:paraId="1F060540">
      <w:pPr>
        <w:rPr>
          <w:bCs/>
          <w:lang w:bidi="en-US"/>
        </w:rPr>
      </w:pPr>
      <w:r>
        <w:rPr>
          <w:rFonts w:hint="eastAsia"/>
          <w:bCs/>
          <w:lang w:bidi="en-US"/>
        </w:rPr>
        <w:t>项目区属平原地貌类型，属于热带气候，具有雨量充沛、湿度大、夏季长、热量丰富的特点。项目区的开发建设改变了原有的地表景观，势必会造成水土流失。</w:t>
      </w:r>
    </w:p>
    <w:p w14:paraId="2A22BBBF">
      <w:pPr>
        <w:rPr>
          <w:bCs/>
          <w:lang w:bidi="en-US"/>
        </w:rPr>
      </w:pPr>
      <w:r>
        <w:rPr>
          <w:rFonts w:hint="eastAsia"/>
          <w:bCs/>
          <w:lang w:bidi="en-US"/>
        </w:rPr>
        <w:t>《中华人民共和国水土保持法》第十九条规定：开发建设项目的水土保持设施必须与主体工程同时设计、同时施工、同时投产使用。水利部1995年第5号令《开发建设项目水土保持方案编报审批管理规定》第二条规定:凡从事有可能造成水土流失的开发建设单位或个人，必须在项目可行性研究阶段编报水土保持方案，并根据批准的水土保持方案进行前期勘测设计工作。</w:t>
      </w:r>
    </w:p>
    <w:p w14:paraId="7BCEADFC">
      <w:pPr>
        <w:rPr>
          <w:bCs/>
          <w:lang w:bidi="en-US"/>
        </w:rPr>
      </w:pPr>
      <w:r>
        <w:rPr>
          <w:rFonts w:hint="eastAsia"/>
          <w:bCs/>
          <w:lang w:bidi="en-US"/>
        </w:rPr>
        <w:t>根据相关水土保持规定，2020年10月，业主委托方案编制单位梅州绿明服务咨询有限公司编报水土保持方案。接到业主的委托后，方案编制单位积极组织有关工程技术人员在业主及当地相关部门的协助下，对项目及周边进行了现场勘测、收集有关资料。在此基础上，依照《生产建设项目水土保持技术规范》(GB50433-2018)、《生产建设项目水土流失防治标准》(GB/T50434-2018)进行并完成了《兴宁市亲水公园一区工程项目水土保持方案报告书》的编制。</w:t>
      </w:r>
    </w:p>
    <w:p w14:paraId="3EA7927F">
      <w:pPr>
        <w:rPr>
          <w:bCs/>
          <w:lang w:bidi="en-US"/>
        </w:rPr>
      </w:pPr>
      <w:r>
        <w:rPr>
          <w:rFonts w:hint="eastAsia"/>
          <w:bCs/>
          <w:lang w:bidi="en-US"/>
        </w:rPr>
        <w:t>2021年3月2日，取得兴宁市</w:t>
      </w:r>
      <w:r>
        <w:rPr>
          <w:bCs/>
          <w:lang w:bidi="en-US"/>
        </w:rPr>
        <w:t>水务局</w:t>
      </w:r>
      <w:r>
        <w:rPr>
          <w:rFonts w:hint="eastAsia"/>
          <w:bCs/>
          <w:lang w:bidi="en-US"/>
        </w:rPr>
        <w:t>水土保持方案审批准予行政许可决定书</w:t>
      </w:r>
      <w:r>
        <w:rPr>
          <w:bCs/>
          <w:lang w:bidi="en-US"/>
        </w:rPr>
        <w:t>（</w:t>
      </w:r>
      <w:r>
        <w:rPr>
          <w:rFonts w:hint="eastAsia"/>
          <w:bCs/>
          <w:lang w:bidi="en-US"/>
        </w:rPr>
        <w:t>兴水字〔2021〕13号</w:t>
      </w:r>
      <w:r>
        <w:rPr>
          <w:bCs/>
          <w:lang w:bidi="en-US"/>
        </w:rPr>
        <w:t>）文</w:t>
      </w:r>
      <w:r>
        <w:rPr>
          <w:rFonts w:hint="eastAsia"/>
          <w:bCs/>
          <w:lang w:bidi="en-US"/>
        </w:rPr>
        <w:t>。</w:t>
      </w:r>
    </w:p>
    <w:p w14:paraId="58E4E3CD">
      <w:pPr>
        <w:rPr>
          <w:bCs/>
          <w:lang w:bidi="en-US"/>
        </w:rPr>
      </w:pPr>
      <w:r>
        <w:rPr>
          <w:rFonts w:hint="eastAsia"/>
          <w:bCs/>
          <w:lang w:bidi="en-US"/>
        </w:rPr>
        <w:t>根据已批复的水土保持方案，本项目主要由绿化观赏区、河床区和道路及广场区等3个区组成。占地总面积9.36hm</w:t>
      </w:r>
      <w:r>
        <w:rPr>
          <w:rFonts w:hint="eastAsia"/>
          <w:bCs/>
          <w:vertAlign w:val="superscript"/>
          <w:lang w:bidi="en-US"/>
        </w:rPr>
        <w:t>2</w:t>
      </w:r>
      <w:r>
        <w:rPr>
          <w:rFonts w:hint="eastAsia"/>
          <w:bCs/>
          <w:lang w:bidi="en-US"/>
        </w:rPr>
        <w:t>，工程总挖方</w:t>
      </w:r>
      <w:r>
        <w:rPr>
          <w:bCs/>
          <w:lang w:bidi="en-US"/>
        </w:rPr>
        <w:t>31142.27m</w:t>
      </w:r>
      <w:r>
        <w:rPr>
          <w:rFonts w:hint="eastAsia" w:ascii="宋体" w:hAnsi="宋体" w:eastAsia="宋体" w:cs="宋体"/>
          <w:bCs/>
          <w:lang w:bidi="en-US"/>
        </w:rPr>
        <w:t>³</w:t>
      </w:r>
      <w:r>
        <w:rPr>
          <w:rFonts w:hint="eastAsia"/>
          <w:bCs/>
          <w:lang w:bidi="en-US"/>
        </w:rPr>
        <w:t>，为排水沟、管线沟槽土方等；总填方</w:t>
      </w:r>
      <w:r>
        <w:rPr>
          <w:bCs/>
          <w:lang w:bidi="en-US"/>
        </w:rPr>
        <w:t>39186.86m</w:t>
      </w:r>
      <w:r>
        <w:rPr>
          <w:bCs/>
          <w:vertAlign w:val="superscript"/>
          <w:lang w:bidi="en-US"/>
        </w:rPr>
        <w:t>3</w:t>
      </w:r>
      <w:r>
        <w:rPr>
          <w:rFonts w:hint="eastAsia"/>
          <w:bCs/>
          <w:lang w:bidi="en-US"/>
        </w:rPr>
        <w:t>，外购绿化覆土</w:t>
      </w:r>
      <w:r>
        <w:rPr>
          <w:bCs/>
          <w:lang w:bidi="en-US"/>
        </w:rPr>
        <w:t>8044.59m</w:t>
      </w:r>
      <w:r>
        <w:rPr>
          <w:rFonts w:hint="eastAsia" w:ascii="宋体" w:hAnsi="宋体" w:eastAsia="宋体" w:cs="宋体"/>
          <w:bCs/>
          <w:lang w:bidi="en-US"/>
        </w:rPr>
        <w:t>³</w:t>
      </w:r>
      <w:r>
        <w:rPr>
          <w:rFonts w:hint="eastAsia"/>
          <w:bCs/>
          <w:lang w:bidi="en-US"/>
        </w:rPr>
        <w:t>，无弃方。</w:t>
      </w:r>
    </w:p>
    <w:p w14:paraId="4F44C5FF">
      <w:r>
        <w:rPr>
          <w:rFonts w:hint="eastAsia"/>
        </w:rPr>
        <w:t>2022年5月，根据水土保持有关要求，</w:t>
      </w:r>
      <w:r>
        <w:t>受</w:t>
      </w:r>
      <w:r>
        <w:rPr>
          <w:rFonts w:hint="eastAsia"/>
        </w:rPr>
        <w:t>建设单位</w:t>
      </w:r>
      <w:r>
        <w:t>的委托，</w:t>
      </w:r>
      <w:r>
        <w:rPr>
          <w:rFonts w:hint="eastAsia"/>
          <w:bCs/>
        </w:rPr>
        <w:t>兴宁市粤宁水利水电勘测设计有限公司</w:t>
      </w:r>
      <w:r>
        <w:rPr>
          <w:rFonts w:hint="eastAsia"/>
        </w:rPr>
        <w:t>（以下简称“我公司”）</w:t>
      </w:r>
      <w:r>
        <w:t>承担</w:t>
      </w:r>
      <w:r>
        <w:rPr>
          <w:rFonts w:hint="eastAsia"/>
          <w:lang w:bidi="en-US"/>
        </w:rPr>
        <w:t>本</w:t>
      </w:r>
      <w:r>
        <w:t>工程水土保持设施验收报告编制工作，为工程竣工验收提供技术依据。接受任务后，20</w:t>
      </w:r>
      <w:r>
        <w:rPr>
          <w:rFonts w:hint="eastAsia"/>
        </w:rPr>
        <w:t>22</w:t>
      </w:r>
      <w:r>
        <w:t>年</w:t>
      </w:r>
      <w:r>
        <w:rPr>
          <w:rFonts w:hint="eastAsia"/>
        </w:rPr>
        <w:t>6</w:t>
      </w:r>
      <w:r>
        <w:t>月，我公司组织水土保持、生态学及概估算等相关专业技术人员成立了验收项目组。</w:t>
      </w:r>
    </w:p>
    <w:p w14:paraId="20972647">
      <w:r>
        <w:t>根据水利部办公厅关于印发生产建设项目水土保持设施自主验收规程（试行）的通知的要求，验收项目组先后多次深入工程项目现场，对项目的水土保持工作开展情况进行了实地查勘、调查和分析，听取了各参建单位对工程建设情况的介绍，查阅了水土保持方案报告书等相关图文资料。项目验收组抽查了水土保持设施及关键分部工程，检查了工程质量，核查了各项措施的工程量，对水土流失防治责任范围内的水土流失现状、水土保持措施防治效果进行了评估，经认真分析相关资料的基础上，我公司于20</w:t>
      </w:r>
      <w:r>
        <w:rPr>
          <w:rFonts w:hint="eastAsia"/>
        </w:rPr>
        <w:t>22</w:t>
      </w:r>
      <w:r>
        <w:t>年</w:t>
      </w:r>
      <w:r>
        <w:rPr>
          <w:rFonts w:hint="eastAsia"/>
        </w:rPr>
        <w:t>6</w:t>
      </w:r>
      <w:r>
        <w:t>月编写完成了《兴宁市亲水公园一区工程项目水土保持设施验收报告》。</w:t>
      </w:r>
    </w:p>
    <w:p w14:paraId="5C1D9DC3">
      <w:r>
        <w:t>经资料查阅及现场实测复核，工程建设期</w:t>
      </w:r>
      <w:r>
        <w:rPr>
          <w:rFonts w:hint="eastAsia"/>
        </w:rPr>
        <w:t>及运行期</w:t>
      </w:r>
      <w:r>
        <w:t>兴宁市亲水公园一区工程项目实际发生防治责任范围</w:t>
      </w:r>
      <w:r>
        <w:rPr>
          <w:rFonts w:hint="eastAsia"/>
        </w:rPr>
        <w:t>面积</w:t>
      </w:r>
      <w:r>
        <w:t>为</w:t>
      </w:r>
      <w:r>
        <w:rPr>
          <w:rFonts w:hint="eastAsia"/>
        </w:rPr>
        <w:t>9.36</w:t>
      </w:r>
      <w:r>
        <w:t>hm</w:t>
      </w:r>
      <w:r>
        <w:rPr>
          <w:vertAlign w:val="superscript"/>
        </w:rPr>
        <w:t>2</w:t>
      </w:r>
      <w:r>
        <w:t>，全部为项目建设区面积。</w:t>
      </w:r>
    </w:p>
    <w:p w14:paraId="2FB731E2">
      <w:r>
        <w:t>完成主要水土保持工程量：</w:t>
      </w:r>
      <w:r>
        <w:rPr>
          <w:rFonts w:hint="eastAsia"/>
        </w:rPr>
        <w:t>污水管（</w:t>
      </w:r>
      <w:r>
        <w:t xml:space="preserve">DN200SN8 </w:t>
      </w:r>
      <w:r>
        <w:rPr>
          <w:rFonts w:hint="eastAsia"/>
        </w:rPr>
        <w:t>）</w:t>
      </w:r>
      <w:r>
        <w:t xml:space="preserve">550.53m </w:t>
      </w:r>
      <w:r>
        <w:rPr>
          <w:rFonts w:hint="eastAsia"/>
        </w:rPr>
        <w:t>，</w:t>
      </w:r>
      <w:r>
        <w:t xml:space="preserve"> </w:t>
      </w:r>
      <w:r>
        <w:rPr>
          <w:rFonts w:hint="eastAsia"/>
        </w:rPr>
        <w:t>雨水管（</w:t>
      </w:r>
      <w:r>
        <w:t>DN200 SN8</w:t>
      </w:r>
      <w:r>
        <w:rPr>
          <w:rFonts w:hint="eastAsia"/>
        </w:rPr>
        <w:t>）</w:t>
      </w:r>
      <w:r>
        <w:t>180m</w:t>
      </w:r>
      <w:r>
        <w:rPr>
          <w:rFonts w:hint="eastAsia"/>
        </w:rPr>
        <w:t>，Ⅱ级钢筋混凝土管（</w:t>
      </w:r>
      <w:r>
        <w:t>DN800</w:t>
      </w:r>
      <w:r>
        <w:rPr>
          <w:rFonts w:hint="eastAsia"/>
        </w:rPr>
        <w:t>）</w:t>
      </w:r>
      <w:r>
        <w:t>206m</w:t>
      </w:r>
      <w:r>
        <w:rPr>
          <w:rFonts w:hint="eastAsia"/>
        </w:rPr>
        <w:t>，Ⅱ级钢筋混凝土管（</w:t>
      </w:r>
      <w:r>
        <w:t>DN600</w:t>
      </w:r>
      <w:r>
        <w:rPr>
          <w:rFonts w:hint="eastAsia"/>
        </w:rPr>
        <w:t>）</w:t>
      </w:r>
      <w:r>
        <w:t>239m</w:t>
      </w:r>
      <w:r>
        <w:rPr>
          <w:rFonts w:hint="eastAsia"/>
        </w:rPr>
        <w:t>，Ⅱ级钢筋混凝土管（</w:t>
      </w:r>
      <w:r>
        <w:t>DN400</w:t>
      </w:r>
      <w:r>
        <w:rPr>
          <w:rFonts w:hint="eastAsia"/>
        </w:rPr>
        <w:t>）</w:t>
      </w:r>
      <w:r>
        <w:t>62m</w:t>
      </w:r>
      <w:r>
        <w:rPr>
          <w:rFonts w:hint="eastAsia"/>
        </w:rPr>
        <w:t>，雨水检查井</w:t>
      </w:r>
      <w:r>
        <w:t xml:space="preserve">8 </w:t>
      </w:r>
      <w:r>
        <w:rPr>
          <w:rFonts w:hint="eastAsia"/>
        </w:rPr>
        <w:t>座，污水检查井</w:t>
      </w:r>
      <w:r>
        <w:t xml:space="preserve">20 </w:t>
      </w:r>
      <w:r>
        <w:rPr>
          <w:rFonts w:hint="eastAsia"/>
        </w:rPr>
        <w:t>座，矩形检查井</w:t>
      </w:r>
      <w:r>
        <w:t xml:space="preserve">8 </w:t>
      </w:r>
      <w:r>
        <w:rPr>
          <w:rFonts w:hint="eastAsia"/>
        </w:rPr>
        <w:t>座，雨水沉泥井</w:t>
      </w:r>
      <w:r>
        <w:t xml:space="preserve">4 </w:t>
      </w:r>
      <w:r>
        <w:rPr>
          <w:rFonts w:hint="eastAsia"/>
        </w:rPr>
        <w:t>座，（园林）沉泥井</w:t>
      </w:r>
      <w:r>
        <w:t xml:space="preserve">8 </w:t>
      </w:r>
      <w:r>
        <w:rPr>
          <w:rFonts w:hint="eastAsia"/>
        </w:rPr>
        <w:t>座，雨水井</w:t>
      </w:r>
      <w:r>
        <w:t>38</w:t>
      </w:r>
      <w:r>
        <w:rPr>
          <w:rFonts w:hint="eastAsia"/>
        </w:rPr>
        <w:t>座，</w:t>
      </w:r>
      <w:r>
        <w:t>UPVC</w:t>
      </w:r>
      <w:r>
        <w:rPr>
          <w:rFonts w:hint="eastAsia"/>
        </w:rPr>
        <w:t>排水管（Φ</w:t>
      </w:r>
      <w:r>
        <w:t>160</w:t>
      </w:r>
      <w:r>
        <w:rPr>
          <w:rFonts w:hint="eastAsia"/>
        </w:rPr>
        <w:t>）</w:t>
      </w:r>
      <w:r>
        <w:t>20m</w:t>
      </w:r>
      <w:r>
        <w:rPr>
          <w:rFonts w:hint="eastAsia"/>
        </w:rPr>
        <w:t>，</w:t>
      </w:r>
      <w:r>
        <w:t>UPVC</w:t>
      </w:r>
      <w:r>
        <w:rPr>
          <w:rFonts w:hint="eastAsia"/>
        </w:rPr>
        <w:t>排水管（Φ</w:t>
      </w:r>
      <w:r>
        <w:t>110</w:t>
      </w:r>
      <w:r>
        <w:rPr>
          <w:rFonts w:hint="eastAsia"/>
        </w:rPr>
        <w:t>）</w:t>
      </w:r>
      <w:r>
        <w:t>25m</w:t>
      </w:r>
      <w:r>
        <w:rPr>
          <w:rFonts w:hint="eastAsia"/>
        </w:rPr>
        <w:t>，</w:t>
      </w:r>
      <w:r>
        <w:t>UPVC</w:t>
      </w:r>
      <w:r>
        <w:rPr>
          <w:rFonts w:hint="eastAsia"/>
        </w:rPr>
        <w:t>排水管（Φ</w:t>
      </w:r>
      <w:r>
        <w:t>75</w:t>
      </w:r>
      <w:r>
        <w:rPr>
          <w:rFonts w:hint="eastAsia"/>
        </w:rPr>
        <w:t>）</w:t>
      </w:r>
      <w:r>
        <w:t>10m</w:t>
      </w:r>
      <w:r>
        <w:rPr>
          <w:rFonts w:hint="eastAsia"/>
        </w:rPr>
        <w:t>，塑料管（</w:t>
      </w:r>
      <w:r>
        <w:t>DN300 SN8</w:t>
      </w:r>
      <w:r>
        <w:rPr>
          <w:rFonts w:hint="eastAsia"/>
        </w:rPr>
        <w:t>）</w:t>
      </w:r>
      <w:r>
        <w:t>100m</w:t>
      </w:r>
      <w:r>
        <w:rPr>
          <w:rFonts w:hint="eastAsia"/>
        </w:rPr>
        <w:t>，污水管（</w:t>
      </w:r>
      <w:r>
        <w:t>DN400 SN8</w:t>
      </w:r>
      <w:r>
        <w:rPr>
          <w:rFonts w:hint="eastAsia"/>
        </w:rPr>
        <w:t>）</w:t>
      </w:r>
      <w:r>
        <w:t>376m</w:t>
      </w:r>
      <w:r>
        <w:rPr>
          <w:rFonts w:hint="eastAsia"/>
        </w:rPr>
        <w:t>，</w:t>
      </w:r>
      <w:r>
        <w:t>PVC</w:t>
      </w:r>
      <w:r>
        <w:rPr>
          <w:rFonts w:hint="eastAsia"/>
        </w:rPr>
        <w:t>排水管（</w:t>
      </w:r>
      <w:r>
        <w:t>DN150</w:t>
      </w:r>
      <w:r>
        <w:rPr>
          <w:rFonts w:hint="eastAsia"/>
        </w:rPr>
        <w:t>）</w:t>
      </w:r>
      <w:r>
        <w:t>300m</w:t>
      </w:r>
      <w:r>
        <w:rPr>
          <w:rFonts w:hint="eastAsia"/>
        </w:rPr>
        <w:t>，乔木1129株，灌木955株，花卉8019.29m</w:t>
      </w:r>
      <w:r>
        <w:rPr>
          <w:rFonts w:hint="eastAsia"/>
          <w:vertAlign w:val="superscript"/>
        </w:rPr>
        <w:t>2</w:t>
      </w:r>
      <w:r>
        <w:rPr>
          <w:rFonts w:hint="eastAsia"/>
        </w:rPr>
        <w:t>，植草皮21725.55 m</w:t>
      </w:r>
      <w:r>
        <w:rPr>
          <w:rFonts w:hint="eastAsia"/>
          <w:vertAlign w:val="superscript"/>
        </w:rPr>
        <w:t>2</w:t>
      </w:r>
      <w:r>
        <w:rPr>
          <w:rFonts w:hint="eastAsia"/>
        </w:rPr>
        <w:t>，植草砖3750.27 m</w:t>
      </w:r>
      <w:r>
        <w:rPr>
          <w:rFonts w:hint="eastAsia"/>
          <w:vertAlign w:val="superscript"/>
        </w:rPr>
        <w:t>2</w:t>
      </w:r>
      <w:r>
        <w:rPr>
          <w:rFonts w:hint="eastAsia"/>
        </w:rPr>
        <w:t>，竹类16株，攀缘植物375株</w:t>
      </w:r>
      <w:r>
        <w:t>。</w:t>
      </w:r>
      <w:r>
        <w:rPr>
          <w:rFonts w:hint="eastAsia"/>
        </w:rPr>
        <w:t>共计</w:t>
      </w:r>
      <w:r>
        <w:t>完成水土保持总投资</w:t>
      </w:r>
      <w:r>
        <w:rPr>
          <w:rFonts w:hint="eastAsia"/>
        </w:rPr>
        <w:t>482.92</w:t>
      </w:r>
      <w:r>
        <w:t>万元。</w:t>
      </w:r>
    </w:p>
    <w:p w14:paraId="191A8BBB">
      <w:pPr>
        <w:rPr>
          <w:bCs/>
        </w:rPr>
      </w:pPr>
      <w:r>
        <w:t>项目区</w:t>
      </w:r>
      <w:r>
        <w:rPr>
          <w:rFonts w:hint="eastAsia"/>
          <w:bCs/>
        </w:rPr>
        <w:t>水土流失总治理度为100%，土壤流失控制比达到1.0，渣土防护率为99%，表土保护率为92%，林草植被恢复率达到100%，林草覆盖率为43.7%，</w:t>
      </w:r>
      <w:r>
        <w:t>各项水土流失防治指标已达到目标值。</w:t>
      </w:r>
    </w:p>
    <w:p w14:paraId="39DCDDE1">
      <w:pPr>
        <w:pStyle w:val="2"/>
      </w:pPr>
      <w:bookmarkStart w:id="10" w:name="_Toc260820613"/>
      <w:bookmarkStart w:id="11" w:name="_Toc274662732"/>
      <w:bookmarkStart w:id="12" w:name="_Toc292361713"/>
      <w:bookmarkStart w:id="13" w:name="_Toc370111136"/>
      <w:r>
        <w:br w:type="page"/>
      </w:r>
      <w:bookmarkStart w:id="14" w:name="_Toc108445715"/>
      <w:r>
        <w:t xml:space="preserve">1 </w:t>
      </w:r>
      <w:bookmarkEnd w:id="10"/>
      <w:bookmarkEnd w:id="11"/>
      <w:bookmarkEnd w:id="12"/>
      <w:bookmarkEnd w:id="13"/>
      <w:r>
        <w:t>项目及项目区概况</w:t>
      </w:r>
      <w:bookmarkEnd w:id="14"/>
    </w:p>
    <w:bookmarkEnd w:id="9"/>
    <w:p w14:paraId="54A3388C">
      <w:pPr>
        <w:pStyle w:val="3"/>
        <w:rPr>
          <w:rFonts w:eastAsia="宋体"/>
        </w:rPr>
      </w:pPr>
      <w:bookmarkStart w:id="15" w:name="_Toc108445716"/>
      <w:bookmarkStart w:id="16" w:name="_Toc370111137"/>
      <w:bookmarkStart w:id="17" w:name="_Toc274662733"/>
      <w:bookmarkStart w:id="18" w:name="_Toc260820614"/>
      <w:bookmarkStart w:id="19" w:name="_Toc292361714"/>
      <w:bookmarkStart w:id="20" w:name="_Toc244072190"/>
      <w:r>
        <w:rPr>
          <w:rFonts w:eastAsia="宋体"/>
        </w:rPr>
        <w:t>1.1 项目概况</w:t>
      </w:r>
      <w:bookmarkEnd w:id="15"/>
      <w:bookmarkEnd w:id="16"/>
      <w:bookmarkEnd w:id="17"/>
      <w:bookmarkEnd w:id="18"/>
      <w:bookmarkEnd w:id="19"/>
    </w:p>
    <w:p w14:paraId="63689D20">
      <w:pPr>
        <w:pStyle w:val="4"/>
      </w:pPr>
      <w:r>
        <w:t>1.1.1 地理位置</w:t>
      </w:r>
    </w:p>
    <w:p w14:paraId="317CEB2F">
      <w:r>
        <w:rPr>
          <w:rFonts w:hint="eastAsia"/>
        </w:rPr>
        <w:t>兴宁市中心城区新城核心，北至兴南大桥，南至锦绣大桥段。项目中心地理坐标：北纬</w:t>
      </w:r>
      <w:r>
        <w:t>24</w:t>
      </w:r>
      <w:r>
        <w:rPr>
          <w:rFonts w:hint="eastAsia"/>
        </w:rPr>
        <w:t>°</w:t>
      </w:r>
      <w:r>
        <w:t>7</w:t>
      </w:r>
      <w:r>
        <w:rPr>
          <w:rFonts w:hint="eastAsia"/>
        </w:rPr>
        <w:t>′</w:t>
      </w:r>
      <w:r>
        <w:t>14</w:t>
      </w:r>
      <w:r>
        <w:rPr>
          <w:rFonts w:hint="eastAsia"/>
        </w:rPr>
        <w:t>″，东经</w:t>
      </w:r>
      <w:r>
        <w:t>115</w:t>
      </w:r>
      <w:r>
        <w:rPr>
          <w:rFonts w:hint="eastAsia"/>
        </w:rPr>
        <w:t>°</w:t>
      </w:r>
      <w:r>
        <w:t>44</w:t>
      </w:r>
      <w:r>
        <w:rPr>
          <w:rFonts w:hint="eastAsia"/>
        </w:rPr>
        <w:t>′</w:t>
      </w:r>
      <w:r>
        <w:t>8</w:t>
      </w:r>
      <w:r>
        <w:rPr>
          <w:rFonts w:hint="eastAsia"/>
        </w:rPr>
        <w:t>″。</w:t>
      </w:r>
    </w:p>
    <w:p w14:paraId="0486FF5A">
      <w:pPr>
        <w:pStyle w:val="4"/>
      </w:pPr>
      <w:r>
        <w:t>1.1.2 主要技术指标</w:t>
      </w:r>
    </w:p>
    <w:p w14:paraId="46EC5036">
      <w:r>
        <w:rPr>
          <w:rFonts w:hint="eastAsia"/>
        </w:rPr>
        <w:t>本项目为新建建设类项目，建设内容为：管理用房</w:t>
      </w:r>
      <w:r>
        <w:t xml:space="preserve">1 </w:t>
      </w:r>
      <w:r>
        <w:rPr>
          <w:rFonts w:hint="eastAsia"/>
        </w:rPr>
        <w:t>座、公厕</w:t>
      </w:r>
      <w:r>
        <w:t xml:space="preserve">5 </w:t>
      </w:r>
      <w:r>
        <w:rPr>
          <w:rFonts w:hint="eastAsia"/>
        </w:rPr>
        <w:t>座，项目室外工程主要包括市政道路工程约</w:t>
      </w:r>
      <w:r>
        <w:t xml:space="preserve">0.7 </w:t>
      </w:r>
      <w:r>
        <w:rPr>
          <w:rFonts w:hint="eastAsia"/>
        </w:rPr>
        <w:t>公里（和山河至锦绣大桥东岸约</w:t>
      </w:r>
      <w:r>
        <w:t>350m,</w:t>
      </w:r>
      <w:r>
        <w:rPr>
          <w:rFonts w:hint="eastAsia"/>
        </w:rPr>
        <w:t>宁江新城八期东面河堤约</w:t>
      </w:r>
      <w:r>
        <w:t xml:space="preserve">400 </w:t>
      </w:r>
      <w:r>
        <w:rPr>
          <w:rFonts w:hint="eastAsia"/>
        </w:rPr>
        <w:t>米）、室外景观绿化、广场、亲水平台、长廊、景观亭、儿童游乐场、生态停车场、栈道桥梁及园路的铺装、照明亮化、给排水等工程。</w:t>
      </w:r>
    </w:p>
    <w:p w14:paraId="44F1E80B">
      <w:pPr>
        <w:pStyle w:val="4"/>
      </w:pPr>
      <w:r>
        <w:t>1.1.3 项目投资</w:t>
      </w:r>
    </w:p>
    <w:p w14:paraId="519D71CE">
      <w:r>
        <w:rPr>
          <w:rFonts w:hint="eastAsia"/>
        </w:rPr>
        <w:t>项目总投资</w:t>
      </w:r>
      <w:r>
        <w:t>7370</w:t>
      </w:r>
      <w:r>
        <w:rPr>
          <w:rFonts w:hint="eastAsia"/>
        </w:rPr>
        <w:t>万元，其中土建投资</w:t>
      </w:r>
      <w:r>
        <w:t>5800</w:t>
      </w:r>
      <w:r>
        <w:rPr>
          <w:rFonts w:hint="eastAsia"/>
        </w:rPr>
        <w:t>万元</w:t>
      </w:r>
      <w:r>
        <w:t>。</w:t>
      </w:r>
    </w:p>
    <w:p w14:paraId="08D30791">
      <w:pPr>
        <w:pStyle w:val="4"/>
      </w:pPr>
      <w:r>
        <w:t>1.1.4 项目组成及布置</w:t>
      </w:r>
    </w:p>
    <w:p w14:paraId="12F21520">
      <w:pPr>
        <w:adjustRightInd w:val="0"/>
        <w:snapToGrid w:val="0"/>
      </w:pPr>
      <w:r>
        <w:rPr>
          <w:rFonts w:hint="eastAsia"/>
        </w:rPr>
        <w:t>一、建筑工程</w:t>
      </w:r>
    </w:p>
    <w:p w14:paraId="2946353A">
      <w:pPr>
        <w:adjustRightInd w:val="0"/>
        <w:snapToGrid w:val="0"/>
      </w:pPr>
      <w:r>
        <w:rPr>
          <w:rFonts w:hint="eastAsia"/>
        </w:rPr>
        <w:t>本项目建筑工程主要为管理用房</w:t>
      </w:r>
      <w:r>
        <w:t>1</w:t>
      </w:r>
      <w:r>
        <w:rPr>
          <w:rFonts w:hint="eastAsia"/>
        </w:rPr>
        <w:t>座、公厕</w:t>
      </w:r>
      <w:r>
        <w:t>4</w:t>
      </w:r>
      <w:r>
        <w:rPr>
          <w:rFonts w:hint="eastAsia"/>
        </w:rPr>
        <w:t>座，景观绿化、广场、亲水平台、长廊、景观亭、儿童游乐场等工程。</w:t>
      </w:r>
    </w:p>
    <w:p w14:paraId="0C0BF910">
      <w:pPr>
        <w:adjustRightInd w:val="0"/>
        <w:snapToGrid w:val="0"/>
      </w:pPr>
      <w:r>
        <w:rPr>
          <w:rFonts w:hint="eastAsia"/>
        </w:rPr>
        <w:t>二、道路工程</w:t>
      </w:r>
    </w:p>
    <w:p w14:paraId="5A6002D6">
      <w:pPr>
        <w:adjustRightInd w:val="0"/>
        <w:snapToGrid w:val="0"/>
      </w:pPr>
      <w:r>
        <w:rPr>
          <w:rFonts w:hint="eastAsia"/>
        </w:rPr>
        <w:t>道路平面设计充分考虑现状地形情况，对外的主要交通道路，均与市区道路相接，</w:t>
      </w:r>
    </w:p>
    <w:p w14:paraId="7C659CF0">
      <w:pPr>
        <w:adjustRightInd w:val="0"/>
        <w:snapToGrid w:val="0"/>
        <w:ind w:firstLine="0" w:firstLineChars="0"/>
      </w:pPr>
      <w:r>
        <w:rPr>
          <w:rFonts w:hint="eastAsia"/>
        </w:rPr>
        <w:t>使整个亲水公园与城市的交通运输网络相联系，满足园区、行人交通安全要求。园区外</w:t>
      </w:r>
    </w:p>
    <w:p w14:paraId="2F5ABF5B">
      <w:pPr>
        <w:adjustRightInd w:val="0"/>
        <w:snapToGrid w:val="0"/>
        <w:ind w:firstLine="0" w:firstLineChars="0"/>
      </w:pPr>
      <w:r>
        <w:rPr>
          <w:rFonts w:hint="eastAsia"/>
        </w:rPr>
        <w:t>堤岸机动车辆道路宽为</w:t>
      </w:r>
      <w:r>
        <w:t>4-8m</w:t>
      </w:r>
      <w:r>
        <w:rPr>
          <w:rFonts w:hint="eastAsia"/>
        </w:rPr>
        <w:t>。</w:t>
      </w:r>
    </w:p>
    <w:p w14:paraId="510B9500">
      <w:pPr>
        <w:adjustRightInd w:val="0"/>
        <w:snapToGrid w:val="0"/>
      </w:pPr>
      <w:r>
        <w:rPr>
          <w:rFonts w:hint="eastAsia"/>
        </w:rPr>
        <w:t>三、绿化工程</w:t>
      </w:r>
    </w:p>
    <w:p w14:paraId="6BFF5F73">
      <w:pPr>
        <w:adjustRightInd w:val="0"/>
        <w:snapToGrid w:val="0"/>
      </w:pPr>
      <w:r>
        <w:rPr>
          <w:rFonts w:hint="eastAsia"/>
        </w:rPr>
        <w:t>景观布置，联络各活动场所的主干道，一般在道路两侧或一侧配植自然式风景林，</w:t>
      </w:r>
    </w:p>
    <w:p w14:paraId="5D55B56F">
      <w:pPr>
        <w:adjustRightInd w:val="0"/>
        <w:snapToGrid w:val="0"/>
        <w:ind w:firstLine="0" w:firstLineChars="0"/>
      </w:pPr>
      <w:r>
        <w:rPr>
          <w:rFonts w:hint="eastAsia"/>
        </w:rPr>
        <w:t>在道路转弯处，配植高低错落的树丛，与道路形成对景。当道路两侧或一侧有景可赏之</w:t>
      </w:r>
    </w:p>
    <w:p w14:paraId="704EDC2E">
      <w:pPr>
        <w:adjustRightInd w:val="0"/>
        <w:snapToGrid w:val="0"/>
        <w:ind w:firstLine="0" w:firstLineChars="0"/>
      </w:pPr>
      <w:r>
        <w:rPr>
          <w:rFonts w:hint="eastAsia"/>
        </w:rPr>
        <w:t>处，密林地段改为疏林，留出视线，诱导“绿色风景窗”，无林地区可在路的一侧后两</w:t>
      </w:r>
    </w:p>
    <w:p w14:paraId="1D7269ED">
      <w:pPr>
        <w:adjustRightInd w:val="0"/>
        <w:snapToGrid w:val="0"/>
        <w:ind w:firstLine="0" w:firstLineChars="0"/>
      </w:pPr>
      <w:r>
        <w:rPr>
          <w:rFonts w:hint="eastAsia"/>
        </w:rPr>
        <w:t>侧配植花灌木树丛，使游人在沿途就能领自然景观。在游览道两侧若林木郁闭，遮挡视</w:t>
      </w:r>
    </w:p>
    <w:p w14:paraId="7F0B157D">
      <w:pPr>
        <w:adjustRightInd w:val="0"/>
        <w:snapToGrid w:val="0"/>
        <w:ind w:firstLine="0" w:firstLineChars="0"/>
      </w:pPr>
      <w:r>
        <w:rPr>
          <w:rFonts w:hint="eastAsia"/>
        </w:rPr>
        <w:t>线，影响沿途观景，可在密林出留出“绿色风景窗”或密林为疏林，改乔木为矮林。通</w:t>
      </w:r>
    </w:p>
    <w:p w14:paraId="4BE4CE03">
      <w:pPr>
        <w:adjustRightInd w:val="0"/>
        <w:snapToGrid w:val="0"/>
        <w:ind w:firstLine="0" w:firstLineChars="0"/>
      </w:pPr>
      <w:r>
        <w:rPr>
          <w:rFonts w:hint="eastAsia"/>
        </w:rPr>
        <w:t>过曲径以两旁密林为夹景，峰林为对景，在道路转弯处配植当地野生的灌木树丛为前景，</w:t>
      </w:r>
    </w:p>
    <w:p w14:paraId="44FCE0A6">
      <w:pPr>
        <w:adjustRightInd w:val="0"/>
        <w:snapToGrid w:val="0"/>
        <w:ind w:firstLine="0" w:firstLineChars="0"/>
      </w:pPr>
      <w:r>
        <w:rPr>
          <w:rFonts w:hint="eastAsia"/>
        </w:rPr>
        <w:t>分设突出某一主体树种，给人以步移景异之美感。</w:t>
      </w:r>
    </w:p>
    <w:p w14:paraId="0B294163">
      <w:pPr>
        <w:adjustRightInd w:val="0"/>
        <w:snapToGrid w:val="0"/>
      </w:pPr>
      <w:r>
        <w:rPr>
          <w:rFonts w:hint="eastAsia"/>
        </w:rPr>
        <w:t>四、综合管网工程</w:t>
      </w:r>
    </w:p>
    <w:p w14:paraId="404C6B4B">
      <w:pPr>
        <w:adjustRightInd w:val="0"/>
        <w:snapToGrid w:val="0"/>
      </w:pPr>
      <w:r>
        <w:rPr>
          <w:rFonts w:hint="eastAsia"/>
        </w:rPr>
        <w:t>⑴给水规划</w:t>
      </w:r>
    </w:p>
    <w:p w14:paraId="5780E0AE">
      <w:pPr>
        <w:adjustRightInd w:val="0"/>
        <w:snapToGrid w:val="0"/>
      </w:pPr>
      <w:r>
        <w:rPr>
          <w:rFonts w:hint="eastAsia"/>
        </w:rPr>
        <w:t>公园采用分质供水，建筑中生活用水接市政供水管网由市政管网直接供水；公园的</w:t>
      </w:r>
    </w:p>
    <w:p w14:paraId="477FB76E">
      <w:pPr>
        <w:adjustRightInd w:val="0"/>
        <w:snapToGrid w:val="0"/>
        <w:ind w:firstLine="0" w:firstLineChars="0"/>
      </w:pPr>
      <w:r>
        <w:rPr>
          <w:rFonts w:hint="eastAsia"/>
        </w:rPr>
        <w:t>消防、绿化道路浇洒用水来源于市政管网室外消防用水量：</w:t>
      </w:r>
      <w:r>
        <w:t>15L/S</w:t>
      </w:r>
      <w:r>
        <w:rPr>
          <w:rFonts w:hint="eastAsia"/>
        </w:rPr>
        <w:t>，用水时间</w:t>
      </w:r>
      <w:r>
        <w:t>2h</w:t>
      </w:r>
      <w:r>
        <w:rPr>
          <w:rFonts w:hint="eastAsia"/>
        </w:rPr>
        <w:t>。室外管材管径</w:t>
      </w:r>
      <w:r>
        <w:rPr>
          <w:rFonts w:hint="eastAsia" w:ascii="宋体" w:hAnsi="宋体" w:eastAsia="宋体" w:cs="宋体"/>
        </w:rPr>
        <w:t>≧</w:t>
      </w:r>
      <w:r>
        <w:t>DN100</w:t>
      </w:r>
      <w:r>
        <w:rPr>
          <w:rFonts w:hint="eastAsia"/>
        </w:rPr>
        <w:t>的给水管采用球墨铸铁管橡胶圈柔性接口；管径</w:t>
      </w:r>
      <w:r>
        <w:t xml:space="preserve">&lt;DN100 </w:t>
      </w:r>
      <w:r>
        <w:rPr>
          <w:rFonts w:hint="eastAsia"/>
        </w:rPr>
        <w:t>的给谁管采用</w:t>
      </w:r>
      <w:r>
        <w:t>PP-R</w:t>
      </w:r>
      <w:r>
        <w:rPr>
          <w:rFonts w:hint="eastAsia"/>
        </w:rPr>
        <w:t>管；室内给水管</w:t>
      </w:r>
      <w:r>
        <w:t>PP-R</w:t>
      </w:r>
      <w:r>
        <w:rPr>
          <w:rFonts w:hint="eastAsia"/>
        </w:rPr>
        <w:t>管。</w:t>
      </w:r>
    </w:p>
    <w:p w14:paraId="6C8BC4ED">
      <w:pPr>
        <w:adjustRightInd w:val="0"/>
        <w:snapToGrid w:val="0"/>
      </w:pPr>
      <w:r>
        <w:rPr>
          <w:rFonts w:hint="eastAsia"/>
        </w:rPr>
        <w:t>⑵排水规划</w:t>
      </w:r>
    </w:p>
    <w:p w14:paraId="67F57107">
      <w:pPr>
        <w:adjustRightInd w:val="0"/>
        <w:snapToGrid w:val="0"/>
      </w:pPr>
      <w:r>
        <w:rPr>
          <w:rFonts w:hint="eastAsia"/>
        </w:rPr>
        <w:t>公园范围内污废水、雨水分流排放。污废水经化粪池处理后就近排入市政污水管。雨水经有组织收集后，排入市政管网。废水排水量按生活用水的</w:t>
      </w:r>
      <w:r>
        <w:t>80%</w:t>
      </w:r>
      <w:r>
        <w:rPr>
          <w:rFonts w:hint="eastAsia"/>
        </w:rPr>
        <w:t>计算。室内排水管为</w:t>
      </w:r>
      <w:r>
        <w:t>UPVC</w:t>
      </w:r>
      <w:r>
        <w:rPr>
          <w:rFonts w:hint="eastAsia"/>
        </w:rPr>
        <w:t>管，室外采用加筋</w:t>
      </w:r>
      <w:r>
        <w:t xml:space="preserve">UPVC </w:t>
      </w:r>
      <w:r>
        <w:rPr>
          <w:rFonts w:hint="eastAsia"/>
        </w:rPr>
        <w:t>管。</w:t>
      </w:r>
    </w:p>
    <w:p w14:paraId="094A2697">
      <w:pPr>
        <w:pStyle w:val="4"/>
      </w:pPr>
      <w:r>
        <w:t>1.1.5 施工组织及工期</w:t>
      </w:r>
    </w:p>
    <w:p w14:paraId="335B9505">
      <w:pPr>
        <w:rPr>
          <w:rFonts w:eastAsia="仿宋"/>
        </w:rPr>
      </w:pPr>
      <w:r>
        <w:t>（1）土建标段划分</w:t>
      </w:r>
    </w:p>
    <w:p w14:paraId="4FFDF914">
      <w:r>
        <w:t>本工程</w:t>
      </w:r>
      <w:r>
        <w:rPr>
          <w:rFonts w:hint="eastAsia"/>
        </w:rPr>
        <w:t>主体划分为一个标段，中标施工单位为惠州市市政工程有限公司</w:t>
      </w:r>
      <w:r>
        <w:t>。</w:t>
      </w:r>
    </w:p>
    <w:p w14:paraId="12FFC776">
      <w:pPr>
        <w:rPr>
          <w:rFonts w:eastAsia="仿宋"/>
        </w:rPr>
      </w:pPr>
      <w:r>
        <w:t>（2）弃渣场、取土场</w:t>
      </w:r>
    </w:p>
    <w:p w14:paraId="0C0E4D86">
      <w:r>
        <w:t>施工过程中，项目不涉及弃渣场和取土场。</w:t>
      </w:r>
    </w:p>
    <w:p w14:paraId="518EFCC4">
      <w:pPr>
        <w:rPr>
          <w:rFonts w:eastAsia="仿宋"/>
        </w:rPr>
      </w:pPr>
      <w:r>
        <w:t>（3）施工道路</w:t>
      </w:r>
    </w:p>
    <w:p w14:paraId="6892A17B">
      <w:r>
        <w:t>本工程施工期周边交通道路发达，通过既有公路可直达工地，无需修建临时施工道路。</w:t>
      </w:r>
    </w:p>
    <w:p w14:paraId="1AF5B042">
      <w:pPr>
        <w:rPr>
          <w:rFonts w:eastAsia="仿宋"/>
        </w:rPr>
      </w:pPr>
      <w:r>
        <w:t>（4）施工生产生活</w:t>
      </w:r>
      <w:r>
        <w:rPr>
          <w:bCs/>
        </w:rPr>
        <w:t>及办公</w:t>
      </w:r>
      <w:r>
        <w:t>区</w:t>
      </w:r>
    </w:p>
    <w:p w14:paraId="04C3915E">
      <w:r>
        <w:rPr>
          <w:rFonts w:hint="eastAsia"/>
        </w:rPr>
        <w:t>于本项目为线性工程，项目区沿线没有合适的位置可布设施工临时生产、生活设施区，故本项目施工临时生产、生活区租用工程沿线民房。</w:t>
      </w:r>
    </w:p>
    <w:p w14:paraId="77A90FA0">
      <w:r>
        <w:t>（5）施工工期</w:t>
      </w:r>
    </w:p>
    <w:p w14:paraId="111EE0BE">
      <w:pPr>
        <w:rPr>
          <w:bCs/>
        </w:rPr>
      </w:pPr>
      <w:r>
        <w:rPr>
          <w:bCs/>
        </w:rPr>
        <w:t>工程</w:t>
      </w:r>
      <w:r>
        <w:rPr>
          <w:rFonts w:hint="eastAsia"/>
          <w:bCs/>
        </w:rPr>
        <w:t>实际动工时间为2019年9月3日，2020年11月30日完工，工期15个月。</w:t>
      </w:r>
    </w:p>
    <w:p w14:paraId="1604E3AD">
      <w:pPr>
        <w:pStyle w:val="4"/>
      </w:pPr>
      <w:r>
        <w:t>1.1.6 土石方情况</w:t>
      </w:r>
    </w:p>
    <w:p w14:paraId="2DEC9228">
      <w:pPr>
        <w:rPr>
          <w:bCs/>
        </w:rPr>
      </w:pPr>
      <w:r>
        <w:t>根据</w:t>
      </w:r>
      <w:r>
        <w:rPr>
          <w:rFonts w:hint="eastAsia"/>
        </w:rPr>
        <w:t>现场勘察以及查阅施工和监理资料，</w:t>
      </w:r>
      <w:r>
        <w:rPr>
          <w:rFonts w:hint="eastAsia"/>
          <w:bCs/>
        </w:rPr>
        <w:t>工程总挖方</w:t>
      </w:r>
      <w:r>
        <w:rPr>
          <w:bCs/>
        </w:rPr>
        <w:t>31142.27m</w:t>
      </w:r>
      <w:r>
        <w:rPr>
          <w:rFonts w:hint="eastAsia" w:ascii="宋体" w:hAnsi="宋体" w:eastAsia="宋体" w:cs="宋体"/>
          <w:bCs/>
        </w:rPr>
        <w:t>³</w:t>
      </w:r>
      <w:r>
        <w:rPr>
          <w:rFonts w:hint="eastAsia"/>
          <w:bCs/>
        </w:rPr>
        <w:t>，为排水沟、管线沟槽土方等；总填方</w:t>
      </w:r>
      <w:r>
        <w:rPr>
          <w:bCs/>
        </w:rPr>
        <w:t>39186.86m</w:t>
      </w:r>
      <w:r>
        <w:rPr>
          <w:bCs/>
          <w:vertAlign w:val="superscript"/>
        </w:rPr>
        <w:t>3</w:t>
      </w:r>
      <w:r>
        <w:rPr>
          <w:rFonts w:hint="eastAsia"/>
          <w:bCs/>
        </w:rPr>
        <w:t>，外购绿化覆土</w:t>
      </w:r>
      <w:r>
        <w:rPr>
          <w:bCs/>
        </w:rPr>
        <w:t>8044.59m</w:t>
      </w:r>
      <w:r>
        <w:rPr>
          <w:rFonts w:hint="eastAsia" w:ascii="宋体" w:hAnsi="宋体" w:eastAsia="宋体" w:cs="宋体"/>
          <w:bCs/>
        </w:rPr>
        <w:t>³</w:t>
      </w:r>
      <w:r>
        <w:rPr>
          <w:rFonts w:hint="eastAsia"/>
          <w:bCs/>
        </w:rPr>
        <w:t>，无弃方。</w:t>
      </w:r>
    </w:p>
    <w:p w14:paraId="0FA235B8">
      <w:pPr>
        <w:pStyle w:val="4"/>
      </w:pPr>
      <w:r>
        <w:t>1.1.7 征占地情况</w:t>
      </w:r>
    </w:p>
    <w:p w14:paraId="0E15C699">
      <w:r>
        <w:rPr>
          <w:rFonts w:hint="eastAsia"/>
        </w:rPr>
        <w:t>本工程红线范围内总占地</w:t>
      </w:r>
      <w:r>
        <w:t>9.36hm</w:t>
      </w:r>
      <w:r>
        <w:rPr>
          <w:rFonts w:hint="eastAsia" w:ascii="宋体" w:hAnsi="宋体" w:eastAsia="宋体" w:cs="宋体"/>
        </w:rPr>
        <w:t>²</w:t>
      </w:r>
      <w:r>
        <w:rPr>
          <w:rFonts w:hint="eastAsia" w:ascii="仿宋_GB2312" w:hAnsi="仿宋_GB2312" w:cs="仿宋_GB2312"/>
        </w:rPr>
        <w:t>，全部为永久占地，占地类型全部为内陆滩涂、河</w:t>
      </w:r>
      <w:r>
        <w:rPr>
          <w:rFonts w:hint="eastAsia"/>
        </w:rPr>
        <w:t>流水面。</w:t>
      </w:r>
    </w:p>
    <w:p w14:paraId="0D08C269"/>
    <w:p w14:paraId="291F92B0"/>
    <w:p w14:paraId="7A9B1ECE">
      <w:pPr>
        <w:ind w:firstLine="0" w:firstLineChars="0"/>
        <w:jc w:val="left"/>
        <w:rPr>
          <w:rFonts w:ascii="新宋体" w:hAnsi="新宋体" w:eastAsia="新宋体" w:cs="新宋体"/>
          <w:b/>
          <w:bCs/>
          <w:color w:val="000000"/>
          <w:kern w:val="0"/>
          <w:szCs w:val="24"/>
        </w:rPr>
      </w:pPr>
      <w:r>
        <w:rPr>
          <w:rFonts w:hint="eastAsia" w:ascii="新宋体" w:hAnsi="新宋体" w:eastAsia="新宋体" w:cs="新宋体"/>
          <w:b/>
          <w:bCs/>
          <w:color w:val="000000"/>
          <w:kern w:val="0"/>
          <w:szCs w:val="24"/>
        </w:rPr>
        <w:t xml:space="preserve">表1-1                         工程占地表     </w:t>
      </w:r>
    </w:p>
    <w:tbl>
      <w:tblPr>
        <w:tblStyle w:val="32"/>
        <w:tblW w:w="5000" w:type="pct"/>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1777"/>
        <w:gridCol w:w="1777"/>
        <w:gridCol w:w="1779"/>
        <w:gridCol w:w="1113"/>
        <w:gridCol w:w="973"/>
        <w:gridCol w:w="1063"/>
      </w:tblGrid>
      <w:tr w14:paraId="063757F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11" w:type="pct"/>
            <w:vMerge w:val="restart"/>
            <w:vAlign w:val="center"/>
          </w:tcPr>
          <w:p w14:paraId="36F9F217">
            <w:pPr>
              <w:widowControl/>
              <w:spacing w:line="240" w:lineRule="auto"/>
              <w:ind w:firstLine="0" w:firstLineChars="0"/>
              <w:jc w:val="center"/>
              <w:rPr>
                <w:rFonts w:ascii="新宋体" w:hAnsi="新宋体" w:eastAsia="新宋体" w:cs="新宋体"/>
                <w:color w:val="000000"/>
                <w:kern w:val="0"/>
                <w:sz w:val="21"/>
                <w:szCs w:val="21"/>
              </w:rPr>
            </w:pPr>
            <w:r>
              <w:rPr>
                <w:rFonts w:hint="eastAsia" w:ascii="新宋体" w:hAnsi="新宋体" w:eastAsia="新宋体" w:cs="新宋体"/>
                <w:color w:val="000000"/>
                <w:kern w:val="0"/>
                <w:sz w:val="21"/>
                <w:szCs w:val="21"/>
              </w:rPr>
              <w:t>序号</w:t>
            </w:r>
          </w:p>
        </w:tc>
        <w:tc>
          <w:tcPr>
            <w:tcW w:w="960" w:type="pct"/>
            <w:vMerge w:val="restart"/>
            <w:vAlign w:val="center"/>
          </w:tcPr>
          <w:p w14:paraId="72365DFE">
            <w:pPr>
              <w:widowControl/>
              <w:spacing w:line="240" w:lineRule="auto"/>
              <w:ind w:firstLine="0" w:firstLineChars="0"/>
              <w:jc w:val="center"/>
              <w:rPr>
                <w:rFonts w:ascii="新宋体" w:hAnsi="新宋体" w:eastAsia="新宋体" w:cs="新宋体"/>
                <w:color w:val="000000"/>
                <w:kern w:val="0"/>
                <w:sz w:val="21"/>
                <w:szCs w:val="21"/>
              </w:rPr>
            </w:pPr>
            <w:r>
              <w:rPr>
                <w:rFonts w:hint="eastAsia" w:ascii="新宋体" w:hAnsi="新宋体" w:eastAsia="新宋体" w:cs="新宋体"/>
                <w:color w:val="000000"/>
                <w:kern w:val="0"/>
                <w:sz w:val="21"/>
                <w:szCs w:val="21"/>
              </w:rPr>
              <w:t>项目组成</w:t>
            </w:r>
          </w:p>
        </w:tc>
        <w:tc>
          <w:tcPr>
            <w:tcW w:w="1923" w:type="pct"/>
            <w:gridSpan w:val="2"/>
            <w:vAlign w:val="center"/>
          </w:tcPr>
          <w:p w14:paraId="1CE32ED0">
            <w:pPr>
              <w:widowControl/>
              <w:spacing w:line="240" w:lineRule="auto"/>
              <w:ind w:firstLine="0" w:firstLineChars="0"/>
              <w:jc w:val="center"/>
              <w:rPr>
                <w:rFonts w:ascii="新宋体" w:hAnsi="新宋体" w:eastAsia="新宋体" w:cs="新宋体"/>
                <w:color w:val="000000"/>
                <w:kern w:val="0"/>
                <w:sz w:val="21"/>
                <w:szCs w:val="21"/>
              </w:rPr>
            </w:pPr>
            <w:r>
              <w:rPr>
                <w:rFonts w:hint="eastAsia" w:ascii="新宋体" w:hAnsi="新宋体" w:eastAsia="新宋体" w:cs="新宋体"/>
                <w:color w:val="000000"/>
                <w:kern w:val="0"/>
                <w:sz w:val="21"/>
                <w:szCs w:val="21"/>
              </w:rPr>
              <w:t>占地类型及数量（单位：hm</w:t>
            </w:r>
            <w:r>
              <w:rPr>
                <w:rFonts w:hint="eastAsia" w:ascii="新宋体" w:hAnsi="新宋体" w:eastAsia="新宋体" w:cs="新宋体"/>
                <w:color w:val="000000"/>
                <w:kern w:val="0"/>
                <w:sz w:val="21"/>
                <w:szCs w:val="21"/>
                <w:vertAlign w:val="superscript"/>
              </w:rPr>
              <w:t>2</w:t>
            </w:r>
            <w:r>
              <w:rPr>
                <w:rFonts w:hint="eastAsia" w:ascii="新宋体" w:hAnsi="新宋体" w:eastAsia="新宋体" w:cs="新宋体"/>
                <w:color w:val="000000"/>
                <w:kern w:val="0"/>
                <w:sz w:val="21"/>
                <w:szCs w:val="21"/>
              </w:rPr>
              <w:t>）</w:t>
            </w:r>
          </w:p>
        </w:tc>
        <w:tc>
          <w:tcPr>
            <w:tcW w:w="602" w:type="pct"/>
            <w:vMerge w:val="restart"/>
            <w:vAlign w:val="center"/>
          </w:tcPr>
          <w:p w14:paraId="623D3FAE">
            <w:pPr>
              <w:spacing w:line="240" w:lineRule="auto"/>
              <w:ind w:firstLine="0" w:firstLineChars="0"/>
              <w:jc w:val="center"/>
              <w:rPr>
                <w:rFonts w:ascii="新宋体" w:hAnsi="新宋体" w:eastAsia="新宋体" w:cs="新宋体"/>
                <w:color w:val="000000"/>
                <w:kern w:val="0"/>
                <w:sz w:val="21"/>
                <w:szCs w:val="21"/>
              </w:rPr>
            </w:pPr>
            <w:r>
              <w:rPr>
                <w:rFonts w:hint="eastAsia" w:ascii="新宋体" w:hAnsi="新宋体" w:eastAsia="新宋体" w:cs="新宋体"/>
                <w:color w:val="000000"/>
                <w:kern w:val="0"/>
                <w:sz w:val="21"/>
                <w:szCs w:val="21"/>
              </w:rPr>
              <w:t>合计</w:t>
            </w:r>
          </w:p>
        </w:tc>
        <w:tc>
          <w:tcPr>
            <w:tcW w:w="1101" w:type="pct"/>
            <w:gridSpan w:val="2"/>
            <w:vAlign w:val="center"/>
          </w:tcPr>
          <w:p w14:paraId="366FB5A5">
            <w:pPr>
              <w:spacing w:line="240" w:lineRule="auto"/>
              <w:ind w:firstLine="0" w:firstLineChars="0"/>
              <w:jc w:val="center"/>
              <w:rPr>
                <w:rFonts w:ascii="新宋体" w:hAnsi="新宋体" w:eastAsia="新宋体" w:cs="新宋体"/>
                <w:color w:val="000000"/>
                <w:kern w:val="0"/>
                <w:sz w:val="21"/>
                <w:szCs w:val="21"/>
              </w:rPr>
            </w:pPr>
            <w:r>
              <w:rPr>
                <w:rFonts w:hint="eastAsia" w:ascii="新宋体" w:hAnsi="新宋体" w:eastAsia="新宋体" w:cs="新宋体"/>
                <w:color w:val="000000"/>
                <w:kern w:val="0"/>
                <w:sz w:val="21"/>
                <w:szCs w:val="21"/>
              </w:rPr>
              <w:t>占地性质</w:t>
            </w:r>
          </w:p>
        </w:tc>
      </w:tr>
      <w:tr w14:paraId="01CB56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11" w:type="pct"/>
            <w:vMerge w:val="continue"/>
            <w:vAlign w:val="center"/>
          </w:tcPr>
          <w:p w14:paraId="36931BA1">
            <w:pPr>
              <w:widowControl/>
              <w:spacing w:line="240" w:lineRule="auto"/>
              <w:ind w:firstLine="0" w:firstLineChars="0"/>
              <w:jc w:val="center"/>
              <w:rPr>
                <w:rFonts w:ascii="新宋体" w:hAnsi="新宋体" w:eastAsia="新宋体" w:cs="新宋体"/>
                <w:color w:val="000000"/>
                <w:kern w:val="0"/>
                <w:sz w:val="21"/>
                <w:szCs w:val="21"/>
              </w:rPr>
            </w:pPr>
          </w:p>
        </w:tc>
        <w:tc>
          <w:tcPr>
            <w:tcW w:w="960" w:type="pct"/>
            <w:vMerge w:val="continue"/>
            <w:vAlign w:val="center"/>
          </w:tcPr>
          <w:p w14:paraId="6A196471">
            <w:pPr>
              <w:spacing w:line="240" w:lineRule="auto"/>
              <w:ind w:firstLine="0" w:firstLineChars="0"/>
              <w:jc w:val="center"/>
              <w:rPr>
                <w:rFonts w:ascii="新宋体" w:hAnsi="新宋体" w:eastAsia="新宋体" w:cs="新宋体"/>
                <w:color w:val="000000"/>
                <w:sz w:val="21"/>
                <w:szCs w:val="21"/>
              </w:rPr>
            </w:pPr>
          </w:p>
        </w:tc>
        <w:tc>
          <w:tcPr>
            <w:tcW w:w="961" w:type="pct"/>
            <w:vAlign w:val="center"/>
          </w:tcPr>
          <w:p w14:paraId="62205962">
            <w:pPr>
              <w:widowControl/>
              <w:spacing w:line="240" w:lineRule="auto"/>
              <w:ind w:firstLine="0" w:firstLineChars="0"/>
              <w:jc w:val="center"/>
              <w:rPr>
                <w:rFonts w:ascii="新宋体" w:hAnsi="新宋体" w:eastAsia="新宋体" w:cs="新宋体"/>
                <w:color w:val="000000"/>
                <w:kern w:val="0"/>
                <w:sz w:val="21"/>
                <w:szCs w:val="21"/>
              </w:rPr>
            </w:pPr>
            <w:r>
              <w:rPr>
                <w:rFonts w:hint="eastAsia" w:ascii="新宋体" w:hAnsi="新宋体" w:eastAsia="新宋体" w:cs="新宋体"/>
                <w:color w:val="000000"/>
                <w:kern w:val="0"/>
                <w:sz w:val="21"/>
                <w:szCs w:val="21"/>
              </w:rPr>
              <w:t>内陆滩涂</w:t>
            </w:r>
          </w:p>
        </w:tc>
        <w:tc>
          <w:tcPr>
            <w:tcW w:w="962" w:type="pct"/>
            <w:vAlign w:val="center"/>
          </w:tcPr>
          <w:p w14:paraId="741F7496">
            <w:pPr>
              <w:widowControl/>
              <w:spacing w:line="240" w:lineRule="auto"/>
              <w:ind w:firstLine="0" w:firstLineChars="0"/>
              <w:jc w:val="center"/>
              <w:rPr>
                <w:rFonts w:ascii="新宋体" w:hAnsi="新宋体" w:eastAsia="新宋体" w:cs="新宋体"/>
                <w:color w:val="000000"/>
                <w:kern w:val="0"/>
                <w:sz w:val="21"/>
                <w:szCs w:val="21"/>
              </w:rPr>
            </w:pPr>
            <w:r>
              <w:rPr>
                <w:rFonts w:hint="eastAsia" w:ascii="新宋体" w:hAnsi="新宋体" w:eastAsia="新宋体" w:cs="新宋体"/>
                <w:color w:val="000000"/>
                <w:sz w:val="21"/>
                <w:szCs w:val="21"/>
              </w:rPr>
              <w:t>河流水面</w:t>
            </w:r>
          </w:p>
        </w:tc>
        <w:tc>
          <w:tcPr>
            <w:tcW w:w="602" w:type="pct"/>
            <w:vMerge w:val="continue"/>
            <w:vAlign w:val="center"/>
          </w:tcPr>
          <w:p w14:paraId="6E676353">
            <w:pPr>
              <w:widowControl/>
              <w:spacing w:line="240" w:lineRule="auto"/>
              <w:ind w:firstLine="0" w:firstLineChars="0"/>
              <w:jc w:val="center"/>
              <w:rPr>
                <w:rFonts w:ascii="新宋体" w:hAnsi="新宋体" w:eastAsia="新宋体" w:cs="新宋体"/>
                <w:color w:val="000000"/>
                <w:kern w:val="0"/>
                <w:sz w:val="21"/>
                <w:szCs w:val="21"/>
              </w:rPr>
            </w:pPr>
          </w:p>
        </w:tc>
        <w:tc>
          <w:tcPr>
            <w:tcW w:w="526" w:type="pct"/>
            <w:vAlign w:val="center"/>
          </w:tcPr>
          <w:p w14:paraId="66D68D57">
            <w:pPr>
              <w:widowControl/>
              <w:spacing w:line="240" w:lineRule="auto"/>
              <w:ind w:firstLine="0" w:firstLineChars="0"/>
              <w:jc w:val="center"/>
              <w:rPr>
                <w:rFonts w:ascii="新宋体" w:hAnsi="新宋体" w:eastAsia="新宋体" w:cs="新宋体"/>
                <w:color w:val="000000"/>
                <w:kern w:val="0"/>
                <w:sz w:val="21"/>
                <w:szCs w:val="21"/>
              </w:rPr>
            </w:pPr>
            <w:r>
              <w:rPr>
                <w:rFonts w:hint="eastAsia" w:ascii="新宋体" w:hAnsi="新宋体" w:eastAsia="新宋体" w:cs="新宋体"/>
                <w:color w:val="000000"/>
                <w:kern w:val="0"/>
                <w:sz w:val="21"/>
                <w:szCs w:val="21"/>
              </w:rPr>
              <w:t>永久</w:t>
            </w:r>
          </w:p>
        </w:tc>
        <w:tc>
          <w:tcPr>
            <w:tcW w:w="575" w:type="pct"/>
            <w:vAlign w:val="center"/>
          </w:tcPr>
          <w:p w14:paraId="022F8F0A">
            <w:pPr>
              <w:widowControl/>
              <w:spacing w:line="240" w:lineRule="auto"/>
              <w:ind w:firstLine="0" w:firstLineChars="0"/>
              <w:jc w:val="center"/>
              <w:rPr>
                <w:rFonts w:ascii="新宋体" w:hAnsi="新宋体" w:eastAsia="新宋体" w:cs="新宋体"/>
                <w:color w:val="000000"/>
                <w:kern w:val="0"/>
                <w:sz w:val="21"/>
                <w:szCs w:val="21"/>
              </w:rPr>
            </w:pPr>
            <w:r>
              <w:rPr>
                <w:rFonts w:hint="eastAsia" w:ascii="新宋体" w:hAnsi="新宋体" w:eastAsia="新宋体" w:cs="新宋体"/>
                <w:color w:val="000000"/>
                <w:kern w:val="0"/>
                <w:sz w:val="21"/>
                <w:szCs w:val="21"/>
              </w:rPr>
              <w:t>临时</w:t>
            </w:r>
          </w:p>
        </w:tc>
      </w:tr>
      <w:tr w14:paraId="4DA0872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11" w:type="pct"/>
            <w:vAlign w:val="center"/>
          </w:tcPr>
          <w:p w14:paraId="5B19B74E">
            <w:pPr>
              <w:widowControl/>
              <w:spacing w:line="240" w:lineRule="auto"/>
              <w:ind w:firstLine="0" w:firstLineChars="0"/>
              <w:jc w:val="center"/>
              <w:rPr>
                <w:rFonts w:ascii="新宋体" w:hAnsi="新宋体" w:eastAsia="新宋体" w:cs="新宋体"/>
                <w:color w:val="000000"/>
                <w:kern w:val="0"/>
                <w:sz w:val="21"/>
                <w:szCs w:val="21"/>
              </w:rPr>
            </w:pPr>
            <w:r>
              <w:rPr>
                <w:rFonts w:hint="eastAsia" w:ascii="新宋体" w:hAnsi="新宋体" w:eastAsia="新宋体" w:cs="新宋体"/>
                <w:color w:val="000000"/>
                <w:kern w:val="0"/>
                <w:sz w:val="21"/>
                <w:szCs w:val="21"/>
              </w:rPr>
              <w:t>1</w:t>
            </w:r>
          </w:p>
        </w:tc>
        <w:tc>
          <w:tcPr>
            <w:tcW w:w="960" w:type="pct"/>
            <w:vAlign w:val="center"/>
          </w:tcPr>
          <w:p w14:paraId="2A579C88">
            <w:pPr>
              <w:spacing w:line="240" w:lineRule="auto"/>
              <w:ind w:firstLine="0" w:firstLineChars="0"/>
              <w:jc w:val="center"/>
              <w:rPr>
                <w:rFonts w:ascii="新宋体" w:hAnsi="新宋体" w:eastAsia="新宋体" w:cs="新宋体"/>
                <w:color w:val="000000"/>
                <w:sz w:val="21"/>
                <w:szCs w:val="21"/>
              </w:rPr>
            </w:pPr>
            <w:r>
              <w:rPr>
                <w:rFonts w:hint="eastAsia" w:ascii="新宋体" w:hAnsi="新宋体" w:eastAsia="新宋体" w:cs="新宋体"/>
                <w:color w:val="000000"/>
                <w:sz w:val="21"/>
                <w:szCs w:val="21"/>
              </w:rPr>
              <w:t>绿化观赏区</w:t>
            </w:r>
          </w:p>
        </w:tc>
        <w:tc>
          <w:tcPr>
            <w:tcW w:w="961" w:type="pct"/>
            <w:vAlign w:val="center"/>
          </w:tcPr>
          <w:p w14:paraId="7F917A51">
            <w:pPr>
              <w:spacing w:line="240" w:lineRule="auto"/>
              <w:ind w:firstLine="0" w:firstLineChars="0"/>
              <w:jc w:val="center"/>
              <w:rPr>
                <w:rFonts w:ascii="新宋体" w:hAnsi="新宋体" w:eastAsia="新宋体" w:cs="新宋体"/>
                <w:color w:val="000000"/>
                <w:sz w:val="21"/>
                <w:szCs w:val="21"/>
              </w:rPr>
            </w:pPr>
            <w:r>
              <w:rPr>
                <w:rFonts w:hint="eastAsia" w:ascii="新宋体" w:hAnsi="新宋体" w:eastAsia="新宋体" w:cs="新宋体"/>
                <w:color w:val="000000"/>
                <w:sz w:val="21"/>
                <w:szCs w:val="21"/>
              </w:rPr>
              <w:t>3.89</w:t>
            </w:r>
          </w:p>
        </w:tc>
        <w:tc>
          <w:tcPr>
            <w:tcW w:w="962" w:type="pct"/>
            <w:vAlign w:val="center"/>
          </w:tcPr>
          <w:p w14:paraId="4DCD7137">
            <w:pPr>
              <w:spacing w:line="240" w:lineRule="auto"/>
              <w:ind w:firstLine="0" w:firstLineChars="0"/>
              <w:jc w:val="center"/>
              <w:rPr>
                <w:rFonts w:ascii="新宋体" w:hAnsi="新宋体" w:eastAsia="新宋体" w:cs="新宋体"/>
                <w:color w:val="000000"/>
                <w:sz w:val="21"/>
                <w:szCs w:val="21"/>
              </w:rPr>
            </w:pPr>
            <w:r>
              <w:rPr>
                <w:rFonts w:hint="eastAsia" w:ascii="新宋体" w:hAnsi="新宋体" w:eastAsia="新宋体" w:cs="新宋体"/>
                <w:color w:val="000000"/>
                <w:sz w:val="21"/>
                <w:szCs w:val="21"/>
              </w:rPr>
              <w:t>0</w:t>
            </w:r>
          </w:p>
        </w:tc>
        <w:tc>
          <w:tcPr>
            <w:tcW w:w="602" w:type="pct"/>
            <w:vAlign w:val="center"/>
          </w:tcPr>
          <w:p w14:paraId="4BE352BA">
            <w:pPr>
              <w:spacing w:line="240" w:lineRule="auto"/>
              <w:ind w:firstLine="0" w:firstLineChars="0"/>
              <w:jc w:val="center"/>
              <w:rPr>
                <w:rFonts w:ascii="新宋体" w:hAnsi="新宋体" w:eastAsia="新宋体" w:cs="新宋体"/>
                <w:color w:val="000000"/>
                <w:sz w:val="21"/>
                <w:szCs w:val="21"/>
              </w:rPr>
            </w:pPr>
            <w:r>
              <w:rPr>
                <w:rFonts w:hint="eastAsia" w:ascii="新宋体" w:hAnsi="新宋体" w:eastAsia="新宋体" w:cs="新宋体"/>
                <w:color w:val="000000"/>
                <w:sz w:val="21"/>
                <w:szCs w:val="21"/>
              </w:rPr>
              <w:t>3.89</w:t>
            </w:r>
          </w:p>
        </w:tc>
        <w:tc>
          <w:tcPr>
            <w:tcW w:w="526" w:type="pct"/>
            <w:vAlign w:val="center"/>
          </w:tcPr>
          <w:p w14:paraId="4940D36C">
            <w:pPr>
              <w:spacing w:line="240" w:lineRule="auto"/>
              <w:ind w:firstLine="0" w:firstLineChars="0"/>
              <w:jc w:val="center"/>
              <w:rPr>
                <w:rFonts w:ascii="新宋体" w:hAnsi="新宋体" w:eastAsia="新宋体" w:cs="新宋体"/>
                <w:color w:val="000000"/>
                <w:kern w:val="0"/>
                <w:sz w:val="21"/>
                <w:szCs w:val="21"/>
              </w:rPr>
            </w:pPr>
            <w:r>
              <w:rPr>
                <w:rFonts w:hint="eastAsia" w:ascii="新宋体" w:hAnsi="新宋体" w:eastAsia="新宋体" w:cs="新宋体"/>
                <w:color w:val="000000"/>
                <w:sz w:val="21"/>
                <w:szCs w:val="21"/>
              </w:rPr>
              <w:t>3.89</w:t>
            </w:r>
          </w:p>
        </w:tc>
        <w:tc>
          <w:tcPr>
            <w:tcW w:w="575" w:type="pct"/>
            <w:vAlign w:val="center"/>
          </w:tcPr>
          <w:p w14:paraId="0F6893CF">
            <w:pPr>
              <w:widowControl/>
              <w:spacing w:line="240" w:lineRule="auto"/>
              <w:ind w:firstLine="0" w:firstLineChars="0"/>
              <w:jc w:val="center"/>
              <w:textAlignment w:val="center"/>
              <w:rPr>
                <w:rFonts w:ascii="新宋体" w:hAnsi="新宋体" w:eastAsia="新宋体" w:cs="新宋体"/>
                <w:color w:val="000000"/>
                <w:kern w:val="0"/>
                <w:sz w:val="21"/>
                <w:szCs w:val="21"/>
              </w:rPr>
            </w:pPr>
            <w:r>
              <w:rPr>
                <w:rFonts w:hint="eastAsia" w:ascii="新宋体" w:hAnsi="新宋体" w:eastAsia="新宋体" w:cs="新宋体"/>
                <w:color w:val="000000"/>
                <w:kern w:val="0"/>
                <w:sz w:val="21"/>
                <w:szCs w:val="21"/>
              </w:rPr>
              <w:t>/</w:t>
            </w:r>
          </w:p>
        </w:tc>
      </w:tr>
      <w:tr w14:paraId="7FEA55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11" w:type="pct"/>
            <w:vAlign w:val="center"/>
          </w:tcPr>
          <w:p w14:paraId="6F67CA3A">
            <w:pPr>
              <w:widowControl/>
              <w:spacing w:line="240" w:lineRule="auto"/>
              <w:ind w:firstLine="0" w:firstLineChars="0"/>
              <w:jc w:val="center"/>
              <w:rPr>
                <w:rFonts w:ascii="新宋体" w:hAnsi="新宋体" w:eastAsia="新宋体" w:cs="新宋体"/>
                <w:color w:val="000000"/>
                <w:kern w:val="0"/>
                <w:sz w:val="21"/>
                <w:szCs w:val="21"/>
              </w:rPr>
            </w:pPr>
            <w:r>
              <w:rPr>
                <w:rFonts w:hint="eastAsia" w:ascii="新宋体" w:hAnsi="新宋体" w:eastAsia="新宋体" w:cs="新宋体"/>
                <w:color w:val="000000"/>
                <w:kern w:val="0"/>
                <w:sz w:val="21"/>
                <w:szCs w:val="21"/>
              </w:rPr>
              <w:t>2</w:t>
            </w:r>
          </w:p>
        </w:tc>
        <w:tc>
          <w:tcPr>
            <w:tcW w:w="960" w:type="pct"/>
            <w:vAlign w:val="center"/>
          </w:tcPr>
          <w:p w14:paraId="5432C3CB">
            <w:pPr>
              <w:spacing w:line="240" w:lineRule="auto"/>
              <w:ind w:firstLine="0" w:firstLineChars="0"/>
              <w:jc w:val="center"/>
              <w:rPr>
                <w:rFonts w:ascii="新宋体" w:hAnsi="新宋体" w:eastAsia="新宋体" w:cs="新宋体"/>
                <w:color w:val="000000"/>
                <w:sz w:val="21"/>
                <w:szCs w:val="21"/>
              </w:rPr>
            </w:pPr>
            <w:r>
              <w:rPr>
                <w:rFonts w:hint="eastAsia" w:ascii="新宋体" w:hAnsi="新宋体" w:eastAsia="新宋体" w:cs="新宋体"/>
                <w:color w:val="000000"/>
                <w:sz w:val="21"/>
                <w:szCs w:val="21"/>
              </w:rPr>
              <w:t>河床区</w:t>
            </w:r>
          </w:p>
        </w:tc>
        <w:tc>
          <w:tcPr>
            <w:tcW w:w="961" w:type="pct"/>
            <w:vAlign w:val="center"/>
          </w:tcPr>
          <w:p w14:paraId="01965796">
            <w:pPr>
              <w:spacing w:line="240" w:lineRule="auto"/>
              <w:ind w:firstLine="0" w:firstLineChars="0"/>
              <w:jc w:val="center"/>
              <w:rPr>
                <w:rFonts w:ascii="新宋体" w:hAnsi="新宋体" w:eastAsia="新宋体" w:cs="新宋体"/>
                <w:color w:val="000000"/>
                <w:sz w:val="21"/>
                <w:szCs w:val="21"/>
              </w:rPr>
            </w:pPr>
            <w:r>
              <w:rPr>
                <w:rFonts w:hint="eastAsia" w:ascii="新宋体" w:hAnsi="新宋体" w:eastAsia="新宋体" w:cs="新宋体"/>
                <w:color w:val="000000"/>
                <w:sz w:val="21"/>
                <w:szCs w:val="21"/>
              </w:rPr>
              <w:t>0</w:t>
            </w:r>
          </w:p>
        </w:tc>
        <w:tc>
          <w:tcPr>
            <w:tcW w:w="962" w:type="pct"/>
            <w:vAlign w:val="center"/>
          </w:tcPr>
          <w:p w14:paraId="54331D7D">
            <w:pPr>
              <w:spacing w:line="240" w:lineRule="auto"/>
              <w:ind w:firstLine="0" w:firstLineChars="0"/>
              <w:jc w:val="center"/>
              <w:rPr>
                <w:rFonts w:ascii="新宋体" w:hAnsi="新宋体" w:eastAsia="新宋体" w:cs="新宋体"/>
                <w:color w:val="000000"/>
                <w:sz w:val="21"/>
                <w:szCs w:val="21"/>
              </w:rPr>
            </w:pPr>
            <w:r>
              <w:rPr>
                <w:rFonts w:hint="eastAsia" w:ascii="新宋体" w:hAnsi="新宋体" w:eastAsia="新宋体" w:cs="新宋体"/>
                <w:color w:val="000000"/>
                <w:sz w:val="21"/>
                <w:szCs w:val="21"/>
              </w:rPr>
              <w:t>0.49</w:t>
            </w:r>
          </w:p>
        </w:tc>
        <w:tc>
          <w:tcPr>
            <w:tcW w:w="602" w:type="pct"/>
            <w:vAlign w:val="center"/>
          </w:tcPr>
          <w:p w14:paraId="35B82D74">
            <w:pPr>
              <w:spacing w:line="240" w:lineRule="auto"/>
              <w:ind w:firstLine="0" w:firstLineChars="0"/>
              <w:jc w:val="center"/>
              <w:rPr>
                <w:rFonts w:ascii="新宋体" w:hAnsi="新宋体" w:eastAsia="新宋体" w:cs="新宋体"/>
                <w:color w:val="000000"/>
                <w:sz w:val="21"/>
                <w:szCs w:val="21"/>
              </w:rPr>
            </w:pPr>
            <w:r>
              <w:rPr>
                <w:rFonts w:hint="eastAsia" w:ascii="新宋体" w:hAnsi="新宋体" w:eastAsia="新宋体" w:cs="新宋体"/>
                <w:color w:val="000000"/>
                <w:sz w:val="21"/>
                <w:szCs w:val="21"/>
              </w:rPr>
              <w:t>0.49</w:t>
            </w:r>
          </w:p>
        </w:tc>
        <w:tc>
          <w:tcPr>
            <w:tcW w:w="526" w:type="pct"/>
            <w:vAlign w:val="center"/>
          </w:tcPr>
          <w:p w14:paraId="1F878F77">
            <w:pPr>
              <w:spacing w:line="240" w:lineRule="auto"/>
              <w:ind w:firstLine="0" w:firstLineChars="0"/>
              <w:jc w:val="center"/>
              <w:rPr>
                <w:rFonts w:ascii="新宋体" w:hAnsi="新宋体" w:eastAsia="新宋体" w:cs="新宋体"/>
                <w:color w:val="000000"/>
                <w:kern w:val="0"/>
                <w:sz w:val="21"/>
                <w:szCs w:val="21"/>
              </w:rPr>
            </w:pPr>
            <w:r>
              <w:rPr>
                <w:rFonts w:hint="eastAsia" w:ascii="新宋体" w:hAnsi="新宋体" w:eastAsia="新宋体" w:cs="新宋体"/>
                <w:color w:val="000000"/>
                <w:sz w:val="21"/>
                <w:szCs w:val="21"/>
              </w:rPr>
              <w:t>0.49</w:t>
            </w:r>
          </w:p>
        </w:tc>
        <w:tc>
          <w:tcPr>
            <w:tcW w:w="575" w:type="pct"/>
            <w:vAlign w:val="center"/>
          </w:tcPr>
          <w:p w14:paraId="26AB47CB">
            <w:pPr>
              <w:widowControl/>
              <w:spacing w:line="240" w:lineRule="auto"/>
              <w:ind w:firstLine="0" w:firstLineChars="0"/>
              <w:jc w:val="center"/>
              <w:textAlignment w:val="center"/>
              <w:rPr>
                <w:rFonts w:ascii="新宋体" w:hAnsi="新宋体" w:eastAsia="新宋体" w:cs="新宋体"/>
                <w:color w:val="000000"/>
                <w:kern w:val="0"/>
                <w:sz w:val="21"/>
                <w:szCs w:val="21"/>
              </w:rPr>
            </w:pPr>
            <w:r>
              <w:rPr>
                <w:rFonts w:hint="eastAsia" w:ascii="新宋体" w:hAnsi="新宋体" w:eastAsia="新宋体" w:cs="新宋体"/>
                <w:color w:val="000000"/>
                <w:kern w:val="0"/>
                <w:sz w:val="21"/>
                <w:szCs w:val="21"/>
              </w:rPr>
              <w:t>/</w:t>
            </w:r>
          </w:p>
        </w:tc>
      </w:tr>
      <w:tr w14:paraId="220606C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11" w:type="pct"/>
            <w:vAlign w:val="center"/>
          </w:tcPr>
          <w:p w14:paraId="569507FE">
            <w:pPr>
              <w:widowControl/>
              <w:spacing w:line="240" w:lineRule="auto"/>
              <w:ind w:firstLine="0" w:firstLineChars="0"/>
              <w:jc w:val="center"/>
              <w:rPr>
                <w:rFonts w:ascii="新宋体" w:hAnsi="新宋体" w:eastAsia="新宋体" w:cs="新宋体"/>
                <w:color w:val="000000"/>
                <w:kern w:val="0"/>
                <w:sz w:val="21"/>
                <w:szCs w:val="21"/>
              </w:rPr>
            </w:pPr>
            <w:r>
              <w:rPr>
                <w:rFonts w:hint="eastAsia" w:ascii="新宋体" w:hAnsi="新宋体" w:eastAsia="新宋体" w:cs="新宋体"/>
                <w:color w:val="000000"/>
                <w:kern w:val="0"/>
                <w:sz w:val="21"/>
                <w:szCs w:val="21"/>
              </w:rPr>
              <w:t>3</w:t>
            </w:r>
          </w:p>
        </w:tc>
        <w:tc>
          <w:tcPr>
            <w:tcW w:w="960" w:type="pct"/>
            <w:vAlign w:val="center"/>
          </w:tcPr>
          <w:p w14:paraId="42D8706D">
            <w:pPr>
              <w:spacing w:line="240" w:lineRule="auto"/>
              <w:ind w:firstLine="0" w:firstLineChars="0"/>
              <w:jc w:val="center"/>
              <w:rPr>
                <w:rFonts w:ascii="新宋体" w:hAnsi="新宋体" w:eastAsia="新宋体" w:cs="新宋体"/>
                <w:color w:val="000000"/>
                <w:sz w:val="21"/>
                <w:szCs w:val="21"/>
              </w:rPr>
            </w:pPr>
            <w:r>
              <w:rPr>
                <w:rFonts w:hint="eastAsia" w:ascii="新宋体" w:hAnsi="新宋体" w:eastAsia="新宋体" w:cs="新宋体"/>
                <w:color w:val="000000"/>
                <w:sz w:val="21"/>
                <w:szCs w:val="21"/>
              </w:rPr>
              <w:t>道路及广场区</w:t>
            </w:r>
          </w:p>
        </w:tc>
        <w:tc>
          <w:tcPr>
            <w:tcW w:w="961" w:type="pct"/>
            <w:vAlign w:val="center"/>
          </w:tcPr>
          <w:p w14:paraId="1A43E567">
            <w:pPr>
              <w:spacing w:line="240" w:lineRule="auto"/>
              <w:ind w:firstLine="0" w:firstLineChars="0"/>
              <w:jc w:val="center"/>
              <w:rPr>
                <w:rFonts w:ascii="新宋体" w:hAnsi="新宋体" w:eastAsia="新宋体" w:cs="新宋体"/>
                <w:color w:val="000000"/>
                <w:sz w:val="21"/>
                <w:szCs w:val="21"/>
              </w:rPr>
            </w:pPr>
            <w:r>
              <w:rPr>
                <w:rFonts w:hint="eastAsia" w:ascii="新宋体" w:hAnsi="新宋体" w:eastAsia="新宋体" w:cs="新宋体"/>
                <w:color w:val="000000"/>
                <w:sz w:val="21"/>
                <w:szCs w:val="21"/>
              </w:rPr>
              <w:t>4.98</w:t>
            </w:r>
          </w:p>
        </w:tc>
        <w:tc>
          <w:tcPr>
            <w:tcW w:w="962" w:type="pct"/>
            <w:vAlign w:val="center"/>
          </w:tcPr>
          <w:p w14:paraId="24A62714">
            <w:pPr>
              <w:spacing w:line="240" w:lineRule="auto"/>
              <w:ind w:firstLine="0" w:firstLineChars="0"/>
              <w:jc w:val="center"/>
              <w:rPr>
                <w:rFonts w:ascii="新宋体" w:hAnsi="新宋体" w:eastAsia="新宋体" w:cs="新宋体"/>
                <w:color w:val="000000"/>
                <w:sz w:val="21"/>
                <w:szCs w:val="21"/>
              </w:rPr>
            </w:pPr>
            <w:r>
              <w:rPr>
                <w:rFonts w:hint="eastAsia" w:ascii="新宋体" w:hAnsi="新宋体" w:eastAsia="新宋体" w:cs="新宋体"/>
                <w:color w:val="000000"/>
                <w:sz w:val="21"/>
                <w:szCs w:val="21"/>
              </w:rPr>
              <w:t>0</w:t>
            </w:r>
          </w:p>
        </w:tc>
        <w:tc>
          <w:tcPr>
            <w:tcW w:w="602" w:type="pct"/>
            <w:vAlign w:val="center"/>
          </w:tcPr>
          <w:p w14:paraId="43AD1E86">
            <w:pPr>
              <w:spacing w:line="240" w:lineRule="auto"/>
              <w:ind w:firstLine="0" w:firstLineChars="0"/>
              <w:jc w:val="center"/>
              <w:rPr>
                <w:rFonts w:ascii="新宋体" w:hAnsi="新宋体" w:eastAsia="新宋体" w:cs="新宋体"/>
                <w:color w:val="000000"/>
                <w:sz w:val="21"/>
                <w:szCs w:val="21"/>
              </w:rPr>
            </w:pPr>
            <w:r>
              <w:rPr>
                <w:rFonts w:hint="eastAsia" w:ascii="新宋体" w:hAnsi="新宋体" w:eastAsia="新宋体" w:cs="新宋体"/>
                <w:color w:val="000000"/>
                <w:sz w:val="21"/>
                <w:szCs w:val="21"/>
              </w:rPr>
              <w:t>4.98</w:t>
            </w:r>
          </w:p>
        </w:tc>
        <w:tc>
          <w:tcPr>
            <w:tcW w:w="526" w:type="pct"/>
            <w:vAlign w:val="center"/>
          </w:tcPr>
          <w:p w14:paraId="4A9842E6">
            <w:pPr>
              <w:spacing w:line="240" w:lineRule="auto"/>
              <w:ind w:firstLine="0" w:firstLineChars="0"/>
              <w:jc w:val="center"/>
              <w:rPr>
                <w:rFonts w:ascii="新宋体" w:hAnsi="新宋体" w:eastAsia="新宋体" w:cs="新宋体"/>
                <w:color w:val="000000"/>
                <w:sz w:val="21"/>
                <w:szCs w:val="21"/>
              </w:rPr>
            </w:pPr>
            <w:r>
              <w:rPr>
                <w:rFonts w:hint="eastAsia" w:ascii="新宋体" w:hAnsi="新宋体" w:eastAsia="新宋体" w:cs="新宋体"/>
                <w:color w:val="000000"/>
                <w:sz w:val="21"/>
                <w:szCs w:val="21"/>
              </w:rPr>
              <w:t>4.98</w:t>
            </w:r>
          </w:p>
        </w:tc>
        <w:tc>
          <w:tcPr>
            <w:tcW w:w="575" w:type="pct"/>
            <w:vAlign w:val="center"/>
          </w:tcPr>
          <w:p w14:paraId="2BB5B8B2">
            <w:pPr>
              <w:widowControl/>
              <w:spacing w:line="240" w:lineRule="auto"/>
              <w:ind w:firstLine="0" w:firstLineChars="0"/>
              <w:jc w:val="center"/>
              <w:textAlignment w:val="center"/>
              <w:rPr>
                <w:rFonts w:ascii="新宋体" w:hAnsi="新宋体" w:eastAsia="新宋体" w:cs="新宋体"/>
                <w:color w:val="000000"/>
                <w:kern w:val="0"/>
                <w:sz w:val="21"/>
                <w:szCs w:val="21"/>
              </w:rPr>
            </w:pPr>
            <w:r>
              <w:rPr>
                <w:rFonts w:hint="eastAsia" w:ascii="新宋体" w:hAnsi="新宋体" w:eastAsia="新宋体" w:cs="新宋体"/>
                <w:color w:val="000000"/>
                <w:kern w:val="0"/>
                <w:sz w:val="21"/>
                <w:szCs w:val="21"/>
              </w:rPr>
              <w:t>/</w:t>
            </w:r>
          </w:p>
        </w:tc>
      </w:tr>
      <w:tr w14:paraId="7AD9BE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372" w:type="pct"/>
            <w:gridSpan w:val="2"/>
            <w:vAlign w:val="center"/>
          </w:tcPr>
          <w:p w14:paraId="78D5D28B">
            <w:pPr>
              <w:widowControl/>
              <w:spacing w:line="240" w:lineRule="auto"/>
              <w:ind w:firstLine="0" w:firstLineChars="0"/>
              <w:jc w:val="center"/>
              <w:textAlignment w:val="center"/>
              <w:rPr>
                <w:rFonts w:ascii="新宋体" w:hAnsi="新宋体" w:eastAsia="新宋体" w:cs="新宋体"/>
                <w:color w:val="000000"/>
                <w:kern w:val="0"/>
                <w:sz w:val="21"/>
                <w:szCs w:val="21"/>
              </w:rPr>
            </w:pPr>
            <w:r>
              <w:rPr>
                <w:rFonts w:hint="eastAsia" w:ascii="新宋体" w:hAnsi="新宋体" w:eastAsia="新宋体" w:cs="新宋体"/>
                <w:color w:val="000000"/>
                <w:kern w:val="0"/>
                <w:sz w:val="21"/>
                <w:szCs w:val="21"/>
              </w:rPr>
              <w:t>合计</w:t>
            </w:r>
          </w:p>
        </w:tc>
        <w:tc>
          <w:tcPr>
            <w:tcW w:w="1810" w:type="dxa"/>
            <w:vAlign w:val="center"/>
          </w:tcPr>
          <w:p w14:paraId="5ACF394A">
            <w:pPr>
              <w:widowControl/>
              <w:spacing w:line="240" w:lineRule="auto"/>
              <w:ind w:firstLine="0" w:firstLineChars="0"/>
              <w:jc w:val="center"/>
              <w:textAlignment w:val="center"/>
              <w:rPr>
                <w:rFonts w:ascii="新宋体" w:hAnsi="新宋体" w:eastAsia="新宋体" w:cs="新宋体"/>
                <w:color w:val="000000"/>
                <w:kern w:val="0"/>
                <w:sz w:val="21"/>
                <w:szCs w:val="21"/>
              </w:rPr>
            </w:pPr>
            <w:r>
              <w:rPr>
                <w:rFonts w:hint="eastAsia" w:ascii="新宋体" w:hAnsi="新宋体" w:eastAsia="新宋体" w:cs="新宋体"/>
                <w:color w:val="000000"/>
                <w:kern w:val="0"/>
                <w:sz w:val="21"/>
                <w:szCs w:val="21"/>
              </w:rPr>
              <w:t>8.87</w:t>
            </w:r>
          </w:p>
        </w:tc>
        <w:tc>
          <w:tcPr>
            <w:tcW w:w="1812" w:type="dxa"/>
            <w:vAlign w:val="center"/>
          </w:tcPr>
          <w:p w14:paraId="4B9C6018">
            <w:pPr>
              <w:widowControl/>
              <w:spacing w:line="240" w:lineRule="auto"/>
              <w:ind w:firstLine="0" w:firstLineChars="0"/>
              <w:jc w:val="center"/>
              <w:textAlignment w:val="center"/>
              <w:rPr>
                <w:rFonts w:ascii="新宋体" w:hAnsi="新宋体" w:eastAsia="新宋体" w:cs="新宋体"/>
                <w:color w:val="000000"/>
                <w:kern w:val="0"/>
                <w:sz w:val="21"/>
                <w:szCs w:val="21"/>
              </w:rPr>
            </w:pPr>
            <w:r>
              <w:rPr>
                <w:rFonts w:hint="eastAsia" w:ascii="新宋体" w:hAnsi="新宋体" w:eastAsia="新宋体" w:cs="新宋体"/>
                <w:color w:val="000000"/>
                <w:kern w:val="0"/>
                <w:sz w:val="21"/>
                <w:szCs w:val="21"/>
              </w:rPr>
              <w:t>0.49</w:t>
            </w:r>
          </w:p>
        </w:tc>
        <w:tc>
          <w:tcPr>
            <w:tcW w:w="602" w:type="pct"/>
            <w:vAlign w:val="center"/>
          </w:tcPr>
          <w:p w14:paraId="57079B6B">
            <w:pPr>
              <w:widowControl/>
              <w:spacing w:line="240" w:lineRule="auto"/>
              <w:ind w:firstLine="0" w:firstLineChars="0"/>
              <w:jc w:val="center"/>
              <w:textAlignment w:val="center"/>
              <w:rPr>
                <w:rFonts w:ascii="新宋体" w:hAnsi="新宋体" w:eastAsia="新宋体" w:cs="新宋体"/>
                <w:color w:val="000000"/>
                <w:kern w:val="0"/>
                <w:sz w:val="21"/>
                <w:szCs w:val="21"/>
              </w:rPr>
            </w:pPr>
            <w:r>
              <w:rPr>
                <w:rFonts w:hint="eastAsia" w:ascii="新宋体" w:hAnsi="新宋体" w:eastAsia="新宋体" w:cs="新宋体"/>
                <w:color w:val="000000"/>
                <w:kern w:val="0"/>
                <w:sz w:val="21"/>
                <w:szCs w:val="21"/>
              </w:rPr>
              <w:t>9.36</w:t>
            </w:r>
          </w:p>
        </w:tc>
        <w:tc>
          <w:tcPr>
            <w:tcW w:w="526" w:type="pct"/>
            <w:vAlign w:val="center"/>
          </w:tcPr>
          <w:p w14:paraId="16FE0335">
            <w:pPr>
              <w:widowControl/>
              <w:spacing w:line="240" w:lineRule="auto"/>
              <w:ind w:firstLine="0" w:firstLineChars="0"/>
              <w:jc w:val="center"/>
              <w:textAlignment w:val="center"/>
              <w:rPr>
                <w:rFonts w:ascii="新宋体" w:hAnsi="新宋体" w:eastAsia="新宋体" w:cs="新宋体"/>
                <w:b/>
                <w:bCs/>
                <w:color w:val="000000"/>
                <w:kern w:val="0"/>
                <w:sz w:val="21"/>
                <w:szCs w:val="21"/>
              </w:rPr>
            </w:pPr>
            <w:r>
              <w:rPr>
                <w:rFonts w:hint="eastAsia" w:ascii="新宋体" w:hAnsi="新宋体" w:eastAsia="新宋体" w:cs="新宋体"/>
                <w:color w:val="000000"/>
                <w:kern w:val="0"/>
                <w:sz w:val="21"/>
                <w:szCs w:val="21"/>
              </w:rPr>
              <w:t>9.36</w:t>
            </w:r>
          </w:p>
        </w:tc>
        <w:tc>
          <w:tcPr>
            <w:tcW w:w="575" w:type="pct"/>
            <w:vAlign w:val="center"/>
          </w:tcPr>
          <w:p w14:paraId="0534E971">
            <w:pPr>
              <w:widowControl/>
              <w:spacing w:line="240" w:lineRule="auto"/>
              <w:ind w:firstLine="0" w:firstLineChars="0"/>
              <w:jc w:val="center"/>
              <w:textAlignment w:val="center"/>
              <w:rPr>
                <w:rFonts w:ascii="新宋体" w:hAnsi="新宋体" w:eastAsia="新宋体" w:cs="新宋体"/>
                <w:color w:val="000000"/>
                <w:kern w:val="0"/>
                <w:sz w:val="21"/>
                <w:szCs w:val="21"/>
              </w:rPr>
            </w:pPr>
            <w:r>
              <w:rPr>
                <w:rFonts w:hint="eastAsia" w:ascii="新宋体" w:hAnsi="新宋体" w:eastAsia="新宋体" w:cs="新宋体"/>
                <w:color w:val="000000"/>
                <w:kern w:val="0"/>
                <w:sz w:val="21"/>
                <w:szCs w:val="21"/>
              </w:rPr>
              <w:t>0</w:t>
            </w:r>
          </w:p>
        </w:tc>
      </w:tr>
    </w:tbl>
    <w:p w14:paraId="22DCBB6C"/>
    <w:p w14:paraId="36AFCA9E">
      <w:pPr>
        <w:pStyle w:val="4"/>
      </w:pPr>
      <w:r>
        <w:t>1.1.8 移民安置和专项设施改（迁）建</w:t>
      </w:r>
    </w:p>
    <w:p w14:paraId="660BFC4E">
      <w:r>
        <w:rPr>
          <w:rFonts w:hint="eastAsia"/>
        </w:rPr>
        <w:t>本工程未涉及拆迁（移民）安置与专项设施改（迁）建问题</w:t>
      </w:r>
      <w:r>
        <w:t>。</w:t>
      </w:r>
    </w:p>
    <w:bookmarkEnd w:id="20"/>
    <w:p w14:paraId="0DB3E007">
      <w:pPr>
        <w:pStyle w:val="3"/>
        <w:rPr>
          <w:rFonts w:eastAsia="宋体"/>
        </w:rPr>
      </w:pPr>
      <w:bookmarkStart w:id="21" w:name="_Toc260820615"/>
      <w:bookmarkStart w:id="22" w:name="_Toc142706400"/>
      <w:bookmarkStart w:id="23" w:name="_Toc274662734"/>
      <w:bookmarkStart w:id="24" w:name="_Toc199823189"/>
      <w:bookmarkStart w:id="25" w:name="_Toc370111141"/>
      <w:bookmarkStart w:id="26" w:name="_Toc292361715"/>
      <w:bookmarkStart w:id="27" w:name="_Toc249753910"/>
      <w:bookmarkStart w:id="28" w:name="_Toc108445717"/>
      <w:r>
        <w:rPr>
          <w:rFonts w:eastAsia="宋体"/>
        </w:rPr>
        <w:t>1.2 项目区</w:t>
      </w:r>
      <w:bookmarkEnd w:id="21"/>
      <w:bookmarkEnd w:id="22"/>
      <w:bookmarkEnd w:id="23"/>
      <w:bookmarkEnd w:id="24"/>
      <w:bookmarkEnd w:id="25"/>
      <w:bookmarkEnd w:id="26"/>
      <w:bookmarkEnd w:id="27"/>
      <w:r>
        <w:rPr>
          <w:rFonts w:eastAsia="宋体"/>
        </w:rPr>
        <w:t>概况</w:t>
      </w:r>
      <w:bookmarkEnd w:id="28"/>
    </w:p>
    <w:p w14:paraId="6F9A9C58">
      <w:pPr>
        <w:pStyle w:val="4"/>
      </w:pPr>
      <w:bookmarkStart w:id="29" w:name="_Toc300587420"/>
      <w:bookmarkStart w:id="30" w:name="_Toc330470377"/>
      <w:bookmarkStart w:id="31" w:name="_Toc330474841"/>
      <w:bookmarkStart w:id="32" w:name="_Toc332028999"/>
      <w:bookmarkStart w:id="33" w:name="_Toc370111142"/>
      <w:r>
        <w:t>1.2.1 自然条件</w:t>
      </w:r>
    </w:p>
    <w:p w14:paraId="4F67E72C">
      <w:pPr>
        <w:adjustRightInd w:val="0"/>
        <w:snapToGrid w:val="0"/>
        <w:rPr>
          <w:bCs/>
        </w:rPr>
      </w:pPr>
      <w:bookmarkStart w:id="34" w:name="_Toc339213089"/>
      <w:bookmarkStart w:id="35" w:name="_Toc431287837"/>
      <w:bookmarkStart w:id="36" w:name="_Toc445923618"/>
      <w:r>
        <w:rPr>
          <w:rFonts w:hint="eastAsia"/>
          <w:bCs/>
        </w:rPr>
        <w:t>1、地理位置</w:t>
      </w:r>
      <w:bookmarkEnd w:id="34"/>
    </w:p>
    <w:p w14:paraId="709CE53D">
      <w:pPr>
        <w:adjustRightInd w:val="0"/>
        <w:snapToGrid w:val="0"/>
      </w:pPr>
      <w:r>
        <w:rPr>
          <w:rFonts w:hint="eastAsia"/>
        </w:rPr>
        <w:t>项目位于兴宁市中心城区新城核心，北至兴南大桥，南至锦绣大桥段。项目中心地理坐标：北纬</w:t>
      </w:r>
      <w:r>
        <w:t>24</w:t>
      </w:r>
      <w:r>
        <w:rPr>
          <w:rFonts w:hint="eastAsia"/>
        </w:rPr>
        <w:t>°</w:t>
      </w:r>
      <w:r>
        <w:t>7</w:t>
      </w:r>
      <w:r>
        <w:rPr>
          <w:rFonts w:hint="eastAsia"/>
        </w:rPr>
        <w:t>′</w:t>
      </w:r>
      <w:r>
        <w:t>14</w:t>
      </w:r>
      <w:r>
        <w:rPr>
          <w:rFonts w:hint="eastAsia"/>
        </w:rPr>
        <w:t>″，东经</w:t>
      </w:r>
      <w:r>
        <w:t>115</w:t>
      </w:r>
      <w:r>
        <w:rPr>
          <w:rFonts w:hint="eastAsia"/>
        </w:rPr>
        <w:t>°</w:t>
      </w:r>
      <w:r>
        <w:t>44</w:t>
      </w:r>
      <w:r>
        <w:rPr>
          <w:rFonts w:hint="eastAsia"/>
        </w:rPr>
        <w:t>′</w:t>
      </w:r>
      <w:r>
        <w:t>8</w:t>
      </w:r>
      <w:r>
        <w:rPr>
          <w:rFonts w:hint="eastAsia"/>
        </w:rPr>
        <w:t>″。</w:t>
      </w:r>
    </w:p>
    <w:p w14:paraId="57E98947">
      <w:pPr>
        <w:adjustRightInd w:val="0"/>
        <w:snapToGrid w:val="0"/>
        <w:rPr>
          <w:bCs/>
        </w:rPr>
      </w:pPr>
      <w:bookmarkStart w:id="37" w:name="_Toc339213090"/>
      <w:r>
        <w:rPr>
          <w:rFonts w:hint="eastAsia"/>
          <w:bCs/>
        </w:rPr>
        <w:t>2、地形地貌</w:t>
      </w:r>
      <w:bookmarkEnd w:id="37"/>
    </w:p>
    <w:p w14:paraId="6A3B85F6">
      <w:pPr>
        <w:adjustRightInd w:val="0"/>
        <w:snapToGrid w:val="0"/>
        <w:rPr>
          <w:bCs/>
        </w:rPr>
      </w:pPr>
      <w:r>
        <w:rPr>
          <w:rFonts w:hint="eastAsia"/>
          <w:bCs/>
        </w:rPr>
        <w:t>兴宁市处于粤东北山丘地带，受北东至南西走向的莲花山脉和罗浮山脉控制。地形地势总趋势是北西向南东逐渐下降，而南部则由南向北递降。南北狭长，北起阳天嶂，南至铁牛牯峰。境内四周山岭绵亘，中部为300多平方公里的断陷盆地。</w:t>
      </w:r>
    </w:p>
    <w:p w14:paraId="638C6719">
      <w:pPr>
        <w:adjustRightInd w:val="0"/>
        <w:snapToGrid w:val="0"/>
        <w:rPr>
          <w:bCs/>
        </w:rPr>
      </w:pPr>
      <w:r>
        <w:rPr>
          <w:rFonts w:hint="eastAsia"/>
          <w:bCs/>
        </w:rPr>
        <w:t>兴宁地貌类型主要分为5类：平原（盆地）、阶地、台地、丘陵、山地。其中，海拔200m以下的平原（盆地）、阶地、台地等3类占总面积的38.1%；海拔200m至400m的丘陵占49.69%；海拔400m以上的山地占12.21%。</w:t>
      </w:r>
    </w:p>
    <w:p w14:paraId="72E98923">
      <w:pPr>
        <w:adjustRightInd w:val="0"/>
        <w:snapToGrid w:val="0"/>
        <w:rPr>
          <w:bCs/>
        </w:rPr>
      </w:pPr>
      <w:bookmarkStart w:id="38" w:name="_Toc223768114"/>
      <w:bookmarkStart w:id="39" w:name="_Toc339213091"/>
      <w:r>
        <w:rPr>
          <w:rFonts w:hint="eastAsia"/>
          <w:bCs/>
        </w:rPr>
        <w:t>3、地质</w:t>
      </w:r>
      <w:bookmarkEnd w:id="38"/>
      <w:bookmarkEnd w:id="39"/>
    </w:p>
    <w:p w14:paraId="40001CA7">
      <w:pPr>
        <w:adjustRightInd w:val="0"/>
        <w:snapToGrid w:val="0"/>
        <w:rPr>
          <w:bCs/>
        </w:rPr>
      </w:pPr>
      <w:bookmarkStart w:id="40" w:name="_Toc223768115"/>
      <w:r>
        <w:rPr>
          <w:rFonts w:hint="eastAsia"/>
          <w:bCs/>
        </w:rPr>
        <w:t>兴宁市位于广东省东北部。区域地质构造上属于新华厦系构造第二隆起带，在地质历史上经历了燕山期、喜马拉雅期的岩浆及构造活动，其中燕山期的构造运动形成了规模巨大的被东向、北西向和北东向</w:t>
      </w:r>
      <w:r>
        <w:rPr>
          <w:bCs/>
        </w:rPr>
        <w:t>~</w:t>
      </w:r>
      <w:r>
        <w:rPr>
          <w:rFonts w:hint="eastAsia"/>
          <w:bCs/>
        </w:rPr>
        <w:t>东向断裂，构成网格状的构造格架。喜马拉雅期地壳构造运动减弱，主要表现在断裂继承性活动并伴有多期玄武岩喷溢和中性</w:t>
      </w:r>
      <w:r>
        <w:rPr>
          <w:bCs/>
        </w:rPr>
        <w:t>~</w:t>
      </w:r>
      <w:r>
        <w:rPr>
          <w:rFonts w:hint="eastAsia"/>
          <w:bCs/>
        </w:rPr>
        <w:t>酸性岩脉侵入，第四纪以来断裂的继承性活动以大面积上升为主。</w:t>
      </w:r>
    </w:p>
    <w:p w14:paraId="721D9177">
      <w:pPr>
        <w:adjustRightInd w:val="0"/>
        <w:snapToGrid w:val="0"/>
        <w:rPr>
          <w:bCs/>
        </w:rPr>
      </w:pPr>
      <w:r>
        <w:rPr>
          <w:rFonts w:hint="eastAsia"/>
          <w:bCs/>
        </w:rPr>
        <w:t>项目区出露地层主要是震旦系</w:t>
      </w:r>
      <w:r>
        <w:rPr>
          <w:bCs/>
        </w:rPr>
        <w:t>(Zb)</w:t>
      </w:r>
      <w:r>
        <w:rPr>
          <w:rFonts w:hint="eastAsia"/>
          <w:bCs/>
        </w:rPr>
        <w:t>、泥盆系、石炭系、侏罗系和第四系</w:t>
      </w:r>
      <w:r>
        <w:rPr>
          <w:bCs/>
        </w:rPr>
        <w:t>(Q)</w:t>
      </w:r>
      <w:r>
        <w:rPr>
          <w:rFonts w:hint="eastAsia"/>
          <w:bCs/>
        </w:rPr>
        <w:t>等。本工程场地内未发现有断裂构造，地质构造对本工程影响小。</w:t>
      </w:r>
    </w:p>
    <w:bookmarkEnd w:id="40"/>
    <w:p w14:paraId="34AE789E">
      <w:pPr>
        <w:adjustRightInd w:val="0"/>
        <w:snapToGrid w:val="0"/>
        <w:rPr>
          <w:bCs/>
        </w:rPr>
      </w:pPr>
      <w:bookmarkStart w:id="41" w:name="_Toc339213092"/>
      <w:bookmarkStart w:id="42" w:name="_Toc223768116"/>
      <w:r>
        <w:rPr>
          <w:rFonts w:hint="eastAsia"/>
          <w:bCs/>
        </w:rPr>
        <w:t>4、气候气象</w:t>
      </w:r>
      <w:bookmarkEnd w:id="41"/>
      <w:bookmarkEnd w:id="42"/>
    </w:p>
    <w:p w14:paraId="0A99DA7D">
      <w:pPr>
        <w:adjustRightInd w:val="0"/>
        <w:snapToGrid w:val="0"/>
      </w:pPr>
      <w:bookmarkStart w:id="43" w:name="_Toc339213093"/>
      <w:bookmarkStart w:id="44" w:name="_Toc223768117"/>
      <w:r>
        <w:rPr>
          <w:rFonts w:hint="eastAsia"/>
        </w:rPr>
        <w:t>项目区地处南亚热带与中亚热带过渡气候地带，属海洋性季风气候。春季冷暖多变，低温阴雨多，夏季高温，湿润、多雨，秋季前期以台风雷雨影响为主，后半期以冷空气影响为主，冬季寒冷少雨，日照时长，有冰霜。总的气候特点是:光热充足，雨量充沛，气候温暖湿润，灾害性天气较多，光、温、水地域差异明显，属亚热带季风气候。多年平均气温21℃，年降雨量1500~2200mm，年最大降雨量2684.9mm(1975)，年最小降雨量927.5mm(1992),雨量年内分布不均，3~9月占年总雨量的83%。</w:t>
      </w:r>
    </w:p>
    <w:p w14:paraId="7580842D">
      <w:pPr>
        <w:adjustRightInd w:val="0"/>
        <w:snapToGrid w:val="0"/>
        <w:rPr>
          <w:bCs/>
        </w:rPr>
      </w:pPr>
      <w:r>
        <w:rPr>
          <w:rFonts w:hint="eastAsia"/>
          <w:bCs/>
        </w:rPr>
        <w:t>5、</w:t>
      </w:r>
      <w:bookmarkEnd w:id="43"/>
      <w:r>
        <w:rPr>
          <w:rFonts w:hint="eastAsia"/>
          <w:bCs/>
        </w:rPr>
        <w:t>土壤</w:t>
      </w:r>
    </w:p>
    <w:bookmarkEnd w:id="44"/>
    <w:p w14:paraId="2761E42F">
      <w:pPr>
        <w:adjustRightInd w:val="0"/>
        <w:snapToGrid w:val="0"/>
        <w:rPr>
          <w:bCs/>
        </w:rPr>
      </w:pPr>
      <w:bookmarkStart w:id="45" w:name="_Toc339213094"/>
      <w:bookmarkStart w:id="46" w:name="_Toc223768118"/>
      <w:r>
        <w:rPr>
          <w:rFonts w:hint="eastAsia"/>
          <w:bCs/>
        </w:rPr>
        <w:t>兴宁市地带性土壤为赤红壤，发育有紫色土和潮沙泥土。</w:t>
      </w:r>
    </w:p>
    <w:p w14:paraId="7C72065E">
      <w:pPr>
        <w:adjustRightInd w:val="0"/>
        <w:snapToGrid w:val="0"/>
        <w:rPr>
          <w:bCs/>
        </w:rPr>
      </w:pPr>
      <w:r>
        <w:rPr>
          <w:rFonts w:hint="eastAsia"/>
          <w:bCs/>
        </w:rPr>
        <w:t>赤红壤由花岗岩母质发育而成，土体高度风化、深厚，淋溶淀积作用强烈，土壤表层呈暗棕色或灰黄色，中壤土为主，土体部分碱金属和碱土金属含量极少，粘土矿物以高岭石为主。土壤有机质和氮的含量随植被覆盖度和耕作方式而有明显差异，磷的含量较低。土质疏松，易造成水土流失。</w:t>
      </w:r>
    </w:p>
    <w:p w14:paraId="0E3ECEF1">
      <w:pPr>
        <w:adjustRightInd w:val="0"/>
        <w:snapToGrid w:val="0"/>
        <w:rPr>
          <w:bCs/>
        </w:rPr>
      </w:pPr>
      <w:r>
        <w:rPr>
          <w:rFonts w:hint="eastAsia"/>
          <w:bCs/>
        </w:rPr>
        <w:t>潮沙泥土：主要分布在沿河地带，土层深厚，土体疏松，质地均匀，通透性良好，水分易于渗失，毛细管作用强，具夜潮性。</w:t>
      </w:r>
    </w:p>
    <w:p w14:paraId="37F93BCF">
      <w:pPr>
        <w:adjustRightInd w:val="0"/>
        <w:snapToGrid w:val="0"/>
        <w:rPr>
          <w:bCs/>
        </w:rPr>
      </w:pPr>
      <w:r>
        <w:rPr>
          <w:rFonts w:hint="eastAsia"/>
          <w:bCs/>
        </w:rPr>
        <w:t>紫色土：由紫色砂页岩法发育而成，主要分布在低山丘陵，土层浅薄，呈紫色至紫褐色，土壤肥沃，富含钙质（磷酸钙）、磷和钾肥；但土层较薄，已于崩解，地表植被破坏后，极易造成严重的水土流失。</w:t>
      </w:r>
    </w:p>
    <w:p w14:paraId="16315838">
      <w:pPr>
        <w:adjustRightInd w:val="0"/>
        <w:snapToGrid w:val="0"/>
        <w:rPr>
          <w:bCs/>
        </w:rPr>
      </w:pPr>
      <w:r>
        <w:rPr>
          <w:rFonts w:hint="eastAsia"/>
          <w:bCs/>
        </w:rPr>
        <w:t>6、植被</w:t>
      </w:r>
      <w:bookmarkEnd w:id="45"/>
      <w:bookmarkEnd w:id="46"/>
    </w:p>
    <w:p w14:paraId="11AE9BC1">
      <w:pPr>
        <w:adjustRightInd w:val="0"/>
        <w:snapToGrid w:val="0"/>
      </w:pPr>
      <w:r>
        <w:rPr>
          <w:rFonts w:hint="eastAsia"/>
        </w:rPr>
        <w:t>本项目所在地兴宁市植被属亚热带常绿雨林，物种比较丰富。但长期以来，由于人类活动的干扰和影响，原生森林己荡然无存，山地森林大部分属于南亚热带常绿阔叶林。然而，原始的森林早已遭破坏，基本上被马尾松、湿地松、桉树、桃金娘、杜鹃、苦楠树、铁芒其、鹧鸪草等代替。</w:t>
      </w:r>
    </w:p>
    <w:p w14:paraId="08825B37">
      <w:pPr>
        <w:adjustRightInd w:val="0"/>
        <w:snapToGrid w:val="0"/>
      </w:pPr>
      <w:r>
        <w:rPr>
          <w:rFonts w:hint="eastAsia"/>
        </w:rPr>
        <w:t>农业作物主要有水稻，经济作物主要有木薯、木瓜、狗爪豆、花生、黄豆等，果树品种主要有沙田柚、龙眼、香蕉，杨桃、三华李等。</w:t>
      </w:r>
    </w:p>
    <w:p w14:paraId="75DA96DD">
      <w:pPr>
        <w:adjustRightInd w:val="0"/>
        <w:snapToGrid w:val="0"/>
      </w:pPr>
      <w:r>
        <w:rPr>
          <w:rFonts w:hint="eastAsia"/>
        </w:rPr>
        <w:t>土壤侵蚀主要表现为自然侵蚀，人为侵蚀全部为生产建设造成的侵蚀。项目区土壤侵蚀类型以轻度水力侵蚀为主，属轻度侵蚀，水土流失容许值500t/(km</w:t>
      </w:r>
      <w:r>
        <w:rPr>
          <w:rFonts w:hint="eastAsia"/>
          <w:vertAlign w:val="superscript"/>
        </w:rPr>
        <w:t>2</w:t>
      </w:r>
      <w:r>
        <w:rPr>
          <w:rFonts w:hint="eastAsia"/>
        </w:rPr>
        <w:t>.a)。</w:t>
      </w:r>
    </w:p>
    <w:bookmarkEnd w:id="29"/>
    <w:bookmarkEnd w:id="30"/>
    <w:bookmarkEnd w:id="31"/>
    <w:bookmarkEnd w:id="32"/>
    <w:bookmarkEnd w:id="33"/>
    <w:bookmarkEnd w:id="35"/>
    <w:bookmarkEnd w:id="36"/>
    <w:p w14:paraId="3C11D9D9">
      <w:pPr>
        <w:pStyle w:val="4"/>
      </w:pPr>
      <w:bookmarkStart w:id="47" w:name="_Toc244072191"/>
      <w:bookmarkStart w:id="48" w:name="_Toc370111145"/>
      <w:bookmarkStart w:id="49" w:name="_Toc292361716"/>
      <w:r>
        <w:t xml:space="preserve">1.2.2 </w:t>
      </w:r>
      <w:bookmarkEnd w:id="47"/>
      <w:bookmarkEnd w:id="48"/>
      <w:bookmarkEnd w:id="49"/>
      <w:r>
        <w:t>水土流失及防治情况</w:t>
      </w:r>
    </w:p>
    <w:p w14:paraId="38346871">
      <w:pPr>
        <w:rPr>
          <w:bCs/>
        </w:rPr>
      </w:pPr>
      <w:bookmarkStart w:id="50" w:name="_Toc107932390"/>
      <w:bookmarkStart w:id="51" w:name="_Toc177288702"/>
      <w:r>
        <w:rPr>
          <w:rFonts w:hint="eastAsia"/>
          <w:bCs/>
        </w:rPr>
        <w:t>根据相关水土保持规定，2020年10月，业主委托方案编制单位梅州绿明服务咨询有限公司编报水土保持方案。接到业主的委托后，方案编制单位积极组织有关工程技术人员在业主及当地相关部门的协助下，对项目及周边进行了现场勘测、收集有关资料。在此基础上，依照《生产建设项目水土保持技术规范》(GB50433-2018)、《生产建设项目水土流失防治标准》(GB/T50434-2018)进行并完成了《兴宁市亲水公园一区工程项目水土保持方案报告书》的编制。</w:t>
      </w:r>
    </w:p>
    <w:p w14:paraId="61B2D46A">
      <w:pPr>
        <w:rPr>
          <w:bCs/>
        </w:rPr>
      </w:pPr>
      <w:r>
        <w:rPr>
          <w:rFonts w:hint="eastAsia"/>
          <w:bCs/>
        </w:rPr>
        <w:t>2021年3月2日，取得兴宁市</w:t>
      </w:r>
      <w:r>
        <w:rPr>
          <w:bCs/>
        </w:rPr>
        <w:t>水务局</w:t>
      </w:r>
      <w:r>
        <w:rPr>
          <w:rFonts w:hint="eastAsia"/>
          <w:bCs/>
        </w:rPr>
        <w:t>水土保持方案审批准予行政许可决定书</w:t>
      </w:r>
      <w:r>
        <w:rPr>
          <w:bCs/>
        </w:rPr>
        <w:t>（</w:t>
      </w:r>
      <w:r>
        <w:rPr>
          <w:rFonts w:hint="eastAsia"/>
          <w:bCs/>
        </w:rPr>
        <w:t>兴水字〔2021〕13号</w:t>
      </w:r>
      <w:r>
        <w:rPr>
          <w:bCs/>
        </w:rPr>
        <w:t>）文</w:t>
      </w:r>
      <w:r>
        <w:rPr>
          <w:rFonts w:hint="eastAsia"/>
          <w:bCs/>
        </w:rPr>
        <w:t>。</w:t>
      </w:r>
    </w:p>
    <w:p w14:paraId="0CAB1270">
      <w:r>
        <w:rPr>
          <w:bCs/>
        </w:rPr>
        <w:t>项目开工后，建设单位落实了专人负责，并与施工</w:t>
      </w:r>
      <w:r>
        <w:t>、监理等单位负责人成立了水保工作小组，共同承担施工过程中的水土流失防治工作。水土保持措施由施工单位承建，措施质量、进度及投资由主体工程监理一并控制。</w:t>
      </w:r>
    </w:p>
    <w:p w14:paraId="63CCE4BF">
      <w:pPr>
        <w:sectPr>
          <w:footerReference r:id="rId13" w:type="default"/>
          <w:pgSz w:w="11906" w:h="16838"/>
          <w:pgMar w:top="1440" w:right="1440" w:bottom="1440" w:left="1440" w:header="992" w:footer="964" w:gutter="0"/>
          <w:pgNumType w:start="1"/>
          <w:cols w:space="720" w:num="1"/>
          <w:docGrid w:linePitch="312" w:charSpace="0"/>
        </w:sectPr>
      </w:pPr>
      <w:r>
        <w:rPr>
          <w:rFonts w:hint="eastAsia"/>
        </w:rPr>
        <w:t>参照已批复的水土保持方案，项目区所在地梅州市兴宁市属于国家级水土流失重点治理区。</w:t>
      </w:r>
      <w:r>
        <w:t>项目区土壤侵蚀类型为南方红壤丘陵区，土壤侵蚀强度以微度水力侵蚀为主，容许土壤流失量为500t/（km</w:t>
      </w:r>
      <w:r>
        <w:rPr>
          <w:vertAlign w:val="superscript"/>
        </w:rPr>
        <w:t>2</w:t>
      </w:r>
      <w:r>
        <w:t>·a）。</w:t>
      </w:r>
      <w:bookmarkEnd w:id="50"/>
      <w:bookmarkEnd w:id="51"/>
      <w:bookmarkStart w:id="52" w:name="_Toc120523202"/>
      <w:bookmarkStart w:id="53" w:name="_Toc244072198"/>
      <w:bookmarkStart w:id="54" w:name="_Toc138833081"/>
    </w:p>
    <w:bookmarkEnd w:id="52"/>
    <w:bookmarkEnd w:id="53"/>
    <w:bookmarkEnd w:id="54"/>
    <w:p w14:paraId="3C189CDF">
      <w:pPr>
        <w:pStyle w:val="2"/>
      </w:pPr>
      <w:bookmarkStart w:id="55" w:name="_Toc199823201"/>
      <w:bookmarkStart w:id="56" w:name="_Toc249753917"/>
      <w:bookmarkStart w:id="57" w:name="_Toc260820622"/>
      <w:bookmarkStart w:id="58" w:name="_Toc108445718"/>
      <w:bookmarkStart w:id="59" w:name="_Toc292361723"/>
      <w:bookmarkStart w:id="60" w:name="_Toc370111157"/>
      <w:bookmarkStart w:id="61" w:name="_Toc274662741"/>
      <w:bookmarkStart w:id="62" w:name="_Toc144390043"/>
      <w:bookmarkStart w:id="63" w:name="_Toc210197720"/>
      <w:bookmarkStart w:id="64" w:name="_Toc199823210"/>
      <w:bookmarkStart w:id="65" w:name="_Toc142706415"/>
      <w:r>
        <w:t>2 水土保持方案和设计</w:t>
      </w:r>
      <w:bookmarkEnd w:id="55"/>
      <w:bookmarkEnd w:id="56"/>
      <w:bookmarkEnd w:id="57"/>
      <w:r>
        <w:t>情况</w:t>
      </w:r>
      <w:bookmarkEnd w:id="58"/>
      <w:bookmarkEnd w:id="59"/>
      <w:bookmarkEnd w:id="60"/>
      <w:bookmarkEnd w:id="61"/>
    </w:p>
    <w:p w14:paraId="61E45CA6">
      <w:pPr>
        <w:pStyle w:val="3"/>
        <w:rPr>
          <w:rFonts w:eastAsia="宋体"/>
        </w:rPr>
      </w:pPr>
      <w:bookmarkStart w:id="66" w:name="_Toc142706403"/>
      <w:bookmarkStart w:id="67" w:name="_Toc199823202"/>
      <w:bookmarkStart w:id="68" w:name="_Toc260820623"/>
      <w:bookmarkStart w:id="69" w:name="_Toc265824360"/>
      <w:bookmarkStart w:id="70" w:name="_Toc249753918"/>
      <w:bookmarkStart w:id="71" w:name="_Toc108445719"/>
      <w:bookmarkStart w:id="72" w:name="_Toc370111158"/>
      <w:bookmarkStart w:id="73" w:name="_Toc292264694"/>
      <w:r>
        <w:rPr>
          <w:rFonts w:eastAsia="宋体"/>
        </w:rPr>
        <w:t>2.1</w:t>
      </w:r>
      <w:bookmarkEnd w:id="66"/>
      <w:bookmarkEnd w:id="67"/>
      <w:bookmarkEnd w:id="68"/>
      <w:bookmarkEnd w:id="69"/>
      <w:bookmarkEnd w:id="70"/>
      <w:r>
        <w:rPr>
          <w:rFonts w:eastAsia="宋体"/>
        </w:rPr>
        <w:t xml:space="preserve"> 主体工程设计</w:t>
      </w:r>
      <w:bookmarkEnd w:id="71"/>
      <w:bookmarkEnd w:id="72"/>
      <w:bookmarkEnd w:id="73"/>
    </w:p>
    <w:p w14:paraId="202D3E78">
      <w:pPr>
        <w:rPr>
          <w:lang w:bidi="en-US"/>
        </w:rPr>
      </w:pPr>
      <w:bookmarkStart w:id="74" w:name="_Toc199823203"/>
      <w:r>
        <w:rPr>
          <w:lang w:bidi="en-US"/>
        </w:rPr>
        <w:t>2019</w:t>
      </w:r>
      <w:r>
        <w:rPr>
          <w:rFonts w:hint="eastAsia"/>
          <w:lang w:bidi="en-US"/>
        </w:rPr>
        <w:t>年</w:t>
      </w:r>
      <w:r>
        <w:rPr>
          <w:lang w:bidi="en-US"/>
        </w:rPr>
        <w:t>7</w:t>
      </w:r>
      <w:r>
        <w:rPr>
          <w:rFonts w:hint="eastAsia"/>
          <w:lang w:bidi="en-US"/>
        </w:rPr>
        <w:t>月</w:t>
      </w:r>
      <w:r>
        <w:rPr>
          <w:lang w:bidi="en-US"/>
        </w:rPr>
        <w:t>11</w:t>
      </w:r>
      <w:r>
        <w:rPr>
          <w:rFonts w:hint="eastAsia"/>
          <w:lang w:bidi="en-US"/>
        </w:rPr>
        <w:t>日，建设单位取得兴宁市发展和改革局关于该项目的立项批复文件：《关于兴宁市亲水公园一区工程项目可行性研究报告的批复》（兴发改【</w:t>
      </w:r>
      <w:r>
        <w:rPr>
          <w:lang w:bidi="en-US"/>
        </w:rPr>
        <w:t>2019</w:t>
      </w:r>
      <w:r>
        <w:rPr>
          <w:rFonts w:hint="eastAsia"/>
          <w:lang w:bidi="en-US"/>
        </w:rPr>
        <w:t>】</w:t>
      </w:r>
      <w:r>
        <w:rPr>
          <w:lang w:bidi="en-US"/>
        </w:rPr>
        <w:t>93</w:t>
      </w:r>
      <w:r>
        <w:rPr>
          <w:rFonts w:hint="eastAsia"/>
          <w:lang w:bidi="en-US"/>
        </w:rPr>
        <w:t>号），该文件批复同意了兴宁市亲水公园一区工程项目的立项。</w:t>
      </w:r>
    </w:p>
    <w:p w14:paraId="331FC560">
      <w:pPr>
        <w:pStyle w:val="3"/>
        <w:rPr>
          <w:rFonts w:eastAsia="宋体"/>
        </w:rPr>
      </w:pPr>
      <w:bookmarkStart w:id="75" w:name="_Toc108445720"/>
      <w:r>
        <w:rPr>
          <w:rFonts w:eastAsia="宋体"/>
        </w:rPr>
        <w:t>2.2 水土保持方案</w:t>
      </w:r>
      <w:bookmarkEnd w:id="75"/>
    </w:p>
    <w:p w14:paraId="72CEA94A">
      <w:pPr>
        <w:rPr>
          <w:bCs/>
        </w:rPr>
      </w:pPr>
      <w:r>
        <w:rPr>
          <w:rFonts w:hint="eastAsia"/>
          <w:bCs/>
        </w:rPr>
        <w:t>根据相关水土保持规定，2020年10月，业主委托方案编制单位梅州绿明服务咨询有限公司编报水土保持方案。接到业主的委托后，方案编制单位积极组织有关工程技术人员在业主及当地相关部门的协助下，对项目及周边进行了现场勘测、收集有关资料。在此基础上，依照《生产建设项目水土保持技术规范》(GB50433-2018)、《生产建设项目水土流失防治标准》(GB/T50434-2018)进行并完成了《兴宁市亲水公园一区工程项目水土保持方案报告书》的编制。</w:t>
      </w:r>
    </w:p>
    <w:p w14:paraId="6D0B2A27">
      <w:pPr>
        <w:rPr>
          <w:bCs/>
        </w:rPr>
      </w:pPr>
      <w:r>
        <w:rPr>
          <w:rFonts w:hint="eastAsia"/>
          <w:bCs/>
        </w:rPr>
        <w:t>2021年3月2日，取得兴宁市</w:t>
      </w:r>
      <w:r>
        <w:rPr>
          <w:bCs/>
        </w:rPr>
        <w:t>水务局</w:t>
      </w:r>
      <w:r>
        <w:rPr>
          <w:rFonts w:hint="eastAsia"/>
          <w:bCs/>
        </w:rPr>
        <w:t>水土保持方案审批准予行政许可决定书</w:t>
      </w:r>
      <w:r>
        <w:rPr>
          <w:bCs/>
        </w:rPr>
        <w:t>（</w:t>
      </w:r>
      <w:r>
        <w:rPr>
          <w:rFonts w:hint="eastAsia"/>
          <w:bCs/>
        </w:rPr>
        <w:t>兴水字〔2021〕13号</w:t>
      </w:r>
      <w:r>
        <w:rPr>
          <w:bCs/>
        </w:rPr>
        <w:t>）文</w:t>
      </w:r>
      <w:r>
        <w:rPr>
          <w:rFonts w:hint="eastAsia"/>
          <w:bCs/>
        </w:rPr>
        <w:t>。</w:t>
      </w:r>
    </w:p>
    <w:p w14:paraId="5C2C7164">
      <w:r>
        <w:t>工程施工后，主体工程再无水土保持后续专项设计，但已将批复的水土保持方案中各项防治措施和水土保持要求纳入到主体工程中，由施工单位负责实施。</w:t>
      </w:r>
    </w:p>
    <w:p w14:paraId="0A720A29">
      <w:r>
        <w:rPr>
          <w:rFonts w:hint="eastAsia"/>
        </w:rPr>
        <w:t>已批复的水土保持方案中，项目区所在地梅州市兴宁市属于国家级水土流失重点治理区。按照</w:t>
      </w:r>
      <w:r>
        <w:rPr>
          <w:rFonts w:hint="eastAsia"/>
          <w:bCs/>
        </w:rPr>
        <w:t>《生产建设项目水土流失防治标准》(GB/T50434-2018)</w:t>
      </w:r>
      <w:r>
        <w:rPr>
          <w:rFonts w:hint="eastAsia"/>
        </w:rPr>
        <w:t>，本项目水土流失防治标准执行建设类项目一级标准。</w:t>
      </w:r>
    </w:p>
    <w:p w14:paraId="3F56233B">
      <w:pPr>
        <w:widowControl/>
        <w:spacing w:line="240" w:lineRule="auto"/>
        <w:ind w:firstLine="0" w:firstLineChars="0"/>
        <w:jc w:val="left"/>
        <w:rPr>
          <w:rFonts w:eastAsia="宋体"/>
          <w:b/>
          <w:sz w:val="28"/>
        </w:rPr>
      </w:pPr>
      <w:r>
        <w:rPr>
          <w:rFonts w:hint="eastAsia"/>
          <w:b/>
        </w:rPr>
        <w:t>表2-1             生产建设类项目水土流失防治标准一级标准</w:t>
      </w:r>
    </w:p>
    <w:tbl>
      <w:tblPr>
        <w:tblStyle w:val="32"/>
        <w:tblW w:w="5000" w:type="pct"/>
        <w:jc w:val="center"/>
        <w:tblLayout w:type="autofit"/>
        <w:tblCellMar>
          <w:top w:w="0" w:type="dxa"/>
          <w:left w:w="108" w:type="dxa"/>
          <w:bottom w:w="0" w:type="dxa"/>
          <w:right w:w="108" w:type="dxa"/>
        </w:tblCellMar>
      </w:tblPr>
      <w:tblGrid>
        <w:gridCol w:w="4930"/>
        <w:gridCol w:w="2155"/>
        <w:gridCol w:w="2157"/>
      </w:tblGrid>
      <w:tr w14:paraId="3B605AB9">
        <w:tblPrEx>
          <w:tblCellMar>
            <w:top w:w="0" w:type="dxa"/>
            <w:left w:w="108" w:type="dxa"/>
            <w:bottom w:w="0" w:type="dxa"/>
            <w:right w:w="108" w:type="dxa"/>
          </w:tblCellMar>
        </w:tblPrEx>
        <w:trPr>
          <w:trHeight w:val="397" w:hRule="atLeast"/>
          <w:jc w:val="center"/>
        </w:trPr>
        <w:tc>
          <w:tcPr>
            <w:tcW w:w="2667" w:type="pct"/>
            <w:vMerge w:val="restart"/>
            <w:tcBorders>
              <w:top w:val="single" w:color="auto" w:sz="4" w:space="0"/>
              <w:left w:val="single" w:color="auto" w:sz="4" w:space="0"/>
              <w:bottom w:val="single" w:color="auto" w:sz="4" w:space="0"/>
              <w:right w:val="single" w:color="auto" w:sz="4" w:space="0"/>
            </w:tcBorders>
            <w:vAlign w:val="center"/>
          </w:tcPr>
          <w:p w14:paraId="3067EABD">
            <w:pPr>
              <w:ind w:firstLine="0" w:firstLineChars="0"/>
              <w:jc w:val="center"/>
            </w:pPr>
            <w:r>
              <w:rPr>
                <w:rFonts w:hint="eastAsia"/>
              </w:rPr>
              <w:t>建设类</w:t>
            </w:r>
          </w:p>
          <w:p w14:paraId="3962E1F3">
            <w:pPr>
              <w:ind w:firstLine="0" w:firstLineChars="0"/>
              <w:jc w:val="center"/>
            </w:pPr>
            <w:r>
              <w:rPr>
                <w:rFonts w:hint="eastAsia"/>
              </w:rPr>
              <w:t>一级标准</w:t>
            </w:r>
          </w:p>
        </w:tc>
        <w:tc>
          <w:tcPr>
            <w:tcW w:w="2333" w:type="pct"/>
            <w:gridSpan w:val="2"/>
            <w:tcBorders>
              <w:top w:val="single" w:color="auto" w:sz="4" w:space="0"/>
              <w:left w:val="nil"/>
              <w:bottom w:val="single" w:color="auto" w:sz="4" w:space="0"/>
              <w:right w:val="single" w:color="auto" w:sz="4" w:space="0"/>
            </w:tcBorders>
            <w:vAlign w:val="center"/>
          </w:tcPr>
          <w:p w14:paraId="38BEA6F2">
            <w:pPr>
              <w:ind w:firstLine="0" w:firstLineChars="0"/>
              <w:jc w:val="center"/>
            </w:pPr>
            <w:r>
              <w:rPr>
                <w:rFonts w:hint="eastAsia"/>
              </w:rPr>
              <w:t>采用标准</w:t>
            </w:r>
          </w:p>
        </w:tc>
      </w:tr>
      <w:tr w14:paraId="6D61D98C">
        <w:tblPrEx>
          <w:tblCellMar>
            <w:top w:w="0" w:type="dxa"/>
            <w:left w:w="108" w:type="dxa"/>
            <w:bottom w:w="0" w:type="dxa"/>
            <w:right w:w="108" w:type="dxa"/>
          </w:tblCellMar>
        </w:tblPrEx>
        <w:trPr>
          <w:trHeight w:val="397" w:hRule="atLeast"/>
          <w:jc w:val="center"/>
        </w:trPr>
        <w:tc>
          <w:tcPr>
            <w:tcW w:w="2667" w:type="pct"/>
            <w:vMerge w:val="continue"/>
            <w:tcBorders>
              <w:top w:val="single" w:color="auto" w:sz="4" w:space="0"/>
              <w:left w:val="single" w:color="auto" w:sz="4" w:space="0"/>
              <w:bottom w:val="single" w:color="auto" w:sz="4" w:space="0"/>
              <w:right w:val="single" w:color="auto" w:sz="4" w:space="0"/>
            </w:tcBorders>
            <w:vAlign w:val="center"/>
          </w:tcPr>
          <w:p w14:paraId="27881E7A">
            <w:pPr>
              <w:ind w:firstLine="0" w:firstLineChars="0"/>
              <w:jc w:val="center"/>
            </w:pPr>
          </w:p>
        </w:tc>
        <w:tc>
          <w:tcPr>
            <w:tcW w:w="1166" w:type="pct"/>
            <w:tcBorders>
              <w:top w:val="single" w:color="auto" w:sz="4" w:space="0"/>
              <w:left w:val="nil"/>
              <w:bottom w:val="single" w:color="auto" w:sz="4" w:space="0"/>
              <w:right w:val="single" w:color="auto" w:sz="4" w:space="0"/>
            </w:tcBorders>
            <w:vAlign w:val="center"/>
          </w:tcPr>
          <w:p w14:paraId="1C10B48C">
            <w:pPr>
              <w:ind w:firstLine="0" w:firstLineChars="0"/>
              <w:jc w:val="center"/>
            </w:pPr>
            <w:r>
              <w:rPr>
                <w:rFonts w:hint="eastAsia"/>
              </w:rPr>
              <w:t>施工期</w:t>
            </w:r>
          </w:p>
        </w:tc>
        <w:tc>
          <w:tcPr>
            <w:tcW w:w="1167" w:type="pct"/>
            <w:tcBorders>
              <w:top w:val="single" w:color="auto" w:sz="4" w:space="0"/>
              <w:left w:val="nil"/>
              <w:bottom w:val="single" w:color="auto" w:sz="4" w:space="0"/>
              <w:right w:val="single" w:color="auto" w:sz="4" w:space="0"/>
            </w:tcBorders>
            <w:vAlign w:val="center"/>
          </w:tcPr>
          <w:p w14:paraId="336D746B">
            <w:pPr>
              <w:ind w:firstLine="0" w:firstLineChars="0"/>
              <w:jc w:val="center"/>
            </w:pPr>
            <w:r>
              <w:rPr>
                <w:rFonts w:hint="eastAsia"/>
              </w:rPr>
              <w:t>设计水平年</w:t>
            </w:r>
          </w:p>
        </w:tc>
      </w:tr>
      <w:tr w14:paraId="3DAC4468">
        <w:tblPrEx>
          <w:tblCellMar>
            <w:top w:w="0" w:type="dxa"/>
            <w:left w:w="108" w:type="dxa"/>
            <w:bottom w:w="0" w:type="dxa"/>
            <w:right w:w="108" w:type="dxa"/>
          </w:tblCellMar>
        </w:tblPrEx>
        <w:trPr>
          <w:trHeight w:val="397" w:hRule="atLeast"/>
          <w:jc w:val="center"/>
        </w:trPr>
        <w:tc>
          <w:tcPr>
            <w:tcW w:w="2667" w:type="pct"/>
            <w:tcBorders>
              <w:top w:val="single" w:color="auto" w:sz="4" w:space="0"/>
              <w:left w:val="single" w:color="auto" w:sz="4" w:space="0"/>
              <w:bottom w:val="single" w:color="auto" w:sz="4" w:space="0"/>
              <w:right w:val="single" w:color="auto" w:sz="4" w:space="0"/>
            </w:tcBorders>
            <w:vAlign w:val="center"/>
          </w:tcPr>
          <w:p w14:paraId="2F71BC64">
            <w:pPr>
              <w:ind w:firstLine="0" w:firstLineChars="0"/>
              <w:jc w:val="center"/>
            </w:pPr>
            <w:r>
              <w:rPr>
                <w:rFonts w:hint="eastAsia"/>
              </w:rPr>
              <w:t>水土流失治理度</w:t>
            </w:r>
            <w:r>
              <w:t>%</w:t>
            </w:r>
          </w:p>
        </w:tc>
        <w:tc>
          <w:tcPr>
            <w:tcW w:w="1166" w:type="pct"/>
            <w:tcBorders>
              <w:top w:val="single" w:color="auto" w:sz="4" w:space="0"/>
              <w:left w:val="nil"/>
              <w:bottom w:val="single" w:color="auto" w:sz="4" w:space="0"/>
              <w:right w:val="single" w:color="auto" w:sz="4" w:space="0"/>
            </w:tcBorders>
            <w:vAlign w:val="center"/>
          </w:tcPr>
          <w:p w14:paraId="45805F1D">
            <w:pPr>
              <w:ind w:firstLine="0" w:firstLineChars="0"/>
              <w:jc w:val="center"/>
            </w:pPr>
            <w:r>
              <w:rPr>
                <w:rFonts w:hint="eastAsia"/>
              </w:rPr>
              <w:t>—</w:t>
            </w:r>
          </w:p>
        </w:tc>
        <w:tc>
          <w:tcPr>
            <w:tcW w:w="1167" w:type="pct"/>
            <w:tcBorders>
              <w:top w:val="single" w:color="auto" w:sz="4" w:space="0"/>
              <w:left w:val="nil"/>
              <w:bottom w:val="single" w:color="auto" w:sz="4" w:space="0"/>
              <w:right w:val="single" w:color="auto" w:sz="4" w:space="0"/>
            </w:tcBorders>
            <w:vAlign w:val="center"/>
          </w:tcPr>
          <w:p w14:paraId="1341E011">
            <w:pPr>
              <w:ind w:firstLine="0" w:firstLineChars="0"/>
              <w:jc w:val="center"/>
            </w:pPr>
            <w:r>
              <w:t>9</w:t>
            </w:r>
            <w:r>
              <w:rPr>
                <w:rFonts w:hint="eastAsia"/>
              </w:rPr>
              <w:t>8</w:t>
            </w:r>
          </w:p>
        </w:tc>
      </w:tr>
      <w:tr w14:paraId="316E941A">
        <w:tblPrEx>
          <w:tblCellMar>
            <w:top w:w="0" w:type="dxa"/>
            <w:left w:w="108" w:type="dxa"/>
            <w:bottom w:w="0" w:type="dxa"/>
            <w:right w:w="108" w:type="dxa"/>
          </w:tblCellMar>
        </w:tblPrEx>
        <w:trPr>
          <w:trHeight w:val="397" w:hRule="atLeast"/>
          <w:jc w:val="center"/>
        </w:trPr>
        <w:tc>
          <w:tcPr>
            <w:tcW w:w="2667" w:type="pct"/>
            <w:tcBorders>
              <w:top w:val="single" w:color="auto" w:sz="4" w:space="0"/>
              <w:left w:val="single" w:color="auto" w:sz="4" w:space="0"/>
              <w:bottom w:val="single" w:color="auto" w:sz="4" w:space="0"/>
              <w:right w:val="single" w:color="auto" w:sz="4" w:space="0"/>
            </w:tcBorders>
            <w:vAlign w:val="center"/>
          </w:tcPr>
          <w:p w14:paraId="4C1796B0">
            <w:pPr>
              <w:ind w:firstLine="0" w:firstLineChars="0"/>
              <w:jc w:val="center"/>
            </w:pPr>
            <w:r>
              <w:rPr>
                <w:rFonts w:hint="eastAsia"/>
              </w:rPr>
              <w:t>土壤流失控制比</w:t>
            </w:r>
          </w:p>
        </w:tc>
        <w:tc>
          <w:tcPr>
            <w:tcW w:w="1166" w:type="pct"/>
            <w:tcBorders>
              <w:top w:val="single" w:color="auto" w:sz="4" w:space="0"/>
              <w:left w:val="nil"/>
              <w:bottom w:val="single" w:color="auto" w:sz="4" w:space="0"/>
              <w:right w:val="single" w:color="auto" w:sz="4" w:space="0"/>
            </w:tcBorders>
            <w:vAlign w:val="center"/>
          </w:tcPr>
          <w:p w14:paraId="2CDA023F">
            <w:pPr>
              <w:ind w:firstLine="0" w:firstLineChars="0"/>
              <w:jc w:val="center"/>
            </w:pPr>
            <w:r>
              <w:rPr>
                <w:rFonts w:hint="eastAsia"/>
              </w:rPr>
              <w:t>—</w:t>
            </w:r>
          </w:p>
        </w:tc>
        <w:tc>
          <w:tcPr>
            <w:tcW w:w="1167" w:type="pct"/>
            <w:tcBorders>
              <w:top w:val="single" w:color="auto" w:sz="4" w:space="0"/>
              <w:left w:val="nil"/>
              <w:bottom w:val="single" w:color="auto" w:sz="4" w:space="0"/>
              <w:right w:val="single" w:color="auto" w:sz="4" w:space="0"/>
            </w:tcBorders>
            <w:vAlign w:val="center"/>
          </w:tcPr>
          <w:p w14:paraId="0D7AD2A3">
            <w:pPr>
              <w:ind w:firstLine="0" w:firstLineChars="0"/>
              <w:jc w:val="center"/>
            </w:pPr>
            <w:r>
              <w:rPr>
                <w:rFonts w:hint="eastAsia"/>
              </w:rPr>
              <w:t>1.0</w:t>
            </w:r>
          </w:p>
        </w:tc>
      </w:tr>
      <w:tr w14:paraId="1B6AC0F5">
        <w:tblPrEx>
          <w:tblCellMar>
            <w:top w:w="0" w:type="dxa"/>
            <w:left w:w="108" w:type="dxa"/>
            <w:bottom w:w="0" w:type="dxa"/>
            <w:right w:w="108" w:type="dxa"/>
          </w:tblCellMar>
        </w:tblPrEx>
        <w:trPr>
          <w:trHeight w:val="397" w:hRule="atLeast"/>
          <w:jc w:val="center"/>
        </w:trPr>
        <w:tc>
          <w:tcPr>
            <w:tcW w:w="2667" w:type="pct"/>
            <w:tcBorders>
              <w:top w:val="single" w:color="auto" w:sz="4" w:space="0"/>
              <w:left w:val="single" w:color="auto" w:sz="4" w:space="0"/>
              <w:bottom w:val="single" w:color="auto" w:sz="4" w:space="0"/>
              <w:right w:val="single" w:color="auto" w:sz="4" w:space="0"/>
            </w:tcBorders>
            <w:vAlign w:val="center"/>
          </w:tcPr>
          <w:p w14:paraId="1B21A898">
            <w:pPr>
              <w:ind w:firstLine="0" w:firstLineChars="0"/>
              <w:jc w:val="center"/>
            </w:pPr>
            <w:r>
              <w:rPr>
                <w:rFonts w:hint="eastAsia"/>
              </w:rPr>
              <w:t>渣土防护率（%）</w:t>
            </w:r>
          </w:p>
        </w:tc>
        <w:tc>
          <w:tcPr>
            <w:tcW w:w="1166" w:type="pct"/>
            <w:tcBorders>
              <w:top w:val="single" w:color="auto" w:sz="4" w:space="0"/>
              <w:left w:val="nil"/>
              <w:bottom w:val="single" w:color="auto" w:sz="4" w:space="0"/>
              <w:right w:val="single" w:color="auto" w:sz="4" w:space="0"/>
            </w:tcBorders>
            <w:vAlign w:val="center"/>
          </w:tcPr>
          <w:p w14:paraId="5D022A00">
            <w:pPr>
              <w:ind w:firstLine="0" w:firstLineChars="0"/>
              <w:jc w:val="center"/>
            </w:pPr>
            <w:r>
              <w:rPr>
                <w:rFonts w:hint="eastAsia"/>
              </w:rPr>
              <w:t>95</w:t>
            </w:r>
          </w:p>
        </w:tc>
        <w:tc>
          <w:tcPr>
            <w:tcW w:w="1167" w:type="pct"/>
            <w:tcBorders>
              <w:top w:val="single" w:color="auto" w:sz="4" w:space="0"/>
              <w:left w:val="nil"/>
              <w:bottom w:val="single" w:color="auto" w:sz="4" w:space="0"/>
              <w:right w:val="single" w:color="auto" w:sz="4" w:space="0"/>
            </w:tcBorders>
            <w:vAlign w:val="center"/>
          </w:tcPr>
          <w:p w14:paraId="73239582">
            <w:pPr>
              <w:ind w:firstLine="0" w:firstLineChars="0"/>
              <w:jc w:val="center"/>
            </w:pPr>
            <w:r>
              <w:rPr>
                <w:rFonts w:hint="eastAsia"/>
              </w:rPr>
              <w:t>99</w:t>
            </w:r>
          </w:p>
        </w:tc>
      </w:tr>
      <w:tr w14:paraId="297AEA4E">
        <w:tblPrEx>
          <w:tblCellMar>
            <w:top w:w="0" w:type="dxa"/>
            <w:left w:w="108" w:type="dxa"/>
            <w:bottom w:w="0" w:type="dxa"/>
            <w:right w:w="108" w:type="dxa"/>
          </w:tblCellMar>
        </w:tblPrEx>
        <w:trPr>
          <w:trHeight w:val="397" w:hRule="atLeast"/>
          <w:jc w:val="center"/>
        </w:trPr>
        <w:tc>
          <w:tcPr>
            <w:tcW w:w="2667" w:type="pct"/>
            <w:tcBorders>
              <w:top w:val="single" w:color="auto" w:sz="4" w:space="0"/>
              <w:left w:val="single" w:color="auto" w:sz="4" w:space="0"/>
              <w:bottom w:val="single" w:color="auto" w:sz="4" w:space="0"/>
              <w:right w:val="single" w:color="auto" w:sz="4" w:space="0"/>
            </w:tcBorders>
            <w:vAlign w:val="center"/>
          </w:tcPr>
          <w:p w14:paraId="68914B07">
            <w:pPr>
              <w:ind w:firstLine="0" w:firstLineChars="0"/>
              <w:jc w:val="center"/>
            </w:pPr>
            <w:r>
              <w:rPr>
                <w:rFonts w:hint="eastAsia"/>
              </w:rPr>
              <w:t>表土保护率（%）</w:t>
            </w:r>
          </w:p>
        </w:tc>
        <w:tc>
          <w:tcPr>
            <w:tcW w:w="1166" w:type="pct"/>
            <w:tcBorders>
              <w:top w:val="single" w:color="auto" w:sz="4" w:space="0"/>
              <w:left w:val="nil"/>
              <w:bottom w:val="single" w:color="auto" w:sz="4" w:space="0"/>
              <w:right w:val="single" w:color="auto" w:sz="4" w:space="0"/>
            </w:tcBorders>
            <w:vAlign w:val="center"/>
          </w:tcPr>
          <w:p w14:paraId="6ADED9E0">
            <w:pPr>
              <w:ind w:firstLine="0" w:firstLineChars="0"/>
              <w:jc w:val="center"/>
            </w:pPr>
            <w:r>
              <w:rPr>
                <w:rFonts w:hint="eastAsia"/>
              </w:rPr>
              <w:t>92</w:t>
            </w:r>
          </w:p>
        </w:tc>
        <w:tc>
          <w:tcPr>
            <w:tcW w:w="1167" w:type="pct"/>
            <w:tcBorders>
              <w:top w:val="single" w:color="auto" w:sz="4" w:space="0"/>
              <w:left w:val="nil"/>
              <w:bottom w:val="single" w:color="auto" w:sz="4" w:space="0"/>
              <w:right w:val="single" w:color="auto" w:sz="4" w:space="0"/>
            </w:tcBorders>
            <w:vAlign w:val="center"/>
          </w:tcPr>
          <w:p w14:paraId="3BB3B9A4">
            <w:pPr>
              <w:ind w:firstLine="0" w:firstLineChars="0"/>
              <w:jc w:val="center"/>
            </w:pPr>
            <w:r>
              <w:rPr>
                <w:rFonts w:hint="eastAsia"/>
              </w:rPr>
              <w:t>92</w:t>
            </w:r>
          </w:p>
        </w:tc>
      </w:tr>
      <w:tr w14:paraId="1CEE36B9">
        <w:tblPrEx>
          <w:tblCellMar>
            <w:top w:w="0" w:type="dxa"/>
            <w:left w:w="108" w:type="dxa"/>
            <w:bottom w:w="0" w:type="dxa"/>
            <w:right w:w="108" w:type="dxa"/>
          </w:tblCellMar>
        </w:tblPrEx>
        <w:trPr>
          <w:trHeight w:val="397" w:hRule="atLeast"/>
          <w:jc w:val="center"/>
        </w:trPr>
        <w:tc>
          <w:tcPr>
            <w:tcW w:w="2667" w:type="pct"/>
            <w:tcBorders>
              <w:top w:val="single" w:color="auto" w:sz="4" w:space="0"/>
              <w:left w:val="single" w:color="auto" w:sz="4" w:space="0"/>
              <w:bottom w:val="single" w:color="auto" w:sz="4" w:space="0"/>
              <w:right w:val="single" w:color="auto" w:sz="4" w:space="0"/>
            </w:tcBorders>
            <w:vAlign w:val="center"/>
          </w:tcPr>
          <w:p w14:paraId="41F2651D">
            <w:pPr>
              <w:ind w:firstLine="0" w:firstLineChars="0"/>
              <w:jc w:val="center"/>
            </w:pPr>
            <w:r>
              <w:rPr>
                <w:rFonts w:hint="eastAsia"/>
              </w:rPr>
              <w:t>林草植被恢复率（%）</w:t>
            </w:r>
          </w:p>
        </w:tc>
        <w:tc>
          <w:tcPr>
            <w:tcW w:w="1166" w:type="pct"/>
            <w:tcBorders>
              <w:top w:val="single" w:color="auto" w:sz="4" w:space="0"/>
              <w:left w:val="nil"/>
              <w:bottom w:val="single" w:color="auto" w:sz="4" w:space="0"/>
              <w:right w:val="single" w:color="auto" w:sz="4" w:space="0"/>
            </w:tcBorders>
            <w:vAlign w:val="center"/>
          </w:tcPr>
          <w:p w14:paraId="2D80792E">
            <w:pPr>
              <w:ind w:firstLine="0" w:firstLineChars="0"/>
              <w:jc w:val="center"/>
            </w:pPr>
            <w:r>
              <w:rPr>
                <w:rFonts w:hint="eastAsia"/>
              </w:rPr>
              <w:t>—</w:t>
            </w:r>
          </w:p>
        </w:tc>
        <w:tc>
          <w:tcPr>
            <w:tcW w:w="1167" w:type="pct"/>
            <w:tcBorders>
              <w:top w:val="single" w:color="auto" w:sz="4" w:space="0"/>
              <w:left w:val="nil"/>
              <w:bottom w:val="single" w:color="auto" w:sz="4" w:space="0"/>
              <w:right w:val="single" w:color="auto" w:sz="4" w:space="0"/>
            </w:tcBorders>
            <w:vAlign w:val="center"/>
          </w:tcPr>
          <w:p w14:paraId="32BD8150">
            <w:pPr>
              <w:ind w:firstLine="0" w:firstLineChars="0"/>
              <w:jc w:val="center"/>
            </w:pPr>
            <w:r>
              <w:rPr>
                <w:rFonts w:hint="eastAsia"/>
              </w:rPr>
              <w:t>98</w:t>
            </w:r>
          </w:p>
        </w:tc>
      </w:tr>
      <w:tr w14:paraId="5ECB2DB3">
        <w:tblPrEx>
          <w:tblCellMar>
            <w:top w:w="0" w:type="dxa"/>
            <w:left w:w="108" w:type="dxa"/>
            <w:bottom w:w="0" w:type="dxa"/>
            <w:right w:w="108" w:type="dxa"/>
          </w:tblCellMar>
        </w:tblPrEx>
        <w:trPr>
          <w:trHeight w:val="397" w:hRule="atLeast"/>
          <w:jc w:val="center"/>
        </w:trPr>
        <w:tc>
          <w:tcPr>
            <w:tcW w:w="2667" w:type="pct"/>
            <w:tcBorders>
              <w:top w:val="single" w:color="auto" w:sz="4" w:space="0"/>
              <w:left w:val="single" w:color="auto" w:sz="4" w:space="0"/>
              <w:bottom w:val="single" w:color="auto" w:sz="4" w:space="0"/>
              <w:right w:val="single" w:color="auto" w:sz="4" w:space="0"/>
            </w:tcBorders>
            <w:vAlign w:val="center"/>
          </w:tcPr>
          <w:p w14:paraId="13CB3288">
            <w:pPr>
              <w:ind w:firstLine="0" w:firstLineChars="0"/>
              <w:jc w:val="center"/>
            </w:pPr>
            <w:r>
              <w:rPr>
                <w:rFonts w:hint="eastAsia"/>
              </w:rPr>
              <w:t>林草覆盖率（%）</w:t>
            </w:r>
          </w:p>
        </w:tc>
        <w:tc>
          <w:tcPr>
            <w:tcW w:w="1166" w:type="pct"/>
            <w:tcBorders>
              <w:top w:val="single" w:color="auto" w:sz="4" w:space="0"/>
              <w:left w:val="nil"/>
              <w:bottom w:val="single" w:color="auto" w:sz="4" w:space="0"/>
              <w:right w:val="single" w:color="auto" w:sz="4" w:space="0"/>
            </w:tcBorders>
            <w:vAlign w:val="center"/>
          </w:tcPr>
          <w:p w14:paraId="5B8200C5">
            <w:pPr>
              <w:ind w:firstLine="0" w:firstLineChars="0"/>
              <w:jc w:val="center"/>
            </w:pPr>
            <w:r>
              <w:rPr>
                <w:rFonts w:hint="eastAsia"/>
              </w:rPr>
              <w:t>—</w:t>
            </w:r>
          </w:p>
        </w:tc>
        <w:tc>
          <w:tcPr>
            <w:tcW w:w="1167" w:type="pct"/>
            <w:tcBorders>
              <w:top w:val="single" w:color="auto" w:sz="4" w:space="0"/>
              <w:left w:val="nil"/>
              <w:bottom w:val="single" w:color="auto" w:sz="4" w:space="0"/>
              <w:right w:val="single" w:color="auto" w:sz="4" w:space="0"/>
            </w:tcBorders>
            <w:vAlign w:val="center"/>
          </w:tcPr>
          <w:p w14:paraId="25CFA749">
            <w:pPr>
              <w:ind w:firstLine="0" w:firstLineChars="0"/>
              <w:jc w:val="center"/>
            </w:pPr>
            <w:r>
              <w:rPr>
                <w:rFonts w:hint="eastAsia"/>
              </w:rPr>
              <w:t>27</w:t>
            </w:r>
          </w:p>
        </w:tc>
      </w:tr>
    </w:tbl>
    <w:p w14:paraId="79829D19">
      <w:pPr>
        <w:ind w:firstLine="0" w:firstLineChars="0"/>
      </w:pPr>
    </w:p>
    <w:p w14:paraId="5C2AD69E">
      <w:pPr>
        <w:pStyle w:val="3"/>
        <w:rPr>
          <w:rFonts w:eastAsia="宋体"/>
        </w:rPr>
      </w:pPr>
      <w:bookmarkStart w:id="76" w:name="_Toc108445721"/>
      <w:r>
        <w:rPr>
          <w:rFonts w:eastAsia="宋体"/>
        </w:rPr>
        <w:t>2.3 水土保持方案变更</w:t>
      </w:r>
      <w:bookmarkEnd w:id="76"/>
    </w:p>
    <w:p w14:paraId="17B00CEF">
      <w:r>
        <w:t>本工程不存在水土保持重大变更。</w:t>
      </w:r>
    </w:p>
    <w:bookmarkEnd w:id="62"/>
    <w:bookmarkEnd w:id="63"/>
    <w:bookmarkEnd w:id="64"/>
    <w:bookmarkEnd w:id="65"/>
    <w:bookmarkEnd w:id="74"/>
    <w:p w14:paraId="14731305">
      <w:pPr>
        <w:pStyle w:val="3"/>
        <w:rPr>
          <w:rFonts w:eastAsia="宋体"/>
        </w:rPr>
      </w:pPr>
      <w:bookmarkStart w:id="77" w:name="_Toc108445722"/>
      <w:bookmarkStart w:id="78" w:name="_Toc240173657"/>
      <w:bookmarkStart w:id="79" w:name="_Toc300587447"/>
      <w:r>
        <w:rPr>
          <w:rFonts w:eastAsia="宋体"/>
        </w:rPr>
        <w:t>2.</w:t>
      </w:r>
      <w:r>
        <w:rPr>
          <w:rFonts w:hint="eastAsia" w:eastAsia="宋体"/>
        </w:rPr>
        <w:t>4</w:t>
      </w:r>
      <w:r>
        <w:rPr>
          <w:rFonts w:eastAsia="宋体"/>
        </w:rPr>
        <w:t xml:space="preserve"> 水土保持后续设计</w:t>
      </w:r>
      <w:bookmarkEnd w:id="77"/>
    </w:p>
    <w:p w14:paraId="370EA7CD">
      <w:r>
        <w:t>在工程建设过程中，建设单位将水土保持工程纳入到主体工程建设内容进行了招标，与主体工程一起捆绑实施。主体工程设计单位在主体施工图中一并进行水土保持工程措施设计。</w:t>
      </w:r>
    </w:p>
    <w:p w14:paraId="07D66EC6">
      <w:pPr>
        <w:pStyle w:val="2"/>
      </w:pPr>
      <w:r>
        <w:br w:type="page"/>
      </w:r>
      <w:bookmarkStart w:id="80" w:name="_Toc108445723"/>
      <w:r>
        <w:t>3 水土保持方案实施情况</w:t>
      </w:r>
      <w:bookmarkEnd w:id="80"/>
    </w:p>
    <w:p w14:paraId="582411DB">
      <w:pPr>
        <w:pStyle w:val="3"/>
        <w:rPr>
          <w:rFonts w:eastAsia="宋体"/>
        </w:rPr>
      </w:pPr>
      <w:bookmarkStart w:id="81" w:name="_Toc108445724"/>
      <w:r>
        <w:rPr>
          <w:rFonts w:eastAsia="宋体"/>
        </w:rPr>
        <w:t>3.1 水土流失防治责任范围</w:t>
      </w:r>
      <w:bookmarkEnd w:id="81"/>
    </w:p>
    <w:bookmarkEnd w:id="78"/>
    <w:p w14:paraId="0AA22D04">
      <w:r>
        <w:t>兴宁市亲水公园一区工程项目水土保持方案</w:t>
      </w:r>
      <w:r>
        <w:rPr>
          <w:rFonts w:hint="eastAsia"/>
        </w:rPr>
        <w:t>已批复</w:t>
      </w:r>
      <w:r>
        <w:t>的</w:t>
      </w:r>
      <w:r>
        <w:rPr>
          <w:rFonts w:hint="eastAsia"/>
        </w:rPr>
        <w:t>绿化观赏区、河床区和道路及广场区</w:t>
      </w:r>
      <w:r>
        <w:t>防治责任范围</w:t>
      </w:r>
      <w:r>
        <w:rPr>
          <w:rFonts w:hint="eastAsia"/>
        </w:rPr>
        <w:t>面积共9.36</w:t>
      </w:r>
      <w:r>
        <w:t>hm</w:t>
      </w:r>
      <w:r>
        <w:rPr>
          <w:vertAlign w:val="superscript"/>
        </w:rPr>
        <w:t>2</w:t>
      </w:r>
      <w:r>
        <w:t>。经资料查阅及现场实测复核，工程建设期兴宁市亲水公园一区工程项目实际发生防治责任范围</w:t>
      </w:r>
      <w:r>
        <w:rPr>
          <w:rFonts w:hint="eastAsia"/>
        </w:rPr>
        <w:t>面积</w:t>
      </w:r>
      <w:r>
        <w:t>为</w:t>
      </w:r>
      <w:r>
        <w:rPr>
          <w:rFonts w:hint="eastAsia"/>
        </w:rPr>
        <w:t>9.36</w:t>
      </w:r>
      <w:r>
        <w:t>hm</w:t>
      </w:r>
      <w:r>
        <w:rPr>
          <w:vertAlign w:val="superscript"/>
        </w:rPr>
        <w:t>2</w:t>
      </w:r>
      <w:r>
        <w:t>，全部为项目建设区面积</w:t>
      </w:r>
      <w:bookmarkEnd w:id="79"/>
      <w:r>
        <w:t>。防治责任范围变化对比情况详见表3-1。</w:t>
      </w:r>
    </w:p>
    <w:p w14:paraId="00ABF5B9">
      <w:pPr>
        <w:spacing w:line="240" w:lineRule="auto"/>
        <w:ind w:firstLine="0" w:firstLineChars="0"/>
        <w:rPr>
          <w:b/>
        </w:rPr>
      </w:pPr>
      <w:r>
        <w:rPr>
          <w:b/>
        </w:rPr>
        <w:t>表3-1                    防治责任范围变化情况对比表</w:t>
      </w:r>
    </w:p>
    <w:tbl>
      <w:tblPr>
        <w:tblStyle w:val="32"/>
        <w:tblpPr w:leftFromText="180" w:rightFromText="180" w:vertAnchor="text" w:tblpY="1"/>
        <w:tblOverlap w:val="never"/>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57"/>
        <w:gridCol w:w="2063"/>
        <w:gridCol w:w="1824"/>
        <w:gridCol w:w="2451"/>
        <w:gridCol w:w="2447"/>
      </w:tblGrid>
      <w:tr w14:paraId="291ADC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47" w:type="pct"/>
            <w:vMerge w:val="restart"/>
            <w:vAlign w:val="center"/>
          </w:tcPr>
          <w:p w14:paraId="3B63B7A9">
            <w:pPr>
              <w:ind w:firstLine="0" w:firstLineChars="0"/>
              <w:jc w:val="center"/>
            </w:pPr>
            <w:r>
              <w:t>序号</w:t>
            </w:r>
          </w:p>
        </w:tc>
        <w:tc>
          <w:tcPr>
            <w:tcW w:w="1116" w:type="pct"/>
            <w:vMerge w:val="restart"/>
            <w:vAlign w:val="center"/>
          </w:tcPr>
          <w:p w14:paraId="06F3C155">
            <w:pPr>
              <w:ind w:firstLine="0" w:firstLineChars="0"/>
              <w:jc w:val="center"/>
            </w:pPr>
            <w:r>
              <w:t>分区</w:t>
            </w:r>
          </w:p>
        </w:tc>
        <w:tc>
          <w:tcPr>
            <w:tcW w:w="3637" w:type="pct"/>
            <w:gridSpan w:val="3"/>
            <w:vAlign w:val="center"/>
          </w:tcPr>
          <w:p w14:paraId="4B40F5D4">
            <w:pPr>
              <w:ind w:firstLine="0" w:firstLineChars="0"/>
              <w:jc w:val="center"/>
            </w:pPr>
            <w:r>
              <w:t>防治责任范围（hm</w:t>
            </w:r>
            <w:r>
              <w:rPr>
                <w:vertAlign w:val="superscript"/>
              </w:rPr>
              <w:t>2</w:t>
            </w:r>
            <w:r>
              <w:t>）</w:t>
            </w:r>
          </w:p>
        </w:tc>
      </w:tr>
      <w:tr w14:paraId="39090E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4" w:hRule="atLeast"/>
        </w:trPr>
        <w:tc>
          <w:tcPr>
            <w:tcW w:w="247" w:type="pct"/>
            <w:vMerge w:val="continue"/>
            <w:vAlign w:val="center"/>
          </w:tcPr>
          <w:p w14:paraId="00AD3319">
            <w:pPr>
              <w:ind w:firstLine="0" w:firstLineChars="0"/>
              <w:jc w:val="center"/>
            </w:pPr>
          </w:p>
        </w:tc>
        <w:tc>
          <w:tcPr>
            <w:tcW w:w="1116" w:type="pct"/>
            <w:vMerge w:val="continue"/>
            <w:vAlign w:val="center"/>
          </w:tcPr>
          <w:p w14:paraId="6591F8D1">
            <w:pPr>
              <w:ind w:firstLine="0" w:firstLineChars="0"/>
              <w:jc w:val="center"/>
            </w:pPr>
          </w:p>
        </w:tc>
        <w:tc>
          <w:tcPr>
            <w:tcW w:w="987" w:type="pct"/>
            <w:vAlign w:val="center"/>
          </w:tcPr>
          <w:p w14:paraId="455A9A06">
            <w:pPr>
              <w:ind w:firstLine="0" w:firstLineChars="0"/>
              <w:jc w:val="center"/>
            </w:pPr>
            <w:r>
              <w:t>方案设计</w:t>
            </w:r>
          </w:p>
        </w:tc>
        <w:tc>
          <w:tcPr>
            <w:tcW w:w="1326" w:type="pct"/>
            <w:vAlign w:val="center"/>
          </w:tcPr>
          <w:p w14:paraId="797F262A">
            <w:pPr>
              <w:ind w:firstLine="0" w:firstLineChars="0"/>
              <w:jc w:val="center"/>
            </w:pPr>
            <w:r>
              <w:t>监测结果</w:t>
            </w:r>
          </w:p>
        </w:tc>
        <w:tc>
          <w:tcPr>
            <w:tcW w:w="1324" w:type="pct"/>
            <w:vAlign w:val="center"/>
          </w:tcPr>
          <w:p w14:paraId="3483F0B7">
            <w:pPr>
              <w:ind w:firstLine="0" w:firstLineChars="0"/>
              <w:jc w:val="center"/>
            </w:pPr>
            <w:r>
              <w:t>增减情况</w:t>
            </w:r>
          </w:p>
        </w:tc>
      </w:tr>
      <w:tr w14:paraId="23B731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47" w:type="pct"/>
            <w:vAlign w:val="center"/>
          </w:tcPr>
          <w:p w14:paraId="680886DA">
            <w:pPr>
              <w:ind w:firstLine="0" w:firstLineChars="0"/>
              <w:jc w:val="center"/>
            </w:pPr>
            <w:r>
              <w:t>1</w:t>
            </w:r>
          </w:p>
        </w:tc>
        <w:tc>
          <w:tcPr>
            <w:tcW w:w="1116" w:type="pct"/>
            <w:vAlign w:val="center"/>
          </w:tcPr>
          <w:p w14:paraId="6CEFC5EA">
            <w:pPr>
              <w:ind w:firstLine="0" w:firstLineChars="0"/>
              <w:jc w:val="center"/>
            </w:pPr>
            <w:r>
              <w:rPr>
                <w:rFonts w:hint="eastAsia"/>
              </w:rPr>
              <w:t>绿化观赏区</w:t>
            </w:r>
          </w:p>
        </w:tc>
        <w:tc>
          <w:tcPr>
            <w:tcW w:w="987" w:type="pct"/>
            <w:vAlign w:val="center"/>
          </w:tcPr>
          <w:p w14:paraId="4013C77D">
            <w:pPr>
              <w:ind w:firstLine="0" w:firstLineChars="0"/>
              <w:jc w:val="center"/>
            </w:pPr>
            <w:r>
              <w:rPr>
                <w:rFonts w:hint="eastAsia"/>
              </w:rPr>
              <w:t>3.89</w:t>
            </w:r>
          </w:p>
        </w:tc>
        <w:tc>
          <w:tcPr>
            <w:tcW w:w="1326" w:type="pct"/>
            <w:vAlign w:val="center"/>
          </w:tcPr>
          <w:p w14:paraId="5F776DC8">
            <w:pPr>
              <w:ind w:firstLine="0" w:firstLineChars="0"/>
              <w:jc w:val="center"/>
            </w:pPr>
            <w:r>
              <w:rPr>
                <w:rFonts w:hint="eastAsia"/>
              </w:rPr>
              <w:t>3.89</w:t>
            </w:r>
          </w:p>
        </w:tc>
        <w:tc>
          <w:tcPr>
            <w:tcW w:w="1324" w:type="pct"/>
            <w:vAlign w:val="center"/>
          </w:tcPr>
          <w:p w14:paraId="6A4CDB04">
            <w:pPr>
              <w:ind w:firstLine="0" w:firstLineChars="0"/>
              <w:jc w:val="center"/>
            </w:pPr>
            <w:r>
              <w:rPr>
                <w:rFonts w:hint="eastAsia"/>
              </w:rPr>
              <w:t>0</w:t>
            </w:r>
          </w:p>
        </w:tc>
      </w:tr>
      <w:tr w14:paraId="132CDB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47" w:type="pct"/>
            <w:vAlign w:val="center"/>
          </w:tcPr>
          <w:p w14:paraId="46F61FB6">
            <w:pPr>
              <w:ind w:firstLine="0" w:firstLineChars="0"/>
              <w:jc w:val="center"/>
            </w:pPr>
            <w:r>
              <w:rPr>
                <w:rFonts w:hint="eastAsia"/>
              </w:rPr>
              <w:t>2</w:t>
            </w:r>
          </w:p>
        </w:tc>
        <w:tc>
          <w:tcPr>
            <w:tcW w:w="1116" w:type="pct"/>
            <w:vAlign w:val="center"/>
          </w:tcPr>
          <w:p w14:paraId="63EFD484">
            <w:pPr>
              <w:ind w:firstLine="0" w:firstLineChars="0"/>
              <w:jc w:val="center"/>
            </w:pPr>
            <w:r>
              <w:rPr>
                <w:rFonts w:hint="eastAsia"/>
              </w:rPr>
              <w:t>河床区</w:t>
            </w:r>
          </w:p>
        </w:tc>
        <w:tc>
          <w:tcPr>
            <w:tcW w:w="987" w:type="pct"/>
            <w:vAlign w:val="center"/>
          </w:tcPr>
          <w:p w14:paraId="093C4D97">
            <w:pPr>
              <w:ind w:firstLine="0" w:firstLineChars="0"/>
              <w:jc w:val="center"/>
            </w:pPr>
            <w:r>
              <w:rPr>
                <w:rFonts w:hint="eastAsia"/>
              </w:rPr>
              <w:t>0.49</w:t>
            </w:r>
          </w:p>
        </w:tc>
        <w:tc>
          <w:tcPr>
            <w:tcW w:w="1326" w:type="pct"/>
            <w:vAlign w:val="center"/>
          </w:tcPr>
          <w:p w14:paraId="5AF2DD8F">
            <w:pPr>
              <w:ind w:firstLine="0" w:firstLineChars="0"/>
              <w:jc w:val="center"/>
            </w:pPr>
            <w:r>
              <w:rPr>
                <w:rFonts w:hint="eastAsia"/>
              </w:rPr>
              <w:t>0.49</w:t>
            </w:r>
          </w:p>
        </w:tc>
        <w:tc>
          <w:tcPr>
            <w:tcW w:w="1324" w:type="pct"/>
            <w:vAlign w:val="center"/>
          </w:tcPr>
          <w:p w14:paraId="5A7DE523">
            <w:pPr>
              <w:ind w:firstLine="0" w:firstLineChars="0"/>
              <w:jc w:val="center"/>
            </w:pPr>
            <w:r>
              <w:rPr>
                <w:rFonts w:hint="eastAsia"/>
              </w:rPr>
              <w:t>0</w:t>
            </w:r>
          </w:p>
        </w:tc>
      </w:tr>
      <w:tr w14:paraId="513231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47" w:type="pct"/>
            <w:vAlign w:val="center"/>
          </w:tcPr>
          <w:p w14:paraId="024FF170">
            <w:pPr>
              <w:ind w:firstLine="0" w:firstLineChars="0"/>
              <w:jc w:val="center"/>
            </w:pPr>
            <w:r>
              <w:rPr>
                <w:rFonts w:hint="eastAsia"/>
              </w:rPr>
              <w:t>3</w:t>
            </w:r>
          </w:p>
        </w:tc>
        <w:tc>
          <w:tcPr>
            <w:tcW w:w="1116" w:type="pct"/>
            <w:vAlign w:val="center"/>
          </w:tcPr>
          <w:p w14:paraId="5201E4CC">
            <w:pPr>
              <w:ind w:firstLine="0" w:firstLineChars="0"/>
              <w:jc w:val="center"/>
            </w:pPr>
            <w:r>
              <w:rPr>
                <w:rFonts w:hint="eastAsia"/>
              </w:rPr>
              <w:t>道路及广场区</w:t>
            </w:r>
          </w:p>
        </w:tc>
        <w:tc>
          <w:tcPr>
            <w:tcW w:w="987" w:type="pct"/>
            <w:vAlign w:val="center"/>
          </w:tcPr>
          <w:p w14:paraId="78422503">
            <w:pPr>
              <w:ind w:firstLine="0" w:firstLineChars="0"/>
              <w:jc w:val="center"/>
            </w:pPr>
            <w:r>
              <w:rPr>
                <w:rFonts w:hint="eastAsia"/>
              </w:rPr>
              <w:t>4.98</w:t>
            </w:r>
          </w:p>
        </w:tc>
        <w:tc>
          <w:tcPr>
            <w:tcW w:w="1326" w:type="pct"/>
            <w:vAlign w:val="center"/>
          </w:tcPr>
          <w:p w14:paraId="1088A58E">
            <w:pPr>
              <w:ind w:firstLine="0" w:firstLineChars="0"/>
              <w:jc w:val="center"/>
            </w:pPr>
            <w:r>
              <w:rPr>
                <w:rFonts w:hint="eastAsia"/>
              </w:rPr>
              <w:t>4.98</w:t>
            </w:r>
          </w:p>
        </w:tc>
        <w:tc>
          <w:tcPr>
            <w:tcW w:w="1324" w:type="pct"/>
            <w:vAlign w:val="center"/>
          </w:tcPr>
          <w:p w14:paraId="1A8B9521">
            <w:pPr>
              <w:ind w:firstLine="0" w:firstLineChars="0"/>
              <w:jc w:val="center"/>
            </w:pPr>
            <w:r>
              <w:rPr>
                <w:rFonts w:hint="eastAsia"/>
              </w:rPr>
              <w:t>0</w:t>
            </w:r>
          </w:p>
        </w:tc>
      </w:tr>
      <w:tr w14:paraId="59170E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1363" w:type="pct"/>
            <w:gridSpan w:val="2"/>
            <w:vAlign w:val="center"/>
          </w:tcPr>
          <w:p w14:paraId="4B31A0F7">
            <w:pPr>
              <w:ind w:firstLine="0" w:firstLineChars="0"/>
              <w:jc w:val="center"/>
              <w:rPr>
                <w:b/>
              </w:rPr>
            </w:pPr>
            <w:r>
              <w:rPr>
                <w:b/>
              </w:rPr>
              <w:t>合计</w:t>
            </w:r>
          </w:p>
        </w:tc>
        <w:tc>
          <w:tcPr>
            <w:tcW w:w="987" w:type="pct"/>
            <w:vAlign w:val="center"/>
          </w:tcPr>
          <w:p w14:paraId="36466499">
            <w:pPr>
              <w:ind w:firstLine="0" w:firstLineChars="0"/>
              <w:jc w:val="center"/>
            </w:pPr>
            <w:r>
              <w:rPr>
                <w:rFonts w:hint="eastAsia"/>
              </w:rPr>
              <w:t>9.36</w:t>
            </w:r>
          </w:p>
        </w:tc>
        <w:tc>
          <w:tcPr>
            <w:tcW w:w="1326" w:type="pct"/>
            <w:vAlign w:val="center"/>
          </w:tcPr>
          <w:p w14:paraId="42391B41">
            <w:pPr>
              <w:ind w:firstLine="0" w:firstLineChars="0"/>
              <w:jc w:val="center"/>
            </w:pPr>
            <w:r>
              <w:rPr>
                <w:rFonts w:hint="eastAsia"/>
              </w:rPr>
              <w:t>9.36</w:t>
            </w:r>
          </w:p>
        </w:tc>
        <w:tc>
          <w:tcPr>
            <w:tcW w:w="1324" w:type="pct"/>
            <w:vAlign w:val="center"/>
          </w:tcPr>
          <w:p w14:paraId="02CDAF08">
            <w:pPr>
              <w:ind w:firstLine="0" w:firstLineChars="0"/>
              <w:jc w:val="center"/>
            </w:pPr>
            <w:r>
              <w:rPr>
                <w:rFonts w:hint="eastAsia"/>
              </w:rPr>
              <w:t>0</w:t>
            </w:r>
          </w:p>
        </w:tc>
      </w:tr>
    </w:tbl>
    <w:p w14:paraId="0CCAE082">
      <w:pPr>
        <w:ind w:firstLine="0" w:firstLineChars="0"/>
      </w:pPr>
      <w:r>
        <w:t>注：+表示增加，-表示减少。</w:t>
      </w:r>
    </w:p>
    <w:p w14:paraId="6979E9B4">
      <w:pPr>
        <w:pStyle w:val="3"/>
        <w:rPr>
          <w:rFonts w:eastAsia="宋体"/>
        </w:rPr>
      </w:pPr>
      <w:bookmarkStart w:id="82" w:name="_Toc108445725"/>
      <w:r>
        <w:rPr>
          <w:rFonts w:eastAsia="宋体"/>
        </w:rPr>
        <w:t>3.2 弃渣场</w:t>
      </w:r>
      <w:bookmarkEnd w:id="82"/>
    </w:p>
    <w:p w14:paraId="56CF7CF0">
      <w:r>
        <w:t>根据</w:t>
      </w:r>
      <w:r>
        <w:rPr>
          <w:rFonts w:hint="eastAsia"/>
        </w:rPr>
        <w:t>现场勘察以及查阅施工和监理资料，本工程总挖方</w:t>
      </w:r>
      <w:r>
        <w:t>31142.27m</w:t>
      </w:r>
      <w:r>
        <w:rPr>
          <w:rFonts w:hint="eastAsia" w:ascii="宋体" w:hAnsi="宋体" w:eastAsia="宋体" w:cs="宋体"/>
        </w:rPr>
        <w:t>³</w:t>
      </w:r>
      <w:r>
        <w:rPr>
          <w:rFonts w:hint="eastAsia" w:ascii="仿宋_GB2312" w:hAnsi="仿宋_GB2312" w:cs="仿宋_GB2312"/>
        </w:rPr>
        <w:t>，为排水沟、管线沟槽土方等；总填方</w:t>
      </w:r>
      <w:r>
        <w:t>39186.86m</w:t>
      </w:r>
      <w:r>
        <w:rPr>
          <w:vertAlign w:val="superscript"/>
        </w:rPr>
        <w:t>3</w:t>
      </w:r>
      <w:r>
        <w:rPr>
          <w:rFonts w:hint="eastAsia"/>
        </w:rPr>
        <w:t>，外购绿化覆土</w:t>
      </w:r>
      <w:r>
        <w:t>8044.59m</w:t>
      </w:r>
      <w:r>
        <w:rPr>
          <w:rFonts w:hint="eastAsia" w:ascii="宋体" w:hAnsi="宋体" w:eastAsia="宋体" w:cs="宋体"/>
        </w:rPr>
        <w:t>³</w:t>
      </w:r>
      <w:r>
        <w:rPr>
          <w:rFonts w:hint="eastAsia" w:ascii="仿宋_GB2312" w:hAnsi="仿宋_GB2312" w:cs="仿宋_GB2312"/>
        </w:rPr>
        <w:t>，无弃</w:t>
      </w:r>
      <w:r>
        <w:rPr>
          <w:rFonts w:hint="eastAsia"/>
        </w:rPr>
        <w:t>方</w:t>
      </w:r>
      <w:r>
        <w:t>，项目不涉及弃渣场。</w:t>
      </w:r>
    </w:p>
    <w:p w14:paraId="3672B5BF">
      <w:pPr>
        <w:pStyle w:val="3"/>
        <w:rPr>
          <w:rFonts w:eastAsia="宋体"/>
        </w:rPr>
      </w:pPr>
      <w:bookmarkStart w:id="83" w:name="_Toc108445726"/>
      <w:r>
        <w:rPr>
          <w:rFonts w:eastAsia="宋体"/>
        </w:rPr>
        <w:t>3.3 取土场</w:t>
      </w:r>
      <w:bookmarkEnd w:id="83"/>
    </w:p>
    <w:p w14:paraId="18F2DA07">
      <w:r>
        <w:t>本工程建设所需的砂、石等建筑材料</w:t>
      </w:r>
      <w:r>
        <w:rPr>
          <w:rFonts w:hint="eastAsia"/>
        </w:rPr>
        <w:t>以及绿化覆土</w:t>
      </w:r>
      <w:r>
        <w:t>均向外就近采购，不涉及取土，不设置取土场。</w:t>
      </w:r>
    </w:p>
    <w:p w14:paraId="397AC3A1">
      <w:pPr>
        <w:pStyle w:val="3"/>
        <w:rPr>
          <w:rFonts w:eastAsia="宋体"/>
        </w:rPr>
      </w:pPr>
      <w:bookmarkStart w:id="84" w:name="_Toc292361726"/>
      <w:bookmarkStart w:id="85" w:name="_Toc370111169"/>
      <w:bookmarkStart w:id="86" w:name="_Toc108445727"/>
      <w:r>
        <w:rPr>
          <w:rFonts w:eastAsia="宋体"/>
        </w:rPr>
        <w:t>3.4 水土保持措施总体布局</w:t>
      </w:r>
      <w:bookmarkEnd w:id="84"/>
      <w:bookmarkEnd w:id="85"/>
      <w:bookmarkEnd w:id="86"/>
    </w:p>
    <w:p w14:paraId="5EAF5321">
      <w:r>
        <w:rPr>
          <w:lang w:val="zh-CN"/>
        </w:rPr>
        <w:t>根据施工方案及竣工验收等资料，本工程具有水土保持功能的措施包括工程措施</w:t>
      </w:r>
      <w:r>
        <w:rPr>
          <w:rFonts w:hint="eastAsia"/>
          <w:lang w:val="zh-CN"/>
        </w:rPr>
        <w:t>和植物措施</w:t>
      </w:r>
      <w:r>
        <w:rPr>
          <w:lang w:val="zh-CN"/>
        </w:rPr>
        <w:t>等</w:t>
      </w:r>
      <w:r>
        <w:rPr>
          <w:rFonts w:hint="eastAsia"/>
          <w:lang w:val="zh-CN"/>
        </w:rPr>
        <w:t>2</w:t>
      </w:r>
      <w:r>
        <w:rPr>
          <w:lang w:val="zh-CN"/>
        </w:rPr>
        <w:t>个部分。</w:t>
      </w:r>
      <w:r>
        <w:t>实际的水土流失防治体系</w:t>
      </w:r>
      <w:r>
        <w:rPr>
          <w:rFonts w:hint="eastAsia"/>
        </w:rPr>
        <w:t>及工程量</w:t>
      </w:r>
      <w:r>
        <w:t>见下图</w:t>
      </w:r>
      <w:r>
        <w:rPr>
          <w:rFonts w:hint="eastAsia"/>
        </w:rPr>
        <w:t>表</w:t>
      </w:r>
      <w:r>
        <w:t>。</w:t>
      </w:r>
    </w:p>
    <w:p w14:paraId="44D694D6">
      <w:pPr>
        <w:widowControl/>
        <w:spacing w:line="240" w:lineRule="auto"/>
        <w:ind w:firstLine="0" w:firstLineChars="0"/>
        <w:jc w:val="center"/>
        <w:rPr>
          <w:b/>
          <w:bCs/>
          <w:snapToGrid w:val="0"/>
          <w:kern w:val="0"/>
          <w:szCs w:val="24"/>
        </w:rPr>
      </w:pPr>
      <w:r>
        <w:rPr>
          <w:rFonts w:hint="eastAsia"/>
          <w:b/>
          <w:bCs/>
          <w:snapToGrid w:val="0"/>
          <w:kern w:val="0"/>
          <w:szCs w:val="24"/>
        </w:rPr>
        <w:t>表3-2 水土保持措施主要工程量表</w:t>
      </w:r>
    </w:p>
    <w:tbl>
      <w:tblPr>
        <w:tblStyle w:val="32"/>
        <w:tblW w:w="5000" w:type="pct"/>
        <w:tblInd w:w="0" w:type="dxa"/>
        <w:tblLayout w:type="autofit"/>
        <w:tblCellMar>
          <w:top w:w="0" w:type="dxa"/>
          <w:left w:w="108" w:type="dxa"/>
          <w:bottom w:w="0" w:type="dxa"/>
          <w:right w:w="108" w:type="dxa"/>
        </w:tblCellMar>
      </w:tblPr>
      <w:tblGrid>
        <w:gridCol w:w="1848"/>
        <w:gridCol w:w="1848"/>
        <w:gridCol w:w="1848"/>
        <w:gridCol w:w="1849"/>
        <w:gridCol w:w="1849"/>
      </w:tblGrid>
      <w:tr w14:paraId="1112B991">
        <w:tblPrEx>
          <w:tblCellMar>
            <w:top w:w="0" w:type="dxa"/>
            <w:left w:w="108" w:type="dxa"/>
            <w:bottom w:w="0" w:type="dxa"/>
            <w:right w:w="108" w:type="dxa"/>
          </w:tblCellMar>
        </w:tblPrEx>
        <w:trPr>
          <w:trHeight w:val="540" w:hRule="atLeast"/>
        </w:trPr>
        <w:tc>
          <w:tcPr>
            <w:tcW w:w="1000" w:type="pct"/>
            <w:tcBorders>
              <w:top w:val="single" w:color="auto" w:sz="12" w:space="0"/>
              <w:left w:val="single" w:color="auto" w:sz="12" w:space="0"/>
              <w:bottom w:val="single" w:color="auto" w:sz="12" w:space="0"/>
              <w:right w:val="single" w:color="auto" w:sz="8" w:space="0"/>
            </w:tcBorders>
            <w:shd w:val="clear" w:color="auto" w:fill="auto"/>
            <w:vAlign w:val="center"/>
          </w:tcPr>
          <w:p w14:paraId="012DA0C8">
            <w:pPr>
              <w:widowControl/>
              <w:spacing w:line="240" w:lineRule="auto"/>
              <w:ind w:firstLine="42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分区</w:t>
            </w:r>
          </w:p>
        </w:tc>
        <w:tc>
          <w:tcPr>
            <w:tcW w:w="1000" w:type="pct"/>
            <w:tcBorders>
              <w:top w:val="single" w:color="auto" w:sz="12" w:space="0"/>
              <w:left w:val="nil"/>
              <w:bottom w:val="single" w:color="auto" w:sz="12" w:space="0"/>
              <w:right w:val="single" w:color="auto" w:sz="8" w:space="0"/>
            </w:tcBorders>
            <w:shd w:val="clear" w:color="auto" w:fill="auto"/>
            <w:vAlign w:val="center"/>
          </w:tcPr>
          <w:p w14:paraId="7BC212B4">
            <w:pPr>
              <w:widowControl/>
              <w:spacing w:line="240" w:lineRule="auto"/>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措施类型</w:t>
            </w:r>
          </w:p>
        </w:tc>
        <w:tc>
          <w:tcPr>
            <w:tcW w:w="1000" w:type="pct"/>
            <w:tcBorders>
              <w:top w:val="single" w:color="auto" w:sz="12" w:space="0"/>
              <w:left w:val="nil"/>
              <w:bottom w:val="single" w:color="auto" w:sz="12" w:space="0"/>
              <w:right w:val="single" w:color="auto" w:sz="8" w:space="0"/>
            </w:tcBorders>
            <w:shd w:val="clear" w:color="auto" w:fill="auto"/>
            <w:vAlign w:val="center"/>
          </w:tcPr>
          <w:p w14:paraId="133E0380">
            <w:pPr>
              <w:widowControl/>
              <w:spacing w:line="240" w:lineRule="auto"/>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单位</w:t>
            </w:r>
          </w:p>
        </w:tc>
        <w:tc>
          <w:tcPr>
            <w:tcW w:w="1000" w:type="pct"/>
            <w:tcBorders>
              <w:top w:val="single" w:color="auto" w:sz="12" w:space="0"/>
              <w:left w:val="nil"/>
              <w:bottom w:val="single" w:color="auto" w:sz="12" w:space="0"/>
              <w:right w:val="single" w:color="auto" w:sz="8" w:space="0"/>
            </w:tcBorders>
            <w:shd w:val="clear" w:color="auto" w:fill="auto"/>
            <w:vAlign w:val="center"/>
          </w:tcPr>
          <w:p w14:paraId="43D0D60E">
            <w:pPr>
              <w:widowControl/>
              <w:spacing w:line="240" w:lineRule="auto"/>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主体或方案设计</w:t>
            </w:r>
          </w:p>
        </w:tc>
        <w:tc>
          <w:tcPr>
            <w:tcW w:w="1000" w:type="pct"/>
            <w:tcBorders>
              <w:top w:val="single" w:color="auto" w:sz="12" w:space="0"/>
              <w:left w:val="nil"/>
              <w:bottom w:val="single" w:color="auto" w:sz="12" w:space="0"/>
              <w:right w:val="single" w:color="auto" w:sz="8" w:space="0"/>
            </w:tcBorders>
            <w:shd w:val="clear" w:color="auto" w:fill="auto"/>
            <w:vAlign w:val="center"/>
          </w:tcPr>
          <w:p w14:paraId="295CF276">
            <w:pPr>
              <w:widowControl/>
              <w:spacing w:line="240" w:lineRule="auto"/>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实际完成</w:t>
            </w:r>
          </w:p>
        </w:tc>
      </w:tr>
      <w:tr w14:paraId="39DCC09F">
        <w:tblPrEx>
          <w:tblCellMar>
            <w:top w:w="0" w:type="dxa"/>
            <w:left w:w="108" w:type="dxa"/>
            <w:bottom w:w="0" w:type="dxa"/>
            <w:right w:w="108" w:type="dxa"/>
          </w:tblCellMar>
        </w:tblPrEx>
        <w:trPr>
          <w:trHeight w:val="840" w:hRule="atLeast"/>
        </w:trPr>
        <w:tc>
          <w:tcPr>
            <w:tcW w:w="1000" w:type="pct"/>
            <w:vMerge w:val="restart"/>
            <w:tcBorders>
              <w:top w:val="nil"/>
              <w:left w:val="single" w:color="auto" w:sz="12" w:space="0"/>
              <w:bottom w:val="single" w:color="000000" w:sz="12" w:space="0"/>
              <w:right w:val="single" w:color="auto" w:sz="12" w:space="0"/>
            </w:tcBorders>
            <w:shd w:val="clear" w:color="auto" w:fill="auto"/>
            <w:vAlign w:val="center"/>
          </w:tcPr>
          <w:p w14:paraId="71471230">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绿化观赏区</w:t>
            </w:r>
          </w:p>
        </w:tc>
        <w:tc>
          <w:tcPr>
            <w:tcW w:w="1000" w:type="pct"/>
            <w:tcBorders>
              <w:top w:val="nil"/>
              <w:left w:val="nil"/>
              <w:bottom w:val="single" w:color="auto" w:sz="12" w:space="0"/>
              <w:right w:val="single" w:color="auto" w:sz="12" w:space="0"/>
            </w:tcBorders>
            <w:shd w:val="clear" w:color="auto" w:fill="auto"/>
            <w:vAlign w:val="center"/>
          </w:tcPr>
          <w:p w14:paraId="0351F1B0">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污水管DN200 SN8</w:t>
            </w:r>
          </w:p>
        </w:tc>
        <w:tc>
          <w:tcPr>
            <w:tcW w:w="1000" w:type="pct"/>
            <w:tcBorders>
              <w:top w:val="nil"/>
              <w:left w:val="nil"/>
              <w:bottom w:val="single" w:color="auto" w:sz="12" w:space="0"/>
              <w:right w:val="single" w:color="auto" w:sz="12" w:space="0"/>
            </w:tcBorders>
            <w:shd w:val="clear" w:color="auto" w:fill="auto"/>
            <w:vAlign w:val="center"/>
          </w:tcPr>
          <w:p w14:paraId="657184CB">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m</w:t>
            </w:r>
          </w:p>
        </w:tc>
        <w:tc>
          <w:tcPr>
            <w:tcW w:w="1000" w:type="pct"/>
            <w:tcBorders>
              <w:top w:val="nil"/>
              <w:left w:val="nil"/>
              <w:bottom w:val="single" w:color="auto" w:sz="12" w:space="0"/>
              <w:right w:val="single" w:color="auto" w:sz="12" w:space="0"/>
            </w:tcBorders>
            <w:shd w:val="clear" w:color="auto" w:fill="auto"/>
            <w:vAlign w:val="center"/>
          </w:tcPr>
          <w:p w14:paraId="54A34D6A">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550.53</w:t>
            </w:r>
          </w:p>
        </w:tc>
        <w:tc>
          <w:tcPr>
            <w:tcW w:w="1000" w:type="pct"/>
            <w:tcBorders>
              <w:top w:val="nil"/>
              <w:left w:val="nil"/>
              <w:bottom w:val="single" w:color="auto" w:sz="12" w:space="0"/>
              <w:right w:val="single" w:color="auto" w:sz="12" w:space="0"/>
            </w:tcBorders>
            <w:shd w:val="clear" w:color="auto" w:fill="auto"/>
            <w:vAlign w:val="center"/>
          </w:tcPr>
          <w:p w14:paraId="63DB45FD">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550.53</w:t>
            </w:r>
          </w:p>
        </w:tc>
      </w:tr>
      <w:tr w14:paraId="70430902">
        <w:tblPrEx>
          <w:tblCellMar>
            <w:top w:w="0" w:type="dxa"/>
            <w:left w:w="108" w:type="dxa"/>
            <w:bottom w:w="0" w:type="dxa"/>
            <w:right w:w="108" w:type="dxa"/>
          </w:tblCellMar>
        </w:tblPrEx>
        <w:trPr>
          <w:trHeight w:val="840" w:hRule="atLeast"/>
        </w:trPr>
        <w:tc>
          <w:tcPr>
            <w:tcW w:w="1000" w:type="pct"/>
            <w:vMerge w:val="continue"/>
            <w:tcBorders>
              <w:top w:val="nil"/>
              <w:left w:val="single" w:color="auto" w:sz="12" w:space="0"/>
              <w:bottom w:val="single" w:color="000000" w:sz="12" w:space="0"/>
              <w:right w:val="single" w:color="auto" w:sz="12" w:space="0"/>
            </w:tcBorders>
            <w:vAlign w:val="center"/>
          </w:tcPr>
          <w:p w14:paraId="3579089C">
            <w:pPr>
              <w:widowControl/>
              <w:spacing w:line="240" w:lineRule="auto"/>
              <w:ind w:firstLine="0" w:firstLineChars="0"/>
              <w:jc w:val="center"/>
              <w:rPr>
                <w:rFonts w:ascii="宋体" w:hAnsi="宋体" w:eastAsia="宋体" w:cs="宋体"/>
                <w:color w:val="000000"/>
                <w:kern w:val="0"/>
                <w:sz w:val="22"/>
                <w:szCs w:val="22"/>
              </w:rPr>
            </w:pPr>
          </w:p>
        </w:tc>
        <w:tc>
          <w:tcPr>
            <w:tcW w:w="1000" w:type="pct"/>
            <w:tcBorders>
              <w:top w:val="nil"/>
              <w:left w:val="nil"/>
              <w:bottom w:val="single" w:color="auto" w:sz="12" w:space="0"/>
              <w:right w:val="single" w:color="auto" w:sz="12" w:space="0"/>
            </w:tcBorders>
            <w:shd w:val="clear" w:color="auto" w:fill="auto"/>
            <w:vAlign w:val="center"/>
          </w:tcPr>
          <w:p w14:paraId="5C7274C4">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雨水管DN200 SN8</w:t>
            </w:r>
          </w:p>
        </w:tc>
        <w:tc>
          <w:tcPr>
            <w:tcW w:w="1000" w:type="pct"/>
            <w:tcBorders>
              <w:top w:val="nil"/>
              <w:left w:val="nil"/>
              <w:bottom w:val="single" w:color="auto" w:sz="12" w:space="0"/>
              <w:right w:val="single" w:color="auto" w:sz="12" w:space="0"/>
            </w:tcBorders>
            <w:shd w:val="clear" w:color="auto" w:fill="auto"/>
            <w:vAlign w:val="center"/>
          </w:tcPr>
          <w:p w14:paraId="7E26E251">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m</w:t>
            </w:r>
          </w:p>
        </w:tc>
        <w:tc>
          <w:tcPr>
            <w:tcW w:w="1000" w:type="pct"/>
            <w:tcBorders>
              <w:top w:val="nil"/>
              <w:left w:val="nil"/>
              <w:bottom w:val="single" w:color="auto" w:sz="12" w:space="0"/>
              <w:right w:val="single" w:color="auto" w:sz="12" w:space="0"/>
            </w:tcBorders>
            <w:shd w:val="clear" w:color="auto" w:fill="auto"/>
            <w:vAlign w:val="center"/>
          </w:tcPr>
          <w:p w14:paraId="383123DC">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180</w:t>
            </w:r>
          </w:p>
        </w:tc>
        <w:tc>
          <w:tcPr>
            <w:tcW w:w="1000" w:type="pct"/>
            <w:tcBorders>
              <w:top w:val="nil"/>
              <w:left w:val="nil"/>
              <w:bottom w:val="single" w:color="auto" w:sz="12" w:space="0"/>
              <w:right w:val="single" w:color="auto" w:sz="12" w:space="0"/>
            </w:tcBorders>
            <w:shd w:val="clear" w:color="auto" w:fill="auto"/>
            <w:vAlign w:val="center"/>
          </w:tcPr>
          <w:p w14:paraId="3F25B8B6">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180</w:t>
            </w:r>
          </w:p>
        </w:tc>
      </w:tr>
      <w:tr w14:paraId="23981583">
        <w:tblPrEx>
          <w:tblCellMar>
            <w:top w:w="0" w:type="dxa"/>
            <w:left w:w="108" w:type="dxa"/>
            <w:bottom w:w="0" w:type="dxa"/>
            <w:right w:w="108" w:type="dxa"/>
          </w:tblCellMar>
        </w:tblPrEx>
        <w:trPr>
          <w:trHeight w:val="840" w:hRule="atLeast"/>
        </w:trPr>
        <w:tc>
          <w:tcPr>
            <w:tcW w:w="1000" w:type="pct"/>
            <w:vMerge w:val="continue"/>
            <w:tcBorders>
              <w:top w:val="nil"/>
              <w:left w:val="single" w:color="auto" w:sz="12" w:space="0"/>
              <w:bottom w:val="single" w:color="000000" w:sz="12" w:space="0"/>
              <w:right w:val="single" w:color="auto" w:sz="12" w:space="0"/>
            </w:tcBorders>
            <w:vAlign w:val="center"/>
          </w:tcPr>
          <w:p w14:paraId="0E851EB1">
            <w:pPr>
              <w:widowControl/>
              <w:spacing w:line="240" w:lineRule="auto"/>
              <w:ind w:firstLine="0" w:firstLineChars="0"/>
              <w:jc w:val="center"/>
              <w:rPr>
                <w:rFonts w:ascii="宋体" w:hAnsi="宋体" w:eastAsia="宋体" w:cs="宋体"/>
                <w:color w:val="000000"/>
                <w:kern w:val="0"/>
                <w:sz w:val="22"/>
                <w:szCs w:val="22"/>
              </w:rPr>
            </w:pPr>
          </w:p>
        </w:tc>
        <w:tc>
          <w:tcPr>
            <w:tcW w:w="1000" w:type="pct"/>
            <w:tcBorders>
              <w:top w:val="nil"/>
              <w:left w:val="nil"/>
              <w:bottom w:val="single" w:color="auto" w:sz="12" w:space="0"/>
              <w:right w:val="single" w:color="auto" w:sz="12" w:space="0"/>
            </w:tcBorders>
            <w:shd w:val="clear" w:color="auto" w:fill="auto"/>
            <w:vAlign w:val="center"/>
          </w:tcPr>
          <w:p w14:paraId="14C4CFC5">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Ⅱ级钢筋混凝土管DN800</w:t>
            </w:r>
          </w:p>
        </w:tc>
        <w:tc>
          <w:tcPr>
            <w:tcW w:w="1000" w:type="pct"/>
            <w:tcBorders>
              <w:top w:val="nil"/>
              <w:left w:val="nil"/>
              <w:bottom w:val="single" w:color="auto" w:sz="12" w:space="0"/>
              <w:right w:val="single" w:color="auto" w:sz="12" w:space="0"/>
            </w:tcBorders>
            <w:shd w:val="clear" w:color="auto" w:fill="auto"/>
            <w:vAlign w:val="center"/>
          </w:tcPr>
          <w:p w14:paraId="62FC1DDB">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m</w:t>
            </w:r>
          </w:p>
        </w:tc>
        <w:tc>
          <w:tcPr>
            <w:tcW w:w="1000" w:type="pct"/>
            <w:tcBorders>
              <w:top w:val="nil"/>
              <w:left w:val="nil"/>
              <w:bottom w:val="single" w:color="auto" w:sz="12" w:space="0"/>
              <w:right w:val="single" w:color="auto" w:sz="12" w:space="0"/>
            </w:tcBorders>
            <w:shd w:val="clear" w:color="auto" w:fill="auto"/>
            <w:vAlign w:val="center"/>
          </w:tcPr>
          <w:p w14:paraId="3C0862F4">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206</w:t>
            </w:r>
          </w:p>
        </w:tc>
        <w:tc>
          <w:tcPr>
            <w:tcW w:w="1000" w:type="pct"/>
            <w:tcBorders>
              <w:top w:val="nil"/>
              <w:left w:val="nil"/>
              <w:bottom w:val="single" w:color="auto" w:sz="12" w:space="0"/>
              <w:right w:val="single" w:color="auto" w:sz="12" w:space="0"/>
            </w:tcBorders>
            <w:shd w:val="clear" w:color="auto" w:fill="auto"/>
            <w:vAlign w:val="center"/>
          </w:tcPr>
          <w:p w14:paraId="39954AC2">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206</w:t>
            </w:r>
          </w:p>
        </w:tc>
      </w:tr>
      <w:tr w14:paraId="7F75691F">
        <w:tblPrEx>
          <w:tblCellMar>
            <w:top w:w="0" w:type="dxa"/>
            <w:left w:w="108" w:type="dxa"/>
            <w:bottom w:w="0" w:type="dxa"/>
            <w:right w:w="108" w:type="dxa"/>
          </w:tblCellMar>
        </w:tblPrEx>
        <w:trPr>
          <w:trHeight w:val="840" w:hRule="atLeast"/>
        </w:trPr>
        <w:tc>
          <w:tcPr>
            <w:tcW w:w="1000" w:type="pct"/>
            <w:vMerge w:val="continue"/>
            <w:tcBorders>
              <w:top w:val="nil"/>
              <w:left w:val="single" w:color="auto" w:sz="12" w:space="0"/>
              <w:bottom w:val="single" w:color="000000" w:sz="12" w:space="0"/>
              <w:right w:val="single" w:color="auto" w:sz="12" w:space="0"/>
            </w:tcBorders>
            <w:vAlign w:val="center"/>
          </w:tcPr>
          <w:p w14:paraId="662D63CF">
            <w:pPr>
              <w:widowControl/>
              <w:spacing w:line="240" w:lineRule="auto"/>
              <w:ind w:firstLine="0" w:firstLineChars="0"/>
              <w:jc w:val="center"/>
              <w:rPr>
                <w:rFonts w:ascii="宋体" w:hAnsi="宋体" w:eastAsia="宋体" w:cs="宋体"/>
                <w:color w:val="000000"/>
                <w:kern w:val="0"/>
                <w:sz w:val="22"/>
                <w:szCs w:val="22"/>
              </w:rPr>
            </w:pPr>
          </w:p>
        </w:tc>
        <w:tc>
          <w:tcPr>
            <w:tcW w:w="1000" w:type="pct"/>
            <w:tcBorders>
              <w:top w:val="nil"/>
              <w:left w:val="nil"/>
              <w:bottom w:val="single" w:color="auto" w:sz="12" w:space="0"/>
              <w:right w:val="single" w:color="auto" w:sz="12" w:space="0"/>
            </w:tcBorders>
            <w:shd w:val="clear" w:color="auto" w:fill="auto"/>
            <w:vAlign w:val="center"/>
          </w:tcPr>
          <w:p w14:paraId="46A331F0">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Ⅱ级钢筋混凝土管DN600</w:t>
            </w:r>
          </w:p>
        </w:tc>
        <w:tc>
          <w:tcPr>
            <w:tcW w:w="1000" w:type="pct"/>
            <w:tcBorders>
              <w:top w:val="nil"/>
              <w:left w:val="nil"/>
              <w:bottom w:val="single" w:color="auto" w:sz="12" w:space="0"/>
              <w:right w:val="single" w:color="auto" w:sz="12" w:space="0"/>
            </w:tcBorders>
            <w:shd w:val="clear" w:color="auto" w:fill="auto"/>
            <w:vAlign w:val="center"/>
          </w:tcPr>
          <w:p w14:paraId="52470632">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m</w:t>
            </w:r>
          </w:p>
        </w:tc>
        <w:tc>
          <w:tcPr>
            <w:tcW w:w="1000" w:type="pct"/>
            <w:tcBorders>
              <w:top w:val="nil"/>
              <w:left w:val="nil"/>
              <w:bottom w:val="single" w:color="auto" w:sz="12" w:space="0"/>
              <w:right w:val="single" w:color="auto" w:sz="12" w:space="0"/>
            </w:tcBorders>
            <w:shd w:val="clear" w:color="auto" w:fill="auto"/>
            <w:vAlign w:val="center"/>
          </w:tcPr>
          <w:p w14:paraId="25485BA4">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239</w:t>
            </w:r>
          </w:p>
        </w:tc>
        <w:tc>
          <w:tcPr>
            <w:tcW w:w="1000" w:type="pct"/>
            <w:tcBorders>
              <w:top w:val="nil"/>
              <w:left w:val="nil"/>
              <w:bottom w:val="single" w:color="auto" w:sz="12" w:space="0"/>
              <w:right w:val="single" w:color="auto" w:sz="12" w:space="0"/>
            </w:tcBorders>
            <w:shd w:val="clear" w:color="auto" w:fill="auto"/>
            <w:vAlign w:val="center"/>
          </w:tcPr>
          <w:p w14:paraId="5DED3B56">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239</w:t>
            </w:r>
          </w:p>
        </w:tc>
      </w:tr>
      <w:tr w14:paraId="2406D15E">
        <w:tblPrEx>
          <w:tblCellMar>
            <w:top w:w="0" w:type="dxa"/>
            <w:left w:w="108" w:type="dxa"/>
            <w:bottom w:w="0" w:type="dxa"/>
            <w:right w:w="108" w:type="dxa"/>
          </w:tblCellMar>
        </w:tblPrEx>
        <w:trPr>
          <w:trHeight w:val="840" w:hRule="atLeast"/>
        </w:trPr>
        <w:tc>
          <w:tcPr>
            <w:tcW w:w="1000" w:type="pct"/>
            <w:vMerge w:val="continue"/>
            <w:tcBorders>
              <w:top w:val="nil"/>
              <w:left w:val="single" w:color="auto" w:sz="12" w:space="0"/>
              <w:bottom w:val="single" w:color="000000" w:sz="12" w:space="0"/>
              <w:right w:val="single" w:color="auto" w:sz="12" w:space="0"/>
            </w:tcBorders>
            <w:vAlign w:val="center"/>
          </w:tcPr>
          <w:p w14:paraId="7FCF6B10">
            <w:pPr>
              <w:widowControl/>
              <w:spacing w:line="240" w:lineRule="auto"/>
              <w:ind w:firstLine="0" w:firstLineChars="0"/>
              <w:jc w:val="center"/>
              <w:rPr>
                <w:rFonts w:ascii="宋体" w:hAnsi="宋体" w:eastAsia="宋体" w:cs="宋体"/>
                <w:color w:val="000000"/>
                <w:kern w:val="0"/>
                <w:sz w:val="22"/>
                <w:szCs w:val="22"/>
              </w:rPr>
            </w:pPr>
          </w:p>
        </w:tc>
        <w:tc>
          <w:tcPr>
            <w:tcW w:w="1000" w:type="pct"/>
            <w:tcBorders>
              <w:top w:val="nil"/>
              <w:left w:val="nil"/>
              <w:bottom w:val="single" w:color="auto" w:sz="12" w:space="0"/>
              <w:right w:val="single" w:color="auto" w:sz="12" w:space="0"/>
            </w:tcBorders>
            <w:shd w:val="clear" w:color="auto" w:fill="auto"/>
            <w:vAlign w:val="center"/>
          </w:tcPr>
          <w:p w14:paraId="2FFC1E2E">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Ⅱ级钢筋混凝土管DN400</w:t>
            </w:r>
          </w:p>
        </w:tc>
        <w:tc>
          <w:tcPr>
            <w:tcW w:w="1000" w:type="pct"/>
            <w:tcBorders>
              <w:top w:val="nil"/>
              <w:left w:val="nil"/>
              <w:bottom w:val="single" w:color="auto" w:sz="12" w:space="0"/>
              <w:right w:val="single" w:color="auto" w:sz="12" w:space="0"/>
            </w:tcBorders>
            <w:shd w:val="clear" w:color="auto" w:fill="auto"/>
            <w:vAlign w:val="center"/>
          </w:tcPr>
          <w:p w14:paraId="0358CC93">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m</w:t>
            </w:r>
          </w:p>
        </w:tc>
        <w:tc>
          <w:tcPr>
            <w:tcW w:w="1000" w:type="pct"/>
            <w:tcBorders>
              <w:top w:val="nil"/>
              <w:left w:val="nil"/>
              <w:bottom w:val="single" w:color="auto" w:sz="12" w:space="0"/>
              <w:right w:val="single" w:color="auto" w:sz="12" w:space="0"/>
            </w:tcBorders>
            <w:shd w:val="clear" w:color="auto" w:fill="auto"/>
            <w:vAlign w:val="center"/>
          </w:tcPr>
          <w:p w14:paraId="777F00C9">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62</w:t>
            </w:r>
          </w:p>
        </w:tc>
        <w:tc>
          <w:tcPr>
            <w:tcW w:w="1000" w:type="pct"/>
            <w:tcBorders>
              <w:top w:val="nil"/>
              <w:left w:val="nil"/>
              <w:bottom w:val="single" w:color="auto" w:sz="12" w:space="0"/>
              <w:right w:val="single" w:color="auto" w:sz="12" w:space="0"/>
            </w:tcBorders>
            <w:shd w:val="clear" w:color="auto" w:fill="auto"/>
            <w:vAlign w:val="center"/>
          </w:tcPr>
          <w:p w14:paraId="330F8CF4">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62</w:t>
            </w:r>
          </w:p>
        </w:tc>
      </w:tr>
      <w:tr w14:paraId="740F6D94">
        <w:tblPrEx>
          <w:tblCellMar>
            <w:top w:w="0" w:type="dxa"/>
            <w:left w:w="108" w:type="dxa"/>
            <w:bottom w:w="0" w:type="dxa"/>
            <w:right w:w="108" w:type="dxa"/>
          </w:tblCellMar>
        </w:tblPrEx>
        <w:trPr>
          <w:trHeight w:val="570" w:hRule="atLeast"/>
        </w:trPr>
        <w:tc>
          <w:tcPr>
            <w:tcW w:w="1000" w:type="pct"/>
            <w:vMerge w:val="continue"/>
            <w:tcBorders>
              <w:top w:val="nil"/>
              <w:left w:val="single" w:color="auto" w:sz="12" w:space="0"/>
              <w:bottom w:val="single" w:color="000000" w:sz="12" w:space="0"/>
              <w:right w:val="single" w:color="auto" w:sz="12" w:space="0"/>
            </w:tcBorders>
            <w:vAlign w:val="center"/>
          </w:tcPr>
          <w:p w14:paraId="6AC011F7">
            <w:pPr>
              <w:widowControl/>
              <w:spacing w:line="240" w:lineRule="auto"/>
              <w:ind w:firstLine="0" w:firstLineChars="0"/>
              <w:jc w:val="center"/>
              <w:rPr>
                <w:rFonts w:ascii="宋体" w:hAnsi="宋体" w:eastAsia="宋体" w:cs="宋体"/>
                <w:color w:val="000000"/>
                <w:kern w:val="0"/>
                <w:sz w:val="22"/>
                <w:szCs w:val="22"/>
              </w:rPr>
            </w:pPr>
          </w:p>
        </w:tc>
        <w:tc>
          <w:tcPr>
            <w:tcW w:w="1000" w:type="pct"/>
            <w:tcBorders>
              <w:top w:val="nil"/>
              <w:left w:val="nil"/>
              <w:bottom w:val="single" w:color="auto" w:sz="12" w:space="0"/>
              <w:right w:val="single" w:color="auto" w:sz="12" w:space="0"/>
            </w:tcBorders>
            <w:shd w:val="clear" w:color="auto" w:fill="auto"/>
            <w:vAlign w:val="center"/>
          </w:tcPr>
          <w:p w14:paraId="2628A3CC">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雨水检查井</w:t>
            </w:r>
          </w:p>
        </w:tc>
        <w:tc>
          <w:tcPr>
            <w:tcW w:w="1000" w:type="pct"/>
            <w:tcBorders>
              <w:top w:val="nil"/>
              <w:left w:val="nil"/>
              <w:bottom w:val="single" w:color="auto" w:sz="12" w:space="0"/>
              <w:right w:val="single" w:color="auto" w:sz="12" w:space="0"/>
            </w:tcBorders>
            <w:shd w:val="clear" w:color="auto" w:fill="auto"/>
            <w:vAlign w:val="center"/>
          </w:tcPr>
          <w:p w14:paraId="76736AAD">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座</w:t>
            </w:r>
          </w:p>
        </w:tc>
        <w:tc>
          <w:tcPr>
            <w:tcW w:w="1000" w:type="pct"/>
            <w:tcBorders>
              <w:top w:val="nil"/>
              <w:left w:val="nil"/>
              <w:bottom w:val="single" w:color="auto" w:sz="12" w:space="0"/>
              <w:right w:val="single" w:color="auto" w:sz="12" w:space="0"/>
            </w:tcBorders>
            <w:shd w:val="clear" w:color="auto" w:fill="auto"/>
            <w:vAlign w:val="center"/>
          </w:tcPr>
          <w:p w14:paraId="753B6BB2">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8</w:t>
            </w:r>
          </w:p>
        </w:tc>
        <w:tc>
          <w:tcPr>
            <w:tcW w:w="1000" w:type="pct"/>
            <w:tcBorders>
              <w:top w:val="nil"/>
              <w:left w:val="nil"/>
              <w:bottom w:val="single" w:color="auto" w:sz="12" w:space="0"/>
              <w:right w:val="single" w:color="auto" w:sz="12" w:space="0"/>
            </w:tcBorders>
            <w:shd w:val="clear" w:color="auto" w:fill="auto"/>
            <w:vAlign w:val="center"/>
          </w:tcPr>
          <w:p w14:paraId="2BC7E6CF">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8</w:t>
            </w:r>
          </w:p>
        </w:tc>
      </w:tr>
      <w:tr w14:paraId="406A5EDF">
        <w:tblPrEx>
          <w:tblCellMar>
            <w:top w:w="0" w:type="dxa"/>
            <w:left w:w="108" w:type="dxa"/>
            <w:bottom w:w="0" w:type="dxa"/>
            <w:right w:w="108" w:type="dxa"/>
          </w:tblCellMar>
        </w:tblPrEx>
        <w:trPr>
          <w:trHeight w:val="570" w:hRule="atLeast"/>
        </w:trPr>
        <w:tc>
          <w:tcPr>
            <w:tcW w:w="1000" w:type="pct"/>
            <w:vMerge w:val="continue"/>
            <w:tcBorders>
              <w:top w:val="nil"/>
              <w:left w:val="single" w:color="auto" w:sz="12" w:space="0"/>
              <w:bottom w:val="single" w:color="000000" w:sz="12" w:space="0"/>
              <w:right w:val="single" w:color="auto" w:sz="12" w:space="0"/>
            </w:tcBorders>
            <w:vAlign w:val="center"/>
          </w:tcPr>
          <w:p w14:paraId="710F8BE6">
            <w:pPr>
              <w:widowControl/>
              <w:spacing w:line="240" w:lineRule="auto"/>
              <w:ind w:firstLine="0" w:firstLineChars="0"/>
              <w:jc w:val="center"/>
              <w:rPr>
                <w:rFonts w:ascii="宋体" w:hAnsi="宋体" w:eastAsia="宋体" w:cs="宋体"/>
                <w:color w:val="000000"/>
                <w:kern w:val="0"/>
                <w:sz w:val="22"/>
                <w:szCs w:val="22"/>
              </w:rPr>
            </w:pPr>
          </w:p>
        </w:tc>
        <w:tc>
          <w:tcPr>
            <w:tcW w:w="1000" w:type="pct"/>
            <w:tcBorders>
              <w:top w:val="nil"/>
              <w:left w:val="nil"/>
              <w:bottom w:val="single" w:color="auto" w:sz="12" w:space="0"/>
              <w:right w:val="single" w:color="auto" w:sz="12" w:space="0"/>
            </w:tcBorders>
            <w:shd w:val="clear" w:color="auto" w:fill="auto"/>
            <w:vAlign w:val="center"/>
          </w:tcPr>
          <w:p w14:paraId="5D05A906">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污水检查井</w:t>
            </w:r>
          </w:p>
        </w:tc>
        <w:tc>
          <w:tcPr>
            <w:tcW w:w="1000" w:type="pct"/>
            <w:tcBorders>
              <w:top w:val="nil"/>
              <w:left w:val="nil"/>
              <w:bottom w:val="single" w:color="auto" w:sz="12" w:space="0"/>
              <w:right w:val="single" w:color="auto" w:sz="12" w:space="0"/>
            </w:tcBorders>
            <w:shd w:val="clear" w:color="auto" w:fill="auto"/>
            <w:vAlign w:val="center"/>
          </w:tcPr>
          <w:p w14:paraId="24027D44">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座</w:t>
            </w:r>
          </w:p>
        </w:tc>
        <w:tc>
          <w:tcPr>
            <w:tcW w:w="1000" w:type="pct"/>
            <w:tcBorders>
              <w:top w:val="nil"/>
              <w:left w:val="nil"/>
              <w:bottom w:val="single" w:color="auto" w:sz="12" w:space="0"/>
              <w:right w:val="single" w:color="auto" w:sz="12" w:space="0"/>
            </w:tcBorders>
            <w:shd w:val="clear" w:color="auto" w:fill="auto"/>
            <w:vAlign w:val="center"/>
          </w:tcPr>
          <w:p w14:paraId="785FEE35">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20</w:t>
            </w:r>
          </w:p>
        </w:tc>
        <w:tc>
          <w:tcPr>
            <w:tcW w:w="1000" w:type="pct"/>
            <w:tcBorders>
              <w:top w:val="nil"/>
              <w:left w:val="nil"/>
              <w:bottom w:val="single" w:color="auto" w:sz="12" w:space="0"/>
              <w:right w:val="single" w:color="auto" w:sz="12" w:space="0"/>
            </w:tcBorders>
            <w:shd w:val="clear" w:color="auto" w:fill="auto"/>
            <w:vAlign w:val="center"/>
          </w:tcPr>
          <w:p w14:paraId="3B22B8B6">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20</w:t>
            </w:r>
          </w:p>
        </w:tc>
      </w:tr>
      <w:tr w14:paraId="3A4BB8C4">
        <w:tblPrEx>
          <w:tblCellMar>
            <w:top w:w="0" w:type="dxa"/>
            <w:left w:w="108" w:type="dxa"/>
            <w:bottom w:w="0" w:type="dxa"/>
            <w:right w:w="108" w:type="dxa"/>
          </w:tblCellMar>
        </w:tblPrEx>
        <w:trPr>
          <w:trHeight w:val="570" w:hRule="atLeast"/>
        </w:trPr>
        <w:tc>
          <w:tcPr>
            <w:tcW w:w="1000" w:type="pct"/>
            <w:vMerge w:val="continue"/>
            <w:tcBorders>
              <w:top w:val="nil"/>
              <w:left w:val="single" w:color="auto" w:sz="12" w:space="0"/>
              <w:bottom w:val="single" w:color="000000" w:sz="12" w:space="0"/>
              <w:right w:val="single" w:color="auto" w:sz="12" w:space="0"/>
            </w:tcBorders>
            <w:vAlign w:val="center"/>
          </w:tcPr>
          <w:p w14:paraId="11A612A0">
            <w:pPr>
              <w:widowControl/>
              <w:spacing w:line="240" w:lineRule="auto"/>
              <w:ind w:firstLine="0" w:firstLineChars="0"/>
              <w:jc w:val="center"/>
              <w:rPr>
                <w:rFonts w:ascii="宋体" w:hAnsi="宋体" w:eastAsia="宋体" w:cs="宋体"/>
                <w:color w:val="000000"/>
                <w:kern w:val="0"/>
                <w:sz w:val="22"/>
                <w:szCs w:val="22"/>
              </w:rPr>
            </w:pPr>
          </w:p>
        </w:tc>
        <w:tc>
          <w:tcPr>
            <w:tcW w:w="1000" w:type="pct"/>
            <w:tcBorders>
              <w:top w:val="nil"/>
              <w:left w:val="nil"/>
              <w:bottom w:val="single" w:color="auto" w:sz="12" w:space="0"/>
              <w:right w:val="single" w:color="auto" w:sz="12" w:space="0"/>
            </w:tcBorders>
            <w:shd w:val="clear" w:color="auto" w:fill="auto"/>
            <w:vAlign w:val="center"/>
          </w:tcPr>
          <w:p w14:paraId="6C801D0E">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矩形检查井</w:t>
            </w:r>
          </w:p>
        </w:tc>
        <w:tc>
          <w:tcPr>
            <w:tcW w:w="1000" w:type="pct"/>
            <w:tcBorders>
              <w:top w:val="nil"/>
              <w:left w:val="nil"/>
              <w:bottom w:val="single" w:color="auto" w:sz="12" w:space="0"/>
              <w:right w:val="single" w:color="auto" w:sz="12" w:space="0"/>
            </w:tcBorders>
            <w:shd w:val="clear" w:color="auto" w:fill="auto"/>
            <w:vAlign w:val="center"/>
          </w:tcPr>
          <w:p w14:paraId="7BAB61FD">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座</w:t>
            </w:r>
          </w:p>
        </w:tc>
        <w:tc>
          <w:tcPr>
            <w:tcW w:w="1000" w:type="pct"/>
            <w:tcBorders>
              <w:top w:val="nil"/>
              <w:left w:val="nil"/>
              <w:bottom w:val="single" w:color="auto" w:sz="12" w:space="0"/>
              <w:right w:val="single" w:color="auto" w:sz="12" w:space="0"/>
            </w:tcBorders>
            <w:shd w:val="clear" w:color="auto" w:fill="auto"/>
            <w:vAlign w:val="center"/>
          </w:tcPr>
          <w:p w14:paraId="6B5EFBF6">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8</w:t>
            </w:r>
          </w:p>
        </w:tc>
        <w:tc>
          <w:tcPr>
            <w:tcW w:w="1000" w:type="pct"/>
            <w:tcBorders>
              <w:top w:val="nil"/>
              <w:left w:val="nil"/>
              <w:bottom w:val="single" w:color="auto" w:sz="12" w:space="0"/>
              <w:right w:val="single" w:color="auto" w:sz="12" w:space="0"/>
            </w:tcBorders>
            <w:shd w:val="clear" w:color="auto" w:fill="auto"/>
            <w:vAlign w:val="center"/>
          </w:tcPr>
          <w:p w14:paraId="1EF4FEA2">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8</w:t>
            </w:r>
          </w:p>
        </w:tc>
      </w:tr>
      <w:tr w14:paraId="64630761">
        <w:tblPrEx>
          <w:tblCellMar>
            <w:top w:w="0" w:type="dxa"/>
            <w:left w:w="108" w:type="dxa"/>
            <w:bottom w:w="0" w:type="dxa"/>
            <w:right w:w="108" w:type="dxa"/>
          </w:tblCellMar>
        </w:tblPrEx>
        <w:trPr>
          <w:trHeight w:val="570" w:hRule="atLeast"/>
        </w:trPr>
        <w:tc>
          <w:tcPr>
            <w:tcW w:w="1000" w:type="pct"/>
            <w:vMerge w:val="continue"/>
            <w:tcBorders>
              <w:top w:val="nil"/>
              <w:left w:val="single" w:color="auto" w:sz="12" w:space="0"/>
              <w:bottom w:val="single" w:color="000000" w:sz="12" w:space="0"/>
              <w:right w:val="single" w:color="auto" w:sz="12" w:space="0"/>
            </w:tcBorders>
            <w:vAlign w:val="center"/>
          </w:tcPr>
          <w:p w14:paraId="7810E767">
            <w:pPr>
              <w:widowControl/>
              <w:spacing w:line="240" w:lineRule="auto"/>
              <w:ind w:firstLine="0" w:firstLineChars="0"/>
              <w:jc w:val="center"/>
              <w:rPr>
                <w:rFonts w:ascii="宋体" w:hAnsi="宋体" w:eastAsia="宋体" w:cs="宋体"/>
                <w:color w:val="000000"/>
                <w:kern w:val="0"/>
                <w:sz w:val="22"/>
                <w:szCs w:val="22"/>
              </w:rPr>
            </w:pPr>
          </w:p>
        </w:tc>
        <w:tc>
          <w:tcPr>
            <w:tcW w:w="1000" w:type="pct"/>
            <w:tcBorders>
              <w:top w:val="nil"/>
              <w:left w:val="nil"/>
              <w:bottom w:val="single" w:color="auto" w:sz="12" w:space="0"/>
              <w:right w:val="single" w:color="auto" w:sz="12" w:space="0"/>
            </w:tcBorders>
            <w:shd w:val="clear" w:color="auto" w:fill="auto"/>
            <w:vAlign w:val="center"/>
          </w:tcPr>
          <w:p w14:paraId="7655CA4F">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雨水沉泥井1</w:t>
            </w:r>
          </w:p>
        </w:tc>
        <w:tc>
          <w:tcPr>
            <w:tcW w:w="1000" w:type="pct"/>
            <w:tcBorders>
              <w:top w:val="nil"/>
              <w:left w:val="nil"/>
              <w:bottom w:val="single" w:color="auto" w:sz="12" w:space="0"/>
              <w:right w:val="single" w:color="auto" w:sz="12" w:space="0"/>
            </w:tcBorders>
            <w:shd w:val="clear" w:color="auto" w:fill="auto"/>
            <w:vAlign w:val="center"/>
          </w:tcPr>
          <w:p w14:paraId="306259DA">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座</w:t>
            </w:r>
          </w:p>
        </w:tc>
        <w:tc>
          <w:tcPr>
            <w:tcW w:w="1000" w:type="pct"/>
            <w:tcBorders>
              <w:top w:val="nil"/>
              <w:left w:val="nil"/>
              <w:bottom w:val="single" w:color="auto" w:sz="12" w:space="0"/>
              <w:right w:val="single" w:color="auto" w:sz="12" w:space="0"/>
            </w:tcBorders>
            <w:shd w:val="clear" w:color="auto" w:fill="auto"/>
            <w:vAlign w:val="center"/>
          </w:tcPr>
          <w:p w14:paraId="16AAC384">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4</w:t>
            </w:r>
          </w:p>
        </w:tc>
        <w:tc>
          <w:tcPr>
            <w:tcW w:w="1000" w:type="pct"/>
            <w:tcBorders>
              <w:top w:val="nil"/>
              <w:left w:val="nil"/>
              <w:bottom w:val="single" w:color="auto" w:sz="12" w:space="0"/>
              <w:right w:val="single" w:color="auto" w:sz="12" w:space="0"/>
            </w:tcBorders>
            <w:shd w:val="clear" w:color="auto" w:fill="auto"/>
            <w:vAlign w:val="center"/>
          </w:tcPr>
          <w:p w14:paraId="752939DE">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4</w:t>
            </w:r>
          </w:p>
        </w:tc>
      </w:tr>
      <w:tr w14:paraId="087CE8AE">
        <w:tblPrEx>
          <w:tblCellMar>
            <w:top w:w="0" w:type="dxa"/>
            <w:left w:w="108" w:type="dxa"/>
            <w:bottom w:w="0" w:type="dxa"/>
            <w:right w:w="108" w:type="dxa"/>
          </w:tblCellMar>
        </w:tblPrEx>
        <w:trPr>
          <w:trHeight w:val="570" w:hRule="atLeast"/>
        </w:trPr>
        <w:tc>
          <w:tcPr>
            <w:tcW w:w="1000" w:type="pct"/>
            <w:vMerge w:val="continue"/>
            <w:tcBorders>
              <w:top w:val="nil"/>
              <w:left w:val="single" w:color="auto" w:sz="12" w:space="0"/>
              <w:bottom w:val="single" w:color="000000" w:sz="12" w:space="0"/>
              <w:right w:val="single" w:color="auto" w:sz="12" w:space="0"/>
            </w:tcBorders>
            <w:vAlign w:val="center"/>
          </w:tcPr>
          <w:p w14:paraId="0C777A66">
            <w:pPr>
              <w:widowControl/>
              <w:spacing w:line="240" w:lineRule="auto"/>
              <w:ind w:firstLine="0" w:firstLineChars="0"/>
              <w:jc w:val="center"/>
              <w:rPr>
                <w:rFonts w:ascii="宋体" w:hAnsi="宋体" w:eastAsia="宋体" w:cs="宋体"/>
                <w:color w:val="000000"/>
                <w:kern w:val="0"/>
                <w:sz w:val="22"/>
                <w:szCs w:val="22"/>
              </w:rPr>
            </w:pPr>
          </w:p>
        </w:tc>
        <w:tc>
          <w:tcPr>
            <w:tcW w:w="1000" w:type="pct"/>
            <w:tcBorders>
              <w:top w:val="nil"/>
              <w:left w:val="nil"/>
              <w:bottom w:val="single" w:color="auto" w:sz="12" w:space="0"/>
              <w:right w:val="single" w:color="auto" w:sz="12" w:space="0"/>
            </w:tcBorders>
            <w:shd w:val="clear" w:color="auto" w:fill="auto"/>
            <w:vAlign w:val="center"/>
          </w:tcPr>
          <w:p w14:paraId="67EE98A0">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（园林）沉泥井2</w:t>
            </w:r>
          </w:p>
        </w:tc>
        <w:tc>
          <w:tcPr>
            <w:tcW w:w="1000" w:type="pct"/>
            <w:tcBorders>
              <w:top w:val="nil"/>
              <w:left w:val="nil"/>
              <w:bottom w:val="single" w:color="auto" w:sz="12" w:space="0"/>
              <w:right w:val="single" w:color="auto" w:sz="12" w:space="0"/>
            </w:tcBorders>
            <w:shd w:val="clear" w:color="auto" w:fill="auto"/>
            <w:vAlign w:val="center"/>
          </w:tcPr>
          <w:p w14:paraId="1A5ADBF5">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座</w:t>
            </w:r>
          </w:p>
        </w:tc>
        <w:tc>
          <w:tcPr>
            <w:tcW w:w="1000" w:type="pct"/>
            <w:tcBorders>
              <w:top w:val="nil"/>
              <w:left w:val="nil"/>
              <w:bottom w:val="single" w:color="auto" w:sz="12" w:space="0"/>
              <w:right w:val="single" w:color="auto" w:sz="12" w:space="0"/>
            </w:tcBorders>
            <w:shd w:val="clear" w:color="auto" w:fill="auto"/>
            <w:vAlign w:val="center"/>
          </w:tcPr>
          <w:p w14:paraId="319BFA04">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8</w:t>
            </w:r>
          </w:p>
        </w:tc>
        <w:tc>
          <w:tcPr>
            <w:tcW w:w="1000" w:type="pct"/>
            <w:tcBorders>
              <w:top w:val="nil"/>
              <w:left w:val="nil"/>
              <w:bottom w:val="single" w:color="auto" w:sz="12" w:space="0"/>
              <w:right w:val="single" w:color="auto" w:sz="12" w:space="0"/>
            </w:tcBorders>
            <w:shd w:val="clear" w:color="auto" w:fill="auto"/>
            <w:vAlign w:val="center"/>
          </w:tcPr>
          <w:p w14:paraId="080D7FAA">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8</w:t>
            </w:r>
          </w:p>
        </w:tc>
      </w:tr>
      <w:tr w14:paraId="16008C3D">
        <w:tblPrEx>
          <w:tblCellMar>
            <w:top w:w="0" w:type="dxa"/>
            <w:left w:w="108" w:type="dxa"/>
            <w:bottom w:w="0" w:type="dxa"/>
            <w:right w:w="108" w:type="dxa"/>
          </w:tblCellMar>
        </w:tblPrEx>
        <w:trPr>
          <w:trHeight w:val="300" w:hRule="atLeast"/>
        </w:trPr>
        <w:tc>
          <w:tcPr>
            <w:tcW w:w="1000" w:type="pct"/>
            <w:vMerge w:val="continue"/>
            <w:tcBorders>
              <w:top w:val="nil"/>
              <w:left w:val="single" w:color="auto" w:sz="12" w:space="0"/>
              <w:bottom w:val="single" w:color="000000" w:sz="12" w:space="0"/>
              <w:right w:val="single" w:color="auto" w:sz="12" w:space="0"/>
            </w:tcBorders>
            <w:vAlign w:val="center"/>
          </w:tcPr>
          <w:p w14:paraId="5BD9100A">
            <w:pPr>
              <w:widowControl/>
              <w:spacing w:line="240" w:lineRule="auto"/>
              <w:ind w:firstLine="0" w:firstLineChars="0"/>
              <w:jc w:val="center"/>
              <w:rPr>
                <w:rFonts w:ascii="宋体" w:hAnsi="宋体" w:eastAsia="宋体" w:cs="宋体"/>
                <w:color w:val="000000"/>
                <w:kern w:val="0"/>
                <w:sz w:val="22"/>
                <w:szCs w:val="22"/>
              </w:rPr>
            </w:pPr>
          </w:p>
        </w:tc>
        <w:tc>
          <w:tcPr>
            <w:tcW w:w="1000" w:type="pct"/>
            <w:tcBorders>
              <w:top w:val="nil"/>
              <w:left w:val="nil"/>
              <w:bottom w:val="single" w:color="auto" w:sz="12" w:space="0"/>
              <w:right w:val="single" w:color="auto" w:sz="12" w:space="0"/>
            </w:tcBorders>
            <w:shd w:val="clear" w:color="auto" w:fill="auto"/>
            <w:vAlign w:val="center"/>
          </w:tcPr>
          <w:p w14:paraId="0307A523">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雨水井</w:t>
            </w:r>
          </w:p>
        </w:tc>
        <w:tc>
          <w:tcPr>
            <w:tcW w:w="1000" w:type="pct"/>
            <w:tcBorders>
              <w:top w:val="nil"/>
              <w:left w:val="nil"/>
              <w:bottom w:val="single" w:color="auto" w:sz="12" w:space="0"/>
              <w:right w:val="single" w:color="auto" w:sz="12" w:space="0"/>
            </w:tcBorders>
            <w:shd w:val="clear" w:color="auto" w:fill="auto"/>
            <w:vAlign w:val="center"/>
          </w:tcPr>
          <w:p w14:paraId="735184E6">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座</w:t>
            </w:r>
          </w:p>
        </w:tc>
        <w:tc>
          <w:tcPr>
            <w:tcW w:w="1000" w:type="pct"/>
            <w:tcBorders>
              <w:top w:val="nil"/>
              <w:left w:val="nil"/>
              <w:bottom w:val="single" w:color="auto" w:sz="12" w:space="0"/>
              <w:right w:val="single" w:color="auto" w:sz="12" w:space="0"/>
            </w:tcBorders>
            <w:shd w:val="clear" w:color="auto" w:fill="auto"/>
            <w:vAlign w:val="center"/>
          </w:tcPr>
          <w:p w14:paraId="2DEFBB60">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38</w:t>
            </w:r>
          </w:p>
        </w:tc>
        <w:tc>
          <w:tcPr>
            <w:tcW w:w="1000" w:type="pct"/>
            <w:tcBorders>
              <w:top w:val="nil"/>
              <w:left w:val="nil"/>
              <w:bottom w:val="single" w:color="auto" w:sz="12" w:space="0"/>
              <w:right w:val="single" w:color="auto" w:sz="12" w:space="0"/>
            </w:tcBorders>
            <w:shd w:val="clear" w:color="auto" w:fill="auto"/>
            <w:vAlign w:val="center"/>
          </w:tcPr>
          <w:p w14:paraId="6B2CA871">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38</w:t>
            </w:r>
          </w:p>
        </w:tc>
      </w:tr>
      <w:tr w14:paraId="312682AE">
        <w:tblPrEx>
          <w:tblCellMar>
            <w:top w:w="0" w:type="dxa"/>
            <w:left w:w="108" w:type="dxa"/>
            <w:bottom w:w="0" w:type="dxa"/>
            <w:right w:w="108" w:type="dxa"/>
          </w:tblCellMar>
        </w:tblPrEx>
        <w:trPr>
          <w:trHeight w:val="840" w:hRule="atLeast"/>
        </w:trPr>
        <w:tc>
          <w:tcPr>
            <w:tcW w:w="1000" w:type="pct"/>
            <w:vMerge w:val="restart"/>
            <w:tcBorders>
              <w:top w:val="nil"/>
              <w:left w:val="single" w:color="auto" w:sz="12" w:space="0"/>
              <w:bottom w:val="single" w:color="000000" w:sz="12" w:space="0"/>
              <w:right w:val="single" w:color="auto" w:sz="12" w:space="0"/>
            </w:tcBorders>
            <w:shd w:val="clear" w:color="auto" w:fill="auto"/>
            <w:vAlign w:val="center"/>
          </w:tcPr>
          <w:p w14:paraId="06C64857">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道路及广场区</w:t>
            </w:r>
          </w:p>
        </w:tc>
        <w:tc>
          <w:tcPr>
            <w:tcW w:w="1000" w:type="pct"/>
            <w:tcBorders>
              <w:top w:val="nil"/>
              <w:left w:val="nil"/>
              <w:bottom w:val="single" w:color="auto" w:sz="12" w:space="0"/>
              <w:right w:val="single" w:color="auto" w:sz="12" w:space="0"/>
            </w:tcBorders>
            <w:shd w:val="clear" w:color="auto" w:fill="auto"/>
            <w:vAlign w:val="center"/>
          </w:tcPr>
          <w:p w14:paraId="2D647C4B">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UPVC 排水管（Φ160）</w:t>
            </w:r>
          </w:p>
        </w:tc>
        <w:tc>
          <w:tcPr>
            <w:tcW w:w="1000" w:type="pct"/>
            <w:tcBorders>
              <w:top w:val="nil"/>
              <w:left w:val="nil"/>
              <w:bottom w:val="single" w:color="auto" w:sz="12" w:space="0"/>
              <w:right w:val="single" w:color="auto" w:sz="12" w:space="0"/>
            </w:tcBorders>
            <w:shd w:val="clear" w:color="auto" w:fill="auto"/>
            <w:vAlign w:val="center"/>
          </w:tcPr>
          <w:p w14:paraId="042FA2B5">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m</w:t>
            </w:r>
          </w:p>
        </w:tc>
        <w:tc>
          <w:tcPr>
            <w:tcW w:w="1000" w:type="pct"/>
            <w:tcBorders>
              <w:top w:val="nil"/>
              <w:left w:val="nil"/>
              <w:bottom w:val="single" w:color="auto" w:sz="12" w:space="0"/>
              <w:right w:val="single" w:color="auto" w:sz="12" w:space="0"/>
            </w:tcBorders>
            <w:shd w:val="clear" w:color="auto" w:fill="auto"/>
            <w:vAlign w:val="center"/>
          </w:tcPr>
          <w:p w14:paraId="552BFAFF">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20</w:t>
            </w:r>
          </w:p>
        </w:tc>
        <w:tc>
          <w:tcPr>
            <w:tcW w:w="1000" w:type="pct"/>
            <w:tcBorders>
              <w:top w:val="nil"/>
              <w:left w:val="nil"/>
              <w:bottom w:val="single" w:color="auto" w:sz="12" w:space="0"/>
              <w:right w:val="single" w:color="auto" w:sz="12" w:space="0"/>
            </w:tcBorders>
            <w:shd w:val="clear" w:color="auto" w:fill="auto"/>
            <w:vAlign w:val="center"/>
          </w:tcPr>
          <w:p w14:paraId="2D41A62A">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20</w:t>
            </w:r>
          </w:p>
        </w:tc>
      </w:tr>
      <w:tr w14:paraId="69064694">
        <w:tblPrEx>
          <w:tblCellMar>
            <w:top w:w="0" w:type="dxa"/>
            <w:left w:w="108" w:type="dxa"/>
            <w:bottom w:w="0" w:type="dxa"/>
            <w:right w:w="108" w:type="dxa"/>
          </w:tblCellMar>
        </w:tblPrEx>
        <w:trPr>
          <w:trHeight w:val="840" w:hRule="atLeast"/>
        </w:trPr>
        <w:tc>
          <w:tcPr>
            <w:tcW w:w="1000" w:type="pct"/>
            <w:vMerge w:val="continue"/>
            <w:tcBorders>
              <w:top w:val="nil"/>
              <w:left w:val="single" w:color="auto" w:sz="12" w:space="0"/>
              <w:bottom w:val="single" w:color="000000" w:sz="12" w:space="0"/>
              <w:right w:val="single" w:color="auto" w:sz="12" w:space="0"/>
            </w:tcBorders>
            <w:vAlign w:val="center"/>
          </w:tcPr>
          <w:p w14:paraId="4E833F8E">
            <w:pPr>
              <w:widowControl/>
              <w:spacing w:line="240" w:lineRule="auto"/>
              <w:ind w:firstLine="0" w:firstLineChars="0"/>
              <w:jc w:val="center"/>
              <w:rPr>
                <w:rFonts w:ascii="宋体" w:hAnsi="宋体" w:eastAsia="宋体" w:cs="宋体"/>
                <w:color w:val="000000"/>
                <w:kern w:val="0"/>
                <w:sz w:val="22"/>
                <w:szCs w:val="22"/>
              </w:rPr>
            </w:pPr>
          </w:p>
        </w:tc>
        <w:tc>
          <w:tcPr>
            <w:tcW w:w="1000" w:type="pct"/>
            <w:tcBorders>
              <w:top w:val="nil"/>
              <w:left w:val="nil"/>
              <w:bottom w:val="single" w:color="auto" w:sz="12" w:space="0"/>
              <w:right w:val="single" w:color="auto" w:sz="12" w:space="0"/>
            </w:tcBorders>
            <w:shd w:val="clear" w:color="auto" w:fill="auto"/>
            <w:vAlign w:val="center"/>
          </w:tcPr>
          <w:p w14:paraId="4DB0FA25">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UPVC 排水管（Φ110）</w:t>
            </w:r>
          </w:p>
        </w:tc>
        <w:tc>
          <w:tcPr>
            <w:tcW w:w="1000" w:type="pct"/>
            <w:tcBorders>
              <w:top w:val="nil"/>
              <w:left w:val="nil"/>
              <w:bottom w:val="single" w:color="auto" w:sz="12" w:space="0"/>
              <w:right w:val="single" w:color="auto" w:sz="12" w:space="0"/>
            </w:tcBorders>
            <w:shd w:val="clear" w:color="auto" w:fill="auto"/>
            <w:vAlign w:val="center"/>
          </w:tcPr>
          <w:p w14:paraId="4E5C32A6">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m</w:t>
            </w:r>
          </w:p>
        </w:tc>
        <w:tc>
          <w:tcPr>
            <w:tcW w:w="1000" w:type="pct"/>
            <w:tcBorders>
              <w:top w:val="nil"/>
              <w:left w:val="nil"/>
              <w:bottom w:val="single" w:color="auto" w:sz="12" w:space="0"/>
              <w:right w:val="single" w:color="auto" w:sz="12" w:space="0"/>
            </w:tcBorders>
            <w:shd w:val="clear" w:color="auto" w:fill="auto"/>
            <w:vAlign w:val="center"/>
          </w:tcPr>
          <w:p w14:paraId="178D6901">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25</w:t>
            </w:r>
          </w:p>
        </w:tc>
        <w:tc>
          <w:tcPr>
            <w:tcW w:w="1000" w:type="pct"/>
            <w:tcBorders>
              <w:top w:val="nil"/>
              <w:left w:val="nil"/>
              <w:bottom w:val="single" w:color="auto" w:sz="12" w:space="0"/>
              <w:right w:val="single" w:color="auto" w:sz="12" w:space="0"/>
            </w:tcBorders>
            <w:shd w:val="clear" w:color="auto" w:fill="auto"/>
            <w:vAlign w:val="center"/>
          </w:tcPr>
          <w:p w14:paraId="2DA40CB3">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25</w:t>
            </w:r>
          </w:p>
        </w:tc>
      </w:tr>
      <w:tr w14:paraId="0A805FAC">
        <w:tblPrEx>
          <w:tblCellMar>
            <w:top w:w="0" w:type="dxa"/>
            <w:left w:w="108" w:type="dxa"/>
            <w:bottom w:w="0" w:type="dxa"/>
            <w:right w:w="108" w:type="dxa"/>
          </w:tblCellMar>
        </w:tblPrEx>
        <w:trPr>
          <w:trHeight w:val="840" w:hRule="atLeast"/>
        </w:trPr>
        <w:tc>
          <w:tcPr>
            <w:tcW w:w="1000" w:type="pct"/>
            <w:vMerge w:val="continue"/>
            <w:tcBorders>
              <w:top w:val="nil"/>
              <w:left w:val="single" w:color="auto" w:sz="12" w:space="0"/>
              <w:bottom w:val="single" w:color="000000" w:sz="12" w:space="0"/>
              <w:right w:val="single" w:color="auto" w:sz="12" w:space="0"/>
            </w:tcBorders>
            <w:vAlign w:val="center"/>
          </w:tcPr>
          <w:p w14:paraId="76AC47DB">
            <w:pPr>
              <w:widowControl/>
              <w:spacing w:line="240" w:lineRule="auto"/>
              <w:ind w:firstLine="0" w:firstLineChars="0"/>
              <w:jc w:val="center"/>
              <w:rPr>
                <w:rFonts w:ascii="宋体" w:hAnsi="宋体" w:eastAsia="宋体" w:cs="宋体"/>
                <w:color w:val="000000"/>
                <w:kern w:val="0"/>
                <w:sz w:val="22"/>
                <w:szCs w:val="22"/>
              </w:rPr>
            </w:pPr>
          </w:p>
        </w:tc>
        <w:tc>
          <w:tcPr>
            <w:tcW w:w="1000" w:type="pct"/>
            <w:tcBorders>
              <w:top w:val="nil"/>
              <w:left w:val="nil"/>
              <w:bottom w:val="single" w:color="auto" w:sz="12" w:space="0"/>
              <w:right w:val="single" w:color="auto" w:sz="12" w:space="0"/>
            </w:tcBorders>
            <w:shd w:val="clear" w:color="auto" w:fill="auto"/>
            <w:vAlign w:val="center"/>
          </w:tcPr>
          <w:p w14:paraId="27BAE930">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UPVC 排水管（Φ75）</w:t>
            </w:r>
          </w:p>
        </w:tc>
        <w:tc>
          <w:tcPr>
            <w:tcW w:w="1000" w:type="pct"/>
            <w:tcBorders>
              <w:top w:val="nil"/>
              <w:left w:val="nil"/>
              <w:bottom w:val="single" w:color="auto" w:sz="12" w:space="0"/>
              <w:right w:val="single" w:color="auto" w:sz="12" w:space="0"/>
            </w:tcBorders>
            <w:shd w:val="clear" w:color="auto" w:fill="auto"/>
            <w:vAlign w:val="center"/>
          </w:tcPr>
          <w:p w14:paraId="00982D4C">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m</w:t>
            </w:r>
          </w:p>
        </w:tc>
        <w:tc>
          <w:tcPr>
            <w:tcW w:w="1000" w:type="pct"/>
            <w:tcBorders>
              <w:top w:val="nil"/>
              <w:left w:val="nil"/>
              <w:bottom w:val="single" w:color="auto" w:sz="12" w:space="0"/>
              <w:right w:val="single" w:color="auto" w:sz="12" w:space="0"/>
            </w:tcBorders>
            <w:shd w:val="clear" w:color="auto" w:fill="auto"/>
            <w:vAlign w:val="center"/>
          </w:tcPr>
          <w:p w14:paraId="44B3917C">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10</w:t>
            </w:r>
          </w:p>
        </w:tc>
        <w:tc>
          <w:tcPr>
            <w:tcW w:w="1000" w:type="pct"/>
            <w:tcBorders>
              <w:top w:val="nil"/>
              <w:left w:val="nil"/>
              <w:bottom w:val="single" w:color="auto" w:sz="12" w:space="0"/>
              <w:right w:val="single" w:color="auto" w:sz="12" w:space="0"/>
            </w:tcBorders>
            <w:shd w:val="clear" w:color="auto" w:fill="auto"/>
            <w:vAlign w:val="center"/>
          </w:tcPr>
          <w:p w14:paraId="64449E64">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10</w:t>
            </w:r>
          </w:p>
        </w:tc>
      </w:tr>
      <w:tr w14:paraId="396F4E4D">
        <w:tblPrEx>
          <w:tblCellMar>
            <w:top w:w="0" w:type="dxa"/>
            <w:left w:w="108" w:type="dxa"/>
            <w:bottom w:w="0" w:type="dxa"/>
            <w:right w:w="108" w:type="dxa"/>
          </w:tblCellMar>
        </w:tblPrEx>
        <w:trPr>
          <w:trHeight w:val="840" w:hRule="atLeast"/>
        </w:trPr>
        <w:tc>
          <w:tcPr>
            <w:tcW w:w="1000" w:type="pct"/>
            <w:vMerge w:val="continue"/>
            <w:tcBorders>
              <w:top w:val="nil"/>
              <w:left w:val="single" w:color="auto" w:sz="12" w:space="0"/>
              <w:bottom w:val="single" w:color="000000" w:sz="12" w:space="0"/>
              <w:right w:val="single" w:color="auto" w:sz="12" w:space="0"/>
            </w:tcBorders>
            <w:vAlign w:val="center"/>
          </w:tcPr>
          <w:p w14:paraId="3B34A77A">
            <w:pPr>
              <w:widowControl/>
              <w:spacing w:line="240" w:lineRule="auto"/>
              <w:ind w:firstLine="0" w:firstLineChars="0"/>
              <w:jc w:val="center"/>
              <w:rPr>
                <w:rFonts w:ascii="宋体" w:hAnsi="宋体" w:eastAsia="宋体" w:cs="宋体"/>
                <w:color w:val="000000"/>
                <w:kern w:val="0"/>
                <w:sz w:val="22"/>
                <w:szCs w:val="22"/>
              </w:rPr>
            </w:pPr>
          </w:p>
        </w:tc>
        <w:tc>
          <w:tcPr>
            <w:tcW w:w="1000" w:type="pct"/>
            <w:tcBorders>
              <w:top w:val="nil"/>
              <w:left w:val="nil"/>
              <w:bottom w:val="single" w:color="auto" w:sz="12" w:space="0"/>
              <w:right w:val="single" w:color="auto" w:sz="12" w:space="0"/>
            </w:tcBorders>
            <w:shd w:val="clear" w:color="auto" w:fill="auto"/>
            <w:vAlign w:val="center"/>
          </w:tcPr>
          <w:p w14:paraId="2B58F117">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塑料管DN300 SN8</w:t>
            </w:r>
          </w:p>
        </w:tc>
        <w:tc>
          <w:tcPr>
            <w:tcW w:w="1000" w:type="pct"/>
            <w:tcBorders>
              <w:top w:val="nil"/>
              <w:left w:val="nil"/>
              <w:bottom w:val="single" w:color="auto" w:sz="12" w:space="0"/>
              <w:right w:val="single" w:color="auto" w:sz="12" w:space="0"/>
            </w:tcBorders>
            <w:shd w:val="clear" w:color="auto" w:fill="auto"/>
            <w:vAlign w:val="center"/>
          </w:tcPr>
          <w:p w14:paraId="1DDF6CCA">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m</w:t>
            </w:r>
          </w:p>
        </w:tc>
        <w:tc>
          <w:tcPr>
            <w:tcW w:w="1000" w:type="pct"/>
            <w:tcBorders>
              <w:top w:val="nil"/>
              <w:left w:val="nil"/>
              <w:bottom w:val="single" w:color="auto" w:sz="12" w:space="0"/>
              <w:right w:val="single" w:color="auto" w:sz="12" w:space="0"/>
            </w:tcBorders>
            <w:shd w:val="clear" w:color="auto" w:fill="auto"/>
            <w:vAlign w:val="center"/>
          </w:tcPr>
          <w:p w14:paraId="6840CD05">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100</w:t>
            </w:r>
          </w:p>
        </w:tc>
        <w:tc>
          <w:tcPr>
            <w:tcW w:w="1000" w:type="pct"/>
            <w:tcBorders>
              <w:top w:val="nil"/>
              <w:left w:val="nil"/>
              <w:bottom w:val="single" w:color="auto" w:sz="12" w:space="0"/>
              <w:right w:val="single" w:color="auto" w:sz="12" w:space="0"/>
            </w:tcBorders>
            <w:shd w:val="clear" w:color="auto" w:fill="auto"/>
            <w:vAlign w:val="center"/>
          </w:tcPr>
          <w:p w14:paraId="777283CF">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100</w:t>
            </w:r>
          </w:p>
        </w:tc>
      </w:tr>
      <w:tr w14:paraId="1E8D7680">
        <w:tblPrEx>
          <w:tblCellMar>
            <w:top w:w="0" w:type="dxa"/>
            <w:left w:w="108" w:type="dxa"/>
            <w:bottom w:w="0" w:type="dxa"/>
            <w:right w:w="108" w:type="dxa"/>
          </w:tblCellMar>
        </w:tblPrEx>
        <w:trPr>
          <w:trHeight w:val="840" w:hRule="atLeast"/>
        </w:trPr>
        <w:tc>
          <w:tcPr>
            <w:tcW w:w="1000" w:type="pct"/>
            <w:vMerge w:val="continue"/>
            <w:tcBorders>
              <w:top w:val="nil"/>
              <w:left w:val="single" w:color="auto" w:sz="12" w:space="0"/>
              <w:bottom w:val="single" w:color="000000" w:sz="12" w:space="0"/>
              <w:right w:val="single" w:color="auto" w:sz="12" w:space="0"/>
            </w:tcBorders>
            <w:vAlign w:val="center"/>
          </w:tcPr>
          <w:p w14:paraId="6B367BA0">
            <w:pPr>
              <w:widowControl/>
              <w:spacing w:line="240" w:lineRule="auto"/>
              <w:ind w:firstLine="0" w:firstLineChars="0"/>
              <w:jc w:val="center"/>
              <w:rPr>
                <w:rFonts w:ascii="宋体" w:hAnsi="宋体" w:eastAsia="宋体" w:cs="宋体"/>
                <w:color w:val="000000"/>
                <w:kern w:val="0"/>
                <w:sz w:val="22"/>
                <w:szCs w:val="22"/>
              </w:rPr>
            </w:pPr>
          </w:p>
        </w:tc>
        <w:tc>
          <w:tcPr>
            <w:tcW w:w="1000" w:type="pct"/>
            <w:tcBorders>
              <w:top w:val="nil"/>
              <w:left w:val="nil"/>
              <w:bottom w:val="single" w:color="auto" w:sz="12" w:space="0"/>
              <w:right w:val="single" w:color="auto" w:sz="12" w:space="0"/>
            </w:tcBorders>
            <w:shd w:val="clear" w:color="auto" w:fill="auto"/>
            <w:vAlign w:val="center"/>
          </w:tcPr>
          <w:p w14:paraId="5A1B66FE">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污水管DN400 SN8</w:t>
            </w:r>
          </w:p>
        </w:tc>
        <w:tc>
          <w:tcPr>
            <w:tcW w:w="1000" w:type="pct"/>
            <w:tcBorders>
              <w:top w:val="nil"/>
              <w:left w:val="nil"/>
              <w:bottom w:val="single" w:color="auto" w:sz="12" w:space="0"/>
              <w:right w:val="single" w:color="auto" w:sz="12" w:space="0"/>
            </w:tcBorders>
            <w:shd w:val="clear" w:color="auto" w:fill="auto"/>
            <w:vAlign w:val="center"/>
          </w:tcPr>
          <w:p w14:paraId="5FCA58A1">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m</w:t>
            </w:r>
          </w:p>
        </w:tc>
        <w:tc>
          <w:tcPr>
            <w:tcW w:w="1000" w:type="pct"/>
            <w:tcBorders>
              <w:top w:val="nil"/>
              <w:left w:val="nil"/>
              <w:bottom w:val="single" w:color="auto" w:sz="12" w:space="0"/>
              <w:right w:val="single" w:color="auto" w:sz="12" w:space="0"/>
            </w:tcBorders>
            <w:shd w:val="clear" w:color="auto" w:fill="auto"/>
            <w:vAlign w:val="center"/>
          </w:tcPr>
          <w:p w14:paraId="2EA7E145">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376</w:t>
            </w:r>
          </w:p>
        </w:tc>
        <w:tc>
          <w:tcPr>
            <w:tcW w:w="1000" w:type="pct"/>
            <w:tcBorders>
              <w:top w:val="nil"/>
              <w:left w:val="nil"/>
              <w:bottom w:val="single" w:color="auto" w:sz="12" w:space="0"/>
              <w:right w:val="single" w:color="auto" w:sz="12" w:space="0"/>
            </w:tcBorders>
            <w:shd w:val="clear" w:color="auto" w:fill="auto"/>
            <w:vAlign w:val="center"/>
          </w:tcPr>
          <w:p w14:paraId="50625570">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376</w:t>
            </w:r>
          </w:p>
        </w:tc>
      </w:tr>
      <w:tr w14:paraId="4B78F091">
        <w:tblPrEx>
          <w:tblCellMar>
            <w:top w:w="0" w:type="dxa"/>
            <w:left w:w="108" w:type="dxa"/>
            <w:bottom w:w="0" w:type="dxa"/>
            <w:right w:w="108" w:type="dxa"/>
          </w:tblCellMar>
        </w:tblPrEx>
        <w:trPr>
          <w:trHeight w:val="570" w:hRule="atLeast"/>
        </w:trPr>
        <w:tc>
          <w:tcPr>
            <w:tcW w:w="1000" w:type="pct"/>
            <w:vMerge w:val="continue"/>
            <w:tcBorders>
              <w:top w:val="nil"/>
              <w:left w:val="single" w:color="auto" w:sz="12" w:space="0"/>
              <w:bottom w:val="single" w:color="000000" w:sz="12" w:space="0"/>
              <w:right w:val="single" w:color="auto" w:sz="12" w:space="0"/>
            </w:tcBorders>
            <w:vAlign w:val="center"/>
          </w:tcPr>
          <w:p w14:paraId="1EB19926">
            <w:pPr>
              <w:widowControl/>
              <w:spacing w:line="240" w:lineRule="auto"/>
              <w:ind w:firstLine="0" w:firstLineChars="0"/>
              <w:jc w:val="center"/>
              <w:rPr>
                <w:rFonts w:ascii="宋体" w:hAnsi="宋体" w:eastAsia="宋体" w:cs="宋体"/>
                <w:color w:val="000000"/>
                <w:kern w:val="0"/>
                <w:sz w:val="22"/>
                <w:szCs w:val="22"/>
              </w:rPr>
            </w:pPr>
          </w:p>
        </w:tc>
        <w:tc>
          <w:tcPr>
            <w:tcW w:w="1000" w:type="pct"/>
            <w:tcBorders>
              <w:top w:val="nil"/>
              <w:left w:val="nil"/>
              <w:bottom w:val="single" w:color="auto" w:sz="12" w:space="0"/>
              <w:right w:val="single" w:color="auto" w:sz="12" w:space="0"/>
            </w:tcBorders>
            <w:shd w:val="clear" w:color="auto" w:fill="auto"/>
            <w:vAlign w:val="center"/>
          </w:tcPr>
          <w:p w14:paraId="661A17BC">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PVC 排水管DN150</w:t>
            </w:r>
          </w:p>
        </w:tc>
        <w:tc>
          <w:tcPr>
            <w:tcW w:w="1000" w:type="pct"/>
            <w:tcBorders>
              <w:top w:val="nil"/>
              <w:left w:val="nil"/>
              <w:bottom w:val="single" w:color="auto" w:sz="12" w:space="0"/>
              <w:right w:val="single" w:color="auto" w:sz="12" w:space="0"/>
            </w:tcBorders>
            <w:shd w:val="clear" w:color="auto" w:fill="auto"/>
            <w:vAlign w:val="center"/>
          </w:tcPr>
          <w:p w14:paraId="44F739B3">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m</w:t>
            </w:r>
          </w:p>
        </w:tc>
        <w:tc>
          <w:tcPr>
            <w:tcW w:w="1000" w:type="pct"/>
            <w:tcBorders>
              <w:top w:val="nil"/>
              <w:left w:val="nil"/>
              <w:bottom w:val="single" w:color="auto" w:sz="12" w:space="0"/>
              <w:right w:val="single" w:color="auto" w:sz="12" w:space="0"/>
            </w:tcBorders>
            <w:shd w:val="clear" w:color="auto" w:fill="auto"/>
            <w:vAlign w:val="center"/>
          </w:tcPr>
          <w:p w14:paraId="2744D21C">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300</w:t>
            </w:r>
          </w:p>
        </w:tc>
        <w:tc>
          <w:tcPr>
            <w:tcW w:w="1000" w:type="pct"/>
            <w:tcBorders>
              <w:top w:val="nil"/>
              <w:left w:val="nil"/>
              <w:bottom w:val="single" w:color="auto" w:sz="12" w:space="0"/>
              <w:right w:val="single" w:color="auto" w:sz="12" w:space="0"/>
            </w:tcBorders>
            <w:shd w:val="clear" w:color="auto" w:fill="auto"/>
            <w:vAlign w:val="center"/>
          </w:tcPr>
          <w:p w14:paraId="6B3FC887">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300</w:t>
            </w:r>
          </w:p>
        </w:tc>
      </w:tr>
    </w:tbl>
    <w:p w14:paraId="3B7FEBD6">
      <w:pPr>
        <w:pStyle w:val="15"/>
        <w:adjustRightInd w:val="0"/>
        <w:snapToGrid w:val="0"/>
        <w:ind w:firstLine="0" w:firstLineChars="0"/>
        <w:rPr>
          <w:rFonts w:ascii="Times New Roman" w:hAnsi="Times New Roman"/>
          <w:b/>
          <w:bCs/>
          <w:snapToGrid w:val="0"/>
          <w:kern w:val="0"/>
          <w:szCs w:val="24"/>
        </w:rPr>
      </w:pPr>
    </w:p>
    <w:p w14:paraId="10C17FE8">
      <w:pPr>
        <w:pStyle w:val="15"/>
        <w:adjustRightInd w:val="0"/>
        <w:snapToGrid w:val="0"/>
        <w:ind w:firstLine="0" w:firstLineChars="0"/>
        <w:jc w:val="left"/>
        <w:rPr>
          <w:rFonts w:ascii="Times New Roman" w:hAnsi="Times New Roman"/>
          <w:b/>
          <w:bCs/>
          <w:snapToGrid w:val="0"/>
          <w:kern w:val="0"/>
          <w:szCs w:val="24"/>
        </w:rPr>
      </w:pPr>
      <w:r>
        <w:drawing>
          <wp:inline distT="0" distB="0" distL="0" distR="0">
            <wp:extent cx="5731510" cy="3509645"/>
            <wp:effectExtent l="19050" t="0" r="2540" b="0"/>
            <wp:docPr id="19"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75"/>
                    <pic:cNvPicPr>
                      <a:picLocks noChangeAspect="1" noChangeArrowheads="1"/>
                    </pic:cNvPicPr>
                  </pic:nvPicPr>
                  <pic:blipFill>
                    <a:blip r:embed="rId18"/>
                    <a:srcRect/>
                    <a:stretch>
                      <a:fillRect/>
                    </a:stretch>
                  </pic:blipFill>
                  <pic:spPr>
                    <a:xfrm>
                      <a:off x="0" y="0"/>
                      <a:ext cx="5731510" cy="3510183"/>
                    </a:xfrm>
                    <a:prstGeom prst="rect">
                      <a:avLst/>
                    </a:prstGeom>
                    <a:noFill/>
                    <a:ln w="9525" cmpd="sng">
                      <a:noFill/>
                      <a:miter lim="800000"/>
                      <a:headEnd/>
                      <a:tailEnd/>
                    </a:ln>
                  </pic:spPr>
                </pic:pic>
              </a:graphicData>
            </a:graphic>
          </wp:inline>
        </w:drawing>
      </w:r>
    </w:p>
    <w:p w14:paraId="73DF68A9">
      <w:pPr>
        <w:pStyle w:val="15"/>
        <w:adjustRightInd w:val="0"/>
        <w:snapToGrid w:val="0"/>
        <w:ind w:firstLine="0" w:firstLineChars="0"/>
        <w:jc w:val="center"/>
        <w:rPr>
          <w:rFonts w:ascii="Times New Roman" w:hAnsi="Times New Roman"/>
          <w:b/>
          <w:bCs/>
          <w:snapToGrid w:val="0"/>
          <w:kern w:val="0"/>
          <w:szCs w:val="24"/>
        </w:rPr>
      </w:pPr>
      <w:r>
        <w:rPr>
          <w:rFonts w:ascii="Times New Roman" w:hAnsi="Times New Roman"/>
          <w:b/>
          <w:bCs/>
          <w:snapToGrid w:val="0"/>
          <w:kern w:val="0"/>
          <w:szCs w:val="24"/>
        </w:rPr>
        <w:t>图3-1 水土流失防治体系框图</w:t>
      </w:r>
    </w:p>
    <w:p w14:paraId="5773541E">
      <w:r>
        <w:t>经过验收项目组现场调查，本工程的水土保持措施布局有以下特点：</w:t>
      </w:r>
    </w:p>
    <w:p w14:paraId="157380FA">
      <w:r>
        <w:t>施工期间，项目建设区域内</w:t>
      </w:r>
      <w:r>
        <w:rPr>
          <w:rFonts w:hint="eastAsia"/>
        </w:rPr>
        <w:t>基本按照已批复的水土保持方案</w:t>
      </w:r>
      <w:r>
        <w:t>布设了</w:t>
      </w:r>
      <w:r>
        <w:rPr>
          <w:rFonts w:hint="eastAsia"/>
        </w:rPr>
        <w:t>水土保持措施</w:t>
      </w:r>
      <w:r>
        <w:t>，以及后期逐步</w:t>
      </w:r>
      <w:r>
        <w:rPr>
          <w:rFonts w:hint="eastAsia"/>
        </w:rPr>
        <w:t>进行绿化</w:t>
      </w:r>
      <w:r>
        <w:t>。施工基本结束后，对建设用地内的裸露地表均根据相关规划进行相应的</w:t>
      </w:r>
      <w:r>
        <w:rPr>
          <w:rFonts w:hint="eastAsia"/>
        </w:rPr>
        <w:t>绿化和</w:t>
      </w:r>
      <w:r>
        <w:t>硬化。</w:t>
      </w:r>
    </w:p>
    <w:p w14:paraId="3C6ECACD">
      <w:bookmarkStart w:id="87" w:name="_Toc243103965"/>
      <w:r>
        <w:t>总的来说，各防治区的水土保持措施布局较为合理，措施较为全面，这些措施既有利于主体工程的稳定使用，又有效地控制区域内水土流失的发生。根据现场勘查，这些措施能够形成系统的水土保持防治措施体系，使新增水土流失得到控制，生态环境得到显著改善。</w:t>
      </w:r>
    </w:p>
    <w:bookmarkEnd w:id="87"/>
    <w:p w14:paraId="7ABD4237">
      <w:pPr>
        <w:pStyle w:val="3"/>
        <w:rPr>
          <w:rFonts w:eastAsia="宋体"/>
        </w:rPr>
      </w:pPr>
      <w:bookmarkStart w:id="88" w:name="_Toc260820627"/>
      <w:bookmarkStart w:id="89" w:name="_Toc249753923"/>
      <w:bookmarkStart w:id="90" w:name="_Toc292361727"/>
      <w:bookmarkStart w:id="91" w:name="_Toc274662747"/>
      <w:bookmarkStart w:id="92" w:name="_Toc370111170"/>
      <w:bookmarkStart w:id="93" w:name="_Toc108445728"/>
      <w:r>
        <w:rPr>
          <w:rFonts w:eastAsia="宋体"/>
        </w:rPr>
        <w:t>3.</w:t>
      </w:r>
      <w:bookmarkEnd w:id="88"/>
      <w:bookmarkEnd w:id="89"/>
      <w:r>
        <w:rPr>
          <w:rFonts w:eastAsia="宋体"/>
        </w:rPr>
        <w:t>5 水土保持设施完成情况</w:t>
      </w:r>
      <w:bookmarkEnd w:id="90"/>
      <w:bookmarkEnd w:id="91"/>
      <w:bookmarkEnd w:id="92"/>
      <w:bookmarkEnd w:id="93"/>
    </w:p>
    <w:p w14:paraId="450789A0">
      <w:r>
        <w:t>根据项目实际情况，建设单位将水土保持措施纳入了主体工程的管理体系，水土保持建设与主体工程建设同步进行，按照水土保持方案和工程设计的技术要求组织施工。水土保持措施从20</w:t>
      </w:r>
      <w:r>
        <w:rPr>
          <w:rFonts w:hint="eastAsia"/>
        </w:rPr>
        <w:t>19</w:t>
      </w:r>
      <w:r>
        <w:t>年</w:t>
      </w:r>
      <w:r>
        <w:rPr>
          <w:rFonts w:hint="eastAsia"/>
        </w:rPr>
        <w:t>10</w:t>
      </w:r>
      <w:r>
        <w:t>月开始实施，到20</w:t>
      </w:r>
      <w:r>
        <w:rPr>
          <w:rFonts w:hint="eastAsia"/>
        </w:rPr>
        <w:t>19</w:t>
      </w:r>
      <w:r>
        <w:t>年</w:t>
      </w:r>
      <w:r>
        <w:rPr>
          <w:rFonts w:hint="eastAsia"/>
        </w:rPr>
        <w:t>12</w:t>
      </w:r>
      <w:r>
        <w:t>月全部完成。</w:t>
      </w:r>
    </w:p>
    <w:p w14:paraId="3929EF8C">
      <w:r>
        <w:t>验收项目组通过查阅主体工程建设期间的相关资料以及实地勘查核实，获取了项目水土保持设施的详细情况。</w:t>
      </w:r>
    </w:p>
    <w:p w14:paraId="789CBA18">
      <w:pPr>
        <w:pStyle w:val="4"/>
      </w:pPr>
      <w:r>
        <w:t>3.5.1 工程措施</w:t>
      </w:r>
    </w:p>
    <w:p w14:paraId="79653794">
      <w:r>
        <w:t>（1）工程措施实施情况</w:t>
      </w:r>
    </w:p>
    <w:p w14:paraId="3F65C80A">
      <w:r>
        <w:t>项目已实施的主要水保工程措施情况如下：</w:t>
      </w:r>
      <w:r>
        <w:rPr>
          <w:rFonts w:hint="eastAsia"/>
        </w:rPr>
        <w:t>污水管（</w:t>
      </w:r>
      <w:r>
        <w:t xml:space="preserve">DN200SN8 </w:t>
      </w:r>
      <w:r>
        <w:rPr>
          <w:rFonts w:hint="eastAsia"/>
        </w:rPr>
        <w:t>）</w:t>
      </w:r>
      <w:r>
        <w:t xml:space="preserve">550.53m </w:t>
      </w:r>
      <w:r>
        <w:rPr>
          <w:rFonts w:hint="eastAsia"/>
        </w:rPr>
        <w:t>，</w:t>
      </w:r>
      <w:r>
        <w:t xml:space="preserve"> </w:t>
      </w:r>
      <w:r>
        <w:rPr>
          <w:rFonts w:hint="eastAsia"/>
        </w:rPr>
        <w:t>雨水管（</w:t>
      </w:r>
      <w:r>
        <w:t>DN200 SN8</w:t>
      </w:r>
      <w:r>
        <w:rPr>
          <w:rFonts w:hint="eastAsia"/>
        </w:rPr>
        <w:t>）</w:t>
      </w:r>
      <w:r>
        <w:t>180m</w:t>
      </w:r>
      <w:r>
        <w:rPr>
          <w:rFonts w:hint="eastAsia"/>
        </w:rPr>
        <w:t>，Ⅱ级钢筋混凝土管（</w:t>
      </w:r>
      <w:r>
        <w:t>DN800</w:t>
      </w:r>
      <w:r>
        <w:rPr>
          <w:rFonts w:hint="eastAsia"/>
        </w:rPr>
        <w:t>）</w:t>
      </w:r>
      <w:r>
        <w:t>206m</w:t>
      </w:r>
      <w:r>
        <w:rPr>
          <w:rFonts w:hint="eastAsia"/>
        </w:rPr>
        <w:t>，Ⅱ级钢筋混凝土管（</w:t>
      </w:r>
      <w:r>
        <w:t>DN600</w:t>
      </w:r>
      <w:r>
        <w:rPr>
          <w:rFonts w:hint="eastAsia"/>
        </w:rPr>
        <w:t>）</w:t>
      </w:r>
      <w:r>
        <w:t>239m</w:t>
      </w:r>
      <w:r>
        <w:rPr>
          <w:rFonts w:hint="eastAsia"/>
        </w:rPr>
        <w:t>，Ⅱ级钢筋混凝土管（</w:t>
      </w:r>
      <w:r>
        <w:t>DN400</w:t>
      </w:r>
      <w:r>
        <w:rPr>
          <w:rFonts w:hint="eastAsia"/>
        </w:rPr>
        <w:t>）</w:t>
      </w:r>
      <w:r>
        <w:t>62m</w:t>
      </w:r>
      <w:r>
        <w:rPr>
          <w:rFonts w:hint="eastAsia"/>
        </w:rPr>
        <w:t>，雨水检查井</w:t>
      </w:r>
      <w:r>
        <w:t xml:space="preserve">8 </w:t>
      </w:r>
      <w:r>
        <w:rPr>
          <w:rFonts w:hint="eastAsia"/>
        </w:rPr>
        <w:t>座，污水检查井</w:t>
      </w:r>
      <w:r>
        <w:t xml:space="preserve">20 </w:t>
      </w:r>
      <w:r>
        <w:rPr>
          <w:rFonts w:hint="eastAsia"/>
        </w:rPr>
        <w:t>座，矩形检查井</w:t>
      </w:r>
      <w:r>
        <w:t xml:space="preserve">8 </w:t>
      </w:r>
      <w:r>
        <w:rPr>
          <w:rFonts w:hint="eastAsia"/>
        </w:rPr>
        <w:t>座，雨水沉泥井</w:t>
      </w:r>
      <w:r>
        <w:t xml:space="preserve">4 </w:t>
      </w:r>
      <w:r>
        <w:rPr>
          <w:rFonts w:hint="eastAsia"/>
        </w:rPr>
        <w:t>座，（园林）沉泥井</w:t>
      </w:r>
      <w:r>
        <w:t xml:space="preserve">8 </w:t>
      </w:r>
      <w:r>
        <w:rPr>
          <w:rFonts w:hint="eastAsia"/>
        </w:rPr>
        <w:t>座，雨水井</w:t>
      </w:r>
      <w:r>
        <w:t>38</w:t>
      </w:r>
      <w:r>
        <w:rPr>
          <w:rFonts w:hint="eastAsia"/>
        </w:rPr>
        <w:t>座；道路及广场区工程措施有：</w:t>
      </w:r>
      <w:r>
        <w:t>UPVC</w:t>
      </w:r>
      <w:r>
        <w:rPr>
          <w:rFonts w:hint="eastAsia"/>
        </w:rPr>
        <w:t>排水管（Φ</w:t>
      </w:r>
      <w:r>
        <w:t>160</w:t>
      </w:r>
      <w:r>
        <w:rPr>
          <w:rFonts w:hint="eastAsia"/>
        </w:rPr>
        <w:t>）</w:t>
      </w:r>
      <w:r>
        <w:t>20m</w:t>
      </w:r>
      <w:r>
        <w:rPr>
          <w:rFonts w:hint="eastAsia"/>
        </w:rPr>
        <w:t>，</w:t>
      </w:r>
      <w:r>
        <w:t>UPVC</w:t>
      </w:r>
      <w:r>
        <w:rPr>
          <w:rFonts w:hint="eastAsia"/>
        </w:rPr>
        <w:t>排水管（Φ</w:t>
      </w:r>
      <w:r>
        <w:t>110</w:t>
      </w:r>
      <w:r>
        <w:rPr>
          <w:rFonts w:hint="eastAsia"/>
        </w:rPr>
        <w:t>）</w:t>
      </w:r>
      <w:r>
        <w:t>25m</w:t>
      </w:r>
      <w:r>
        <w:rPr>
          <w:rFonts w:hint="eastAsia"/>
        </w:rPr>
        <w:t>，</w:t>
      </w:r>
      <w:r>
        <w:t>UPVC</w:t>
      </w:r>
      <w:r>
        <w:rPr>
          <w:rFonts w:hint="eastAsia"/>
        </w:rPr>
        <w:t>排水管（Φ</w:t>
      </w:r>
      <w:r>
        <w:t>75</w:t>
      </w:r>
      <w:r>
        <w:rPr>
          <w:rFonts w:hint="eastAsia"/>
        </w:rPr>
        <w:t>）</w:t>
      </w:r>
      <w:r>
        <w:t>10m</w:t>
      </w:r>
      <w:r>
        <w:rPr>
          <w:rFonts w:hint="eastAsia"/>
        </w:rPr>
        <w:t>，塑料管（</w:t>
      </w:r>
      <w:r>
        <w:t>DN300 SN8</w:t>
      </w:r>
      <w:r>
        <w:rPr>
          <w:rFonts w:hint="eastAsia"/>
        </w:rPr>
        <w:t>）</w:t>
      </w:r>
      <w:r>
        <w:t>100m</w:t>
      </w:r>
      <w:r>
        <w:rPr>
          <w:rFonts w:hint="eastAsia"/>
        </w:rPr>
        <w:t>，污水管（</w:t>
      </w:r>
      <w:r>
        <w:t>DN400 SN8</w:t>
      </w:r>
      <w:r>
        <w:rPr>
          <w:rFonts w:hint="eastAsia"/>
        </w:rPr>
        <w:t>）</w:t>
      </w:r>
      <w:r>
        <w:t>376m</w:t>
      </w:r>
      <w:r>
        <w:rPr>
          <w:rFonts w:hint="eastAsia"/>
        </w:rPr>
        <w:t>，</w:t>
      </w:r>
      <w:r>
        <w:t>PVC</w:t>
      </w:r>
      <w:r>
        <w:rPr>
          <w:rFonts w:hint="eastAsia"/>
        </w:rPr>
        <w:t>排水管（</w:t>
      </w:r>
      <w:r>
        <w:t>DN150</w:t>
      </w:r>
      <w:r>
        <w:rPr>
          <w:rFonts w:hint="eastAsia"/>
        </w:rPr>
        <w:t>）</w:t>
      </w:r>
      <w:r>
        <w:t>300m。</w:t>
      </w:r>
    </w:p>
    <w:p w14:paraId="18F75879">
      <w:r>
        <w:t>（2）与方案设计对比情况</w:t>
      </w:r>
    </w:p>
    <w:p w14:paraId="233A098F">
      <w:r>
        <w:t>方案</w:t>
      </w:r>
      <w:r>
        <w:rPr>
          <w:rFonts w:hint="eastAsia"/>
        </w:rPr>
        <w:t>补报时工程措施已设施，且方案未新增工程措施，故</w:t>
      </w:r>
      <w:r>
        <w:t>实际</w:t>
      </w:r>
      <w:r>
        <w:rPr>
          <w:rFonts w:hint="eastAsia"/>
        </w:rPr>
        <w:t>实施的工程量与</w:t>
      </w:r>
      <w:r>
        <w:t>方案</w:t>
      </w:r>
      <w:r>
        <w:rPr>
          <w:rFonts w:hint="eastAsia"/>
        </w:rPr>
        <w:t>工程量相同。</w:t>
      </w:r>
      <w:r>
        <w:t>具体工程量对比见表3-</w:t>
      </w:r>
      <w:r>
        <w:rPr>
          <w:rFonts w:hint="eastAsia"/>
        </w:rPr>
        <w:t>3</w:t>
      </w:r>
      <w:r>
        <w:t>。</w:t>
      </w:r>
    </w:p>
    <w:p w14:paraId="2C3E4428">
      <w:pPr>
        <w:widowControl/>
        <w:spacing w:line="240" w:lineRule="auto"/>
        <w:ind w:firstLine="0" w:firstLineChars="0"/>
        <w:jc w:val="left"/>
        <w:rPr>
          <w:b/>
        </w:rPr>
      </w:pPr>
      <w:r>
        <w:rPr>
          <w:b/>
        </w:rPr>
        <w:t>表3-</w:t>
      </w:r>
      <w:r>
        <w:rPr>
          <w:rFonts w:hint="eastAsia"/>
          <w:b/>
        </w:rPr>
        <w:t>3</w:t>
      </w:r>
      <w:r>
        <w:rPr>
          <w:b/>
        </w:rPr>
        <w:t xml:space="preserve">                   水土保持工程措施工程量统计表</w:t>
      </w:r>
    </w:p>
    <w:tbl>
      <w:tblPr>
        <w:tblStyle w:val="32"/>
        <w:tblW w:w="5000" w:type="pct"/>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210"/>
        <w:gridCol w:w="1355"/>
        <w:gridCol w:w="1209"/>
        <w:gridCol w:w="1403"/>
        <w:gridCol w:w="1403"/>
        <w:gridCol w:w="2662"/>
      </w:tblGrid>
      <w:tr w14:paraId="2830442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40" w:hRule="atLeast"/>
        </w:trPr>
        <w:tc>
          <w:tcPr>
            <w:tcW w:w="655" w:type="pct"/>
            <w:shd w:val="clear" w:color="auto" w:fill="auto"/>
            <w:vAlign w:val="center"/>
          </w:tcPr>
          <w:p w14:paraId="6928E57B">
            <w:pPr>
              <w:widowControl/>
              <w:spacing w:line="240" w:lineRule="auto"/>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分区</w:t>
            </w:r>
          </w:p>
        </w:tc>
        <w:tc>
          <w:tcPr>
            <w:tcW w:w="733" w:type="pct"/>
            <w:shd w:val="clear" w:color="auto" w:fill="auto"/>
            <w:vAlign w:val="center"/>
          </w:tcPr>
          <w:p w14:paraId="31867760">
            <w:pPr>
              <w:widowControl/>
              <w:spacing w:line="240" w:lineRule="auto"/>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措施类型</w:t>
            </w:r>
          </w:p>
        </w:tc>
        <w:tc>
          <w:tcPr>
            <w:tcW w:w="654" w:type="pct"/>
            <w:shd w:val="clear" w:color="auto" w:fill="auto"/>
            <w:vAlign w:val="center"/>
          </w:tcPr>
          <w:p w14:paraId="1115919B">
            <w:pPr>
              <w:widowControl/>
              <w:spacing w:line="240" w:lineRule="auto"/>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单位</w:t>
            </w:r>
          </w:p>
        </w:tc>
        <w:tc>
          <w:tcPr>
            <w:tcW w:w="759" w:type="pct"/>
            <w:shd w:val="clear" w:color="auto" w:fill="auto"/>
            <w:vAlign w:val="center"/>
          </w:tcPr>
          <w:p w14:paraId="4F41DEC0">
            <w:pPr>
              <w:widowControl/>
              <w:spacing w:line="240" w:lineRule="auto"/>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主体或方案设计</w:t>
            </w:r>
          </w:p>
        </w:tc>
        <w:tc>
          <w:tcPr>
            <w:tcW w:w="759" w:type="pct"/>
            <w:shd w:val="clear" w:color="auto" w:fill="auto"/>
            <w:vAlign w:val="center"/>
          </w:tcPr>
          <w:p w14:paraId="2E55A6E5">
            <w:pPr>
              <w:widowControl/>
              <w:spacing w:line="240" w:lineRule="auto"/>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实际完成</w:t>
            </w:r>
          </w:p>
        </w:tc>
        <w:tc>
          <w:tcPr>
            <w:tcW w:w="1440" w:type="pct"/>
            <w:shd w:val="clear" w:color="auto" w:fill="auto"/>
            <w:vAlign w:val="center"/>
          </w:tcPr>
          <w:p w14:paraId="6E8AA73C">
            <w:pPr>
              <w:widowControl/>
              <w:spacing w:line="240" w:lineRule="auto"/>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实施时间</w:t>
            </w:r>
          </w:p>
        </w:tc>
      </w:tr>
      <w:tr w14:paraId="500BE09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40" w:hRule="atLeast"/>
        </w:trPr>
        <w:tc>
          <w:tcPr>
            <w:tcW w:w="655" w:type="pct"/>
            <w:vMerge w:val="restart"/>
            <w:shd w:val="clear" w:color="auto" w:fill="auto"/>
            <w:vAlign w:val="center"/>
          </w:tcPr>
          <w:p w14:paraId="7A93EA96">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绿化观赏区</w:t>
            </w:r>
          </w:p>
        </w:tc>
        <w:tc>
          <w:tcPr>
            <w:tcW w:w="733" w:type="pct"/>
            <w:shd w:val="clear" w:color="auto" w:fill="auto"/>
            <w:vAlign w:val="center"/>
          </w:tcPr>
          <w:p w14:paraId="2284BE43">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污水管DN200 SN8</w:t>
            </w:r>
          </w:p>
        </w:tc>
        <w:tc>
          <w:tcPr>
            <w:tcW w:w="654" w:type="pct"/>
            <w:shd w:val="clear" w:color="auto" w:fill="auto"/>
            <w:vAlign w:val="center"/>
          </w:tcPr>
          <w:p w14:paraId="5BA09887">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m</w:t>
            </w:r>
          </w:p>
        </w:tc>
        <w:tc>
          <w:tcPr>
            <w:tcW w:w="759" w:type="pct"/>
            <w:shd w:val="clear" w:color="auto" w:fill="auto"/>
            <w:vAlign w:val="center"/>
          </w:tcPr>
          <w:p w14:paraId="3C5979B0">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550.53</w:t>
            </w:r>
          </w:p>
        </w:tc>
        <w:tc>
          <w:tcPr>
            <w:tcW w:w="759" w:type="pct"/>
            <w:shd w:val="clear" w:color="auto" w:fill="auto"/>
            <w:vAlign w:val="center"/>
          </w:tcPr>
          <w:p w14:paraId="54C60B75">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550.53</w:t>
            </w:r>
          </w:p>
        </w:tc>
        <w:tc>
          <w:tcPr>
            <w:tcW w:w="1440" w:type="pct"/>
            <w:shd w:val="clear" w:color="auto" w:fill="auto"/>
            <w:vAlign w:val="center"/>
          </w:tcPr>
          <w:p w14:paraId="2DD9ACEF">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2019.10～2019.11</w:t>
            </w:r>
          </w:p>
        </w:tc>
      </w:tr>
      <w:tr w14:paraId="71478E3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40" w:hRule="atLeast"/>
        </w:trPr>
        <w:tc>
          <w:tcPr>
            <w:tcW w:w="655" w:type="pct"/>
            <w:vMerge w:val="continue"/>
            <w:vAlign w:val="center"/>
          </w:tcPr>
          <w:p w14:paraId="60AA1D77">
            <w:pPr>
              <w:widowControl/>
              <w:spacing w:line="240" w:lineRule="auto"/>
              <w:ind w:firstLine="0" w:firstLineChars="0"/>
              <w:jc w:val="center"/>
              <w:rPr>
                <w:rFonts w:ascii="宋体" w:hAnsi="宋体" w:eastAsia="宋体" w:cs="宋体"/>
                <w:color w:val="000000"/>
                <w:kern w:val="0"/>
                <w:sz w:val="22"/>
                <w:szCs w:val="22"/>
              </w:rPr>
            </w:pPr>
          </w:p>
        </w:tc>
        <w:tc>
          <w:tcPr>
            <w:tcW w:w="733" w:type="pct"/>
            <w:shd w:val="clear" w:color="auto" w:fill="auto"/>
            <w:vAlign w:val="center"/>
          </w:tcPr>
          <w:p w14:paraId="74C22D38">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雨水管DN200 SN8</w:t>
            </w:r>
          </w:p>
        </w:tc>
        <w:tc>
          <w:tcPr>
            <w:tcW w:w="654" w:type="pct"/>
            <w:shd w:val="clear" w:color="auto" w:fill="auto"/>
            <w:vAlign w:val="center"/>
          </w:tcPr>
          <w:p w14:paraId="6CBB9F23">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m</w:t>
            </w:r>
          </w:p>
        </w:tc>
        <w:tc>
          <w:tcPr>
            <w:tcW w:w="759" w:type="pct"/>
            <w:shd w:val="clear" w:color="auto" w:fill="auto"/>
            <w:vAlign w:val="center"/>
          </w:tcPr>
          <w:p w14:paraId="03D16631">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180</w:t>
            </w:r>
          </w:p>
        </w:tc>
        <w:tc>
          <w:tcPr>
            <w:tcW w:w="759" w:type="pct"/>
            <w:shd w:val="clear" w:color="auto" w:fill="auto"/>
            <w:vAlign w:val="center"/>
          </w:tcPr>
          <w:p w14:paraId="374B3BD3">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180</w:t>
            </w:r>
          </w:p>
        </w:tc>
        <w:tc>
          <w:tcPr>
            <w:tcW w:w="1440" w:type="pct"/>
            <w:shd w:val="clear" w:color="auto" w:fill="auto"/>
            <w:vAlign w:val="center"/>
          </w:tcPr>
          <w:p w14:paraId="2BF092DB">
            <w:pPr>
              <w:ind w:firstLine="440"/>
              <w:jc w:val="center"/>
            </w:pPr>
            <w:r>
              <w:rPr>
                <w:rFonts w:hint="eastAsia" w:ascii="宋体" w:hAnsi="宋体" w:eastAsia="宋体" w:cs="宋体"/>
                <w:color w:val="000000"/>
                <w:kern w:val="0"/>
                <w:sz w:val="22"/>
                <w:szCs w:val="22"/>
              </w:rPr>
              <w:t>2019.10～2019.11</w:t>
            </w:r>
          </w:p>
        </w:tc>
      </w:tr>
      <w:tr w14:paraId="34B95B0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40" w:hRule="atLeast"/>
        </w:trPr>
        <w:tc>
          <w:tcPr>
            <w:tcW w:w="655" w:type="pct"/>
            <w:vMerge w:val="continue"/>
            <w:vAlign w:val="center"/>
          </w:tcPr>
          <w:p w14:paraId="5BF3C0E5">
            <w:pPr>
              <w:widowControl/>
              <w:spacing w:line="240" w:lineRule="auto"/>
              <w:ind w:firstLine="0" w:firstLineChars="0"/>
              <w:jc w:val="center"/>
              <w:rPr>
                <w:rFonts w:ascii="宋体" w:hAnsi="宋体" w:eastAsia="宋体" w:cs="宋体"/>
                <w:color w:val="000000"/>
                <w:kern w:val="0"/>
                <w:sz w:val="22"/>
                <w:szCs w:val="22"/>
              </w:rPr>
            </w:pPr>
          </w:p>
        </w:tc>
        <w:tc>
          <w:tcPr>
            <w:tcW w:w="733" w:type="pct"/>
            <w:shd w:val="clear" w:color="auto" w:fill="auto"/>
            <w:vAlign w:val="center"/>
          </w:tcPr>
          <w:p w14:paraId="037979DB">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Ⅱ级钢筋混凝土管DN800</w:t>
            </w:r>
          </w:p>
        </w:tc>
        <w:tc>
          <w:tcPr>
            <w:tcW w:w="654" w:type="pct"/>
            <w:shd w:val="clear" w:color="auto" w:fill="auto"/>
            <w:vAlign w:val="center"/>
          </w:tcPr>
          <w:p w14:paraId="1605B1FA">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m</w:t>
            </w:r>
          </w:p>
        </w:tc>
        <w:tc>
          <w:tcPr>
            <w:tcW w:w="759" w:type="pct"/>
            <w:shd w:val="clear" w:color="auto" w:fill="auto"/>
            <w:vAlign w:val="center"/>
          </w:tcPr>
          <w:p w14:paraId="1E7838F0">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206</w:t>
            </w:r>
          </w:p>
        </w:tc>
        <w:tc>
          <w:tcPr>
            <w:tcW w:w="759" w:type="pct"/>
            <w:shd w:val="clear" w:color="auto" w:fill="auto"/>
            <w:vAlign w:val="center"/>
          </w:tcPr>
          <w:p w14:paraId="1DB45827">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206</w:t>
            </w:r>
          </w:p>
        </w:tc>
        <w:tc>
          <w:tcPr>
            <w:tcW w:w="1440" w:type="pct"/>
            <w:shd w:val="clear" w:color="auto" w:fill="auto"/>
            <w:vAlign w:val="center"/>
          </w:tcPr>
          <w:p w14:paraId="0E492A95">
            <w:pPr>
              <w:ind w:firstLine="440"/>
              <w:jc w:val="center"/>
            </w:pPr>
            <w:r>
              <w:rPr>
                <w:rFonts w:hint="eastAsia" w:ascii="宋体" w:hAnsi="宋体" w:eastAsia="宋体" w:cs="宋体"/>
                <w:color w:val="000000"/>
                <w:kern w:val="0"/>
                <w:sz w:val="22"/>
                <w:szCs w:val="22"/>
              </w:rPr>
              <w:t>2019.10～2019.11</w:t>
            </w:r>
          </w:p>
        </w:tc>
      </w:tr>
      <w:tr w14:paraId="59EFCFD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40" w:hRule="atLeast"/>
        </w:trPr>
        <w:tc>
          <w:tcPr>
            <w:tcW w:w="655" w:type="pct"/>
            <w:vMerge w:val="continue"/>
            <w:vAlign w:val="center"/>
          </w:tcPr>
          <w:p w14:paraId="3384DAB9">
            <w:pPr>
              <w:widowControl/>
              <w:spacing w:line="240" w:lineRule="auto"/>
              <w:ind w:firstLine="0" w:firstLineChars="0"/>
              <w:jc w:val="center"/>
              <w:rPr>
                <w:rFonts w:ascii="宋体" w:hAnsi="宋体" w:eastAsia="宋体" w:cs="宋体"/>
                <w:color w:val="000000"/>
                <w:kern w:val="0"/>
                <w:sz w:val="22"/>
                <w:szCs w:val="22"/>
              </w:rPr>
            </w:pPr>
          </w:p>
        </w:tc>
        <w:tc>
          <w:tcPr>
            <w:tcW w:w="733" w:type="pct"/>
            <w:shd w:val="clear" w:color="auto" w:fill="auto"/>
            <w:vAlign w:val="center"/>
          </w:tcPr>
          <w:p w14:paraId="52AAD528">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Ⅱ级钢筋混凝土管DN600</w:t>
            </w:r>
          </w:p>
        </w:tc>
        <w:tc>
          <w:tcPr>
            <w:tcW w:w="654" w:type="pct"/>
            <w:shd w:val="clear" w:color="auto" w:fill="auto"/>
            <w:vAlign w:val="center"/>
          </w:tcPr>
          <w:p w14:paraId="0C45247A">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m</w:t>
            </w:r>
          </w:p>
        </w:tc>
        <w:tc>
          <w:tcPr>
            <w:tcW w:w="759" w:type="pct"/>
            <w:shd w:val="clear" w:color="auto" w:fill="auto"/>
            <w:vAlign w:val="center"/>
          </w:tcPr>
          <w:p w14:paraId="276D3B4D">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239</w:t>
            </w:r>
          </w:p>
        </w:tc>
        <w:tc>
          <w:tcPr>
            <w:tcW w:w="759" w:type="pct"/>
            <w:shd w:val="clear" w:color="auto" w:fill="auto"/>
            <w:vAlign w:val="center"/>
          </w:tcPr>
          <w:p w14:paraId="10D25436">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239</w:t>
            </w:r>
          </w:p>
        </w:tc>
        <w:tc>
          <w:tcPr>
            <w:tcW w:w="1440" w:type="pct"/>
            <w:shd w:val="clear" w:color="auto" w:fill="auto"/>
            <w:vAlign w:val="center"/>
          </w:tcPr>
          <w:p w14:paraId="347B60A7">
            <w:pPr>
              <w:ind w:firstLine="440"/>
              <w:jc w:val="center"/>
            </w:pPr>
            <w:r>
              <w:rPr>
                <w:rFonts w:hint="eastAsia" w:ascii="宋体" w:hAnsi="宋体" w:eastAsia="宋体" w:cs="宋体"/>
                <w:color w:val="000000"/>
                <w:kern w:val="0"/>
                <w:sz w:val="22"/>
                <w:szCs w:val="22"/>
              </w:rPr>
              <w:t>2019.10～2019.11</w:t>
            </w:r>
          </w:p>
        </w:tc>
      </w:tr>
      <w:tr w14:paraId="0E6F858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40" w:hRule="atLeast"/>
        </w:trPr>
        <w:tc>
          <w:tcPr>
            <w:tcW w:w="655" w:type="pct"/>
            <w:vMerge w:val="continue"/>
            <w:vAlign w:val="center"/>
          </w:tcPr>
          <w:p w14:paraId="3AB58958">
            <w:pPr>
              <w:widowControl/>
              <w:spacing w:line="240" w:lineRule="auto"/>
              <w:ind w:firstLine="0" w:firstLineChars="0"/>
              <w:jc w:val="center"/>
              <w:rPr>
                <w:rFonts w:ascii="宋体" w:hAnsi="宋体" w:eastAsia="宋体" w:cs="宋体"/>
                <w:color w:val="000000"/>
                <w:kern w:val="0"/>
                <w:sz w:val="22"/>
                <w:szCs w:val="22"/>
              </w:rPr>
            </w:pPr>
          </w:p>
        </w:tc>
        <w:tc>
          <w:tcPr>
            <w:tcW w:w="733" w:type="pct"/>
            <w:shd w:val="clear" w:color="auto" w:fill="auto"/>
            <w:vAlign w:val="center"/>
          </w:tcPr>
          <w:p w14:paraId="2D152148">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Ⅱ级钢筋混凝土管DN400</w:t>
            </w:r>
          </w:p>
        </w:tc>
        <w:tc>
          <w:tcPr>
            <w:tcW w:w="654" w:type="pct"/>
            <w:shd w:val="clear" w:color="auto" w:fill="auto"/>
            <w:vAlign w:val="center"/>
          </w:tcPr>
          <w:p w14:paraId="140B3BC8">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m</w:t>
            </w:r>
          </w:p>
        </w:tc>
        <w:tc>
          <w:tcPr>
            <w:tcW w:w="759" w:type="pct"/>
            <w:shd w:val="clear" w:color="auto" w:fill="auto"/>
            <w:vAlign w:val="center"/>
          </w:tcPr>
          <w:p w14:paraId="7F8E8190">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62</w:t>
            </w:r>
          </w:p>
        </w:tc>
        <w:tc>
          <w:tcPr>
            <w:tcW w:w="759" w:type="pct"/>
            <w:shd w:val="clear" w:color="auto" w:fill="auto"/>
            <w:vAlign w:val="center"/>
          </w:tcPr>
          <w:p w14:paraId="2A3ECACB">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62</w:t>
            </w:r>
          </w:p>
        </w:tc>
        <w:tc>
          <w:tcPr>
            <w:tcW w:w="1440" w:type="pct"/>
            <w:shd w:val="clear" w:color="auto" w:fill="auto"/>
            <w:vAlign w:val="center"/>
          </w:tcPr>
          <w:p w14:paraId="6DDE3157">
            <w:pPr>
              <w:ind w:firstLine="440"/>
              <w:jc w:val="center"/>
            </w:pPr>
            <w:r>
              <w:rPr>
                <w:rFonts w:hint="eastAsia" w:ascii="宋体" w:hAnsi="宋体" w:eastAsia="宋体" w:cs="宋体"/>
                <w:color w:val="000000"/>
                <w:kern w:val="0"/>
                <w:sz w:val="22"/>
                <w:szCs w:val="22"/>
              </w:rPr>
              <w:t>2019.10～2019.11</w:t>
            </w:r>
          </w:p>
        </w:tc>
      </w:tr>
      <w:tr w14:paraId="79CC6E6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70" w:hRule="atLeast"/>
        </w:trPr>
        <w:tc>
          <w:tcPr>
            <w:tcW w:w="655" w:type="pct"/>
            <w:vMerge w:val="continue"/>
            <w:vAlign w:val="center"/>
          </w:tcPr>
          <w:p w14:paraId="4235B80B">
            <w:pPr>
              <w:widowControl/>
              <w:spacing w:line="240" w:lineRule="auto"/>
              <w:ind w:firstLine="0" w:firstLineChars="0"/>
              <w:jc w:val="center"/>
              <w:rPr>
                <w:rFonts w:ascii="宋体" w:hAnsi="宋体" w:eastAsia="宋体" w:cs="宋体"/>
                <w:color w:val="000000"/>
                <w:kern w:val="0"/>
                <w:sz w:val="22"/>
                <w:szCs w:val="22"/>
              </w:rPr>
            </w:pPr>
          </w:p>
        </w:tc>
        <w:tc>
          <w:tcPr>
            <w:tcW w:w="733" w:type="pct"/>
            <w:shd w:val="clear" w:color="auto" w:fill="auto"/>
            <w:vAlign w:val="center"/>
          </w:tcPr>
          <w:p w14:paraId="0A737502">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雨水检查井</w:t>
            </w:r>
          </w:p>
        </w:tc>
        <w:tc>
          <w:tcPr>
            <w:tcW w:w="654" w:type="pct"/>
            <w:shd w:val="clear" w:color="auto" w:fill="auto"/>
            <w:vAlign w:val="center"/>
          </w:tcPr>
          <w:p w14:paraId="6CC14555">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座</w:t>
            </w:r>
          </w:p>
        </w:tc>
        <w:tc>
          <w:tcPr>
            <w:tcW w:w="759" w:type="pct"/>
            <w:shd w:val="clear" w:color="auto" w:fill="auto"/>
            <w:vAlign w:val="center"/>
          </w:tcPr>
          <w:p w14:paraId="2144E993">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8</w:t>
            </w:r>
          </w:p>
        </w:tc>
        <w:tc>
          <w:tcPr>
            <w:tcW w:w="759" w:type="pct"/>
            <w:shd w:val="clear" w:color="auto" w:fill="auto"/>
            <w:vAlign w:val="center"/>
          </w:tcPr>
          <w:p w14:paraId="7B17FC36">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8</w:t>
            </w:r>
          </w:p>
        </w:tc>
        <w:tc>
          <w:tcPr>
            <w:tcW w:w="1440" w:type="pct"/>
            <w:shd w:val="clear" w:color="auto" w:fill="auto"/>
            <w:vAlign w:val="center"/>
          </w:tcPr>
          <w:p w14:paraId="38F3849C">
            <w:pPr>
              <w:ind w:firstLine="440"/>
              <w:jc w:val="center"/>
            </w:pPr>
            <w:r>
              <w:rPr>
                <w:rFonts w:hint="eastAsia" w:ascii="宋体" w:hAnsi="宋体" w:eastAsia="宋体" w:cs="宋体"/>
                <w:color w:val="000000"/>
                <w:kern w:val="0"/>
                <w:sz w:val="22"/>
                <w:szCs w:val="22"/>
              </w:rPr>
              <w:t>2019.10～2019.11</w:t>
            </w:r>
          </w:p>
        </w:tc>
      </w:tr>
      <w:tr w14:paraId="157EFA9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70" w:hRule="atLeast"/>
        </w:trPr>
        <w:tc>
          <w:tcPr>
            <w:tcW w:w="655" w:type="pct"/>
            <w:vMerge w:val="continue"/>
            <w:vAlign w:val="center"/>
          </w:tcPr>
          <w:p w14:paraId="576C2873">
            <w:pPr>
              <w:widowControl/>
              <w:spacing w:line="240" w:lineRule="auto"/>
              <w:ind w:firstLine="0" w:firstLineChars="0"/>
              <w:jc w:val="center"/>
              <w:rPr>
                <w:rFonts w:ascii="宋体" w:hAnsi="宋体" w:eastAsia="宋体" w:cs="宋体"/>
                <w:color w:val="000000"/>
                <w:kern w:val="0"/>
                <w:sz w:val="22"/>
                <w:szCs w:val="22"/>
              </w:rPr>
            </w:pPr>
          </w:p>
        </w:tc>
        <w:tc>
          <w:tcPr>
            <w:tcW w:w="733" w:type="pct"/>
            <w:shd w:val="clear" w:color="auto" w:fill="auto"/>
            <w:vAlign w:val="center"/>
          </w:tcPr>
          <w:p w14:paraId="41DE6121">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污水检查井</w:t>
            </w:r>
          </w:p>
        </w:tc>
        <w:tc>
          <w:tcPr>
            <w:tcW w:w="654" w:type="pct"/>
            <w:shd w:val="clear" w:color="auto" w:fill="auto"/>
            <w:vAlign w:val="center"/>
          </w:tcPr>
          <w:p w14:paraId="314DA8FA">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座</w:t>
            </w:r>
          </w:p>
        </w:tc>
        <w:tc>
          <w:tcPr>
            <w:tcW w:w="759" w:type="pct"/>
            <w:shd w:val="clear" w:color="auto" w:fill="auto"/>
            <w:vAlign w:val="center"/>
          </w:tcPr>
          <w:p w14:paraId="7A71B55E">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20</w:t>
            </w:r>
          </w:p>
        </w:tc>
        <w:tc>
          <w:tcPr>
            <w:tcW w:w="759" w:type="pct"/>
            <w:shd w:val="clear" w:color="auto" w:fill="auto"/>
            <w:vAlign w:val="center"/>
          </w:tcPr>
          <w:p w14:paraId="7FC45410">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20</w:t>
            </w:r>
          </w:p>
        </w:tc>
        <w:tc>
          <w:tcPr>
            <w:tcW w:w="1440" w:type="pct"/>
            <w:shd w:val="clear" w:color="auto" w:fill="auto"/>
            <w:vAlign w:val="center"/>
          </w:tcPr>
          <w:p w14:paraId="21DE4C6E">
            <w:pPr>
              <w:ind w:firstLine="440"/>
              <w:jc w:val="center"/>
            </w:pPr>
            <w:r>
              <w:rPr>
                <w:rFonts w:hint="eastAsia" w:ascii="宋体" w:hAnsi="宋体" w:eastAsia="宋体" w:cs="宋体"/>
                <w:color w:val="000000"/>
                <w:kern w:val="0"/>
                <w:sz w:val="22"/>
                <w:szCs w:val="22"/>
              </w:rPr>
              <w:t>2019.10～2019.11</w:t>
            </w:r>
          </w:p>
        </w:tc>
      </w:tr>
      <w:tr w14:paraId="2850A44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70" w:hRule="atLeast"/>
        </w:trPr>
        <w:tc>
          <w:tcPr>
            <w:tcW w:w="655" w:type="pct"/>
            <w:vMerge w:val="continue"/>
            <w:vAlign w:val="center"/>
          </w:tcPr>
          <w:p w14:paraId="5A95F028">
            <w:pPr>
              <w:widowControl/>
              <w:spacing w:line="240" w:lineRule="auto"/>
              <w:ind w:firstLine="0" w:firstLineChars="0"/>
              <w:jc w:val="center"/>
              <w:rPr>
                <w:rFonts w:ascii="宋体" w:hAnsi="宋体" w:eastAsia="宋体" w:cs="宋体"/>
                <w:color w:val="000000"/>
                <w:kern w:val="0"/>
                <w:sz w:val="22"/>
                <w:szCs w:val="22"/>
              </w:rPr>
            </w:pPr>
          </w:p>
        </w:tc>
        <w:tc>
          <w:tcPr>
            <w:tcW w:w="733" w:type="pct"/>
            <w:shd w:val="clear" w:color="auto" w:fill="auto"/>
            <w:vAlign w:val="center"/>
          </w:tcPr>
          <w:p w14:paraId="1D170538">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矩形检查井</w:t>
            </w:r>
          </w:p>
        </w:tc>
        <w:tc>
          <w:tcPr>
            <w:tcW w:w="654" w:type="pct"/>
            <w:shd w:val="clear" w:color="auto" w:fill="auto"/>
            <w:vAlign w:val="center"/>
          </w:tcPr>
          <w:p w14:paraId="7853A57A">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座</w:t>
            </w:r>
          </w:p>
        </w:tc>
        <w:tc>
          <w:tcPr>
            <w:tcW w:w="759" w:type="pct"/>
            <w:shd w:val="clear" w:color="auto" w:fill="auto"/>
            <w:vAlign w:val="center"/>
          </w:tcPr>
          <w:p w14:paraId="727C0B50">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8</w:t>
            </w:r>
          </w:p>
        </w:tc>
        <w:tc>
          <w:tcPr>
            <w:tcW w:w="759" w:type="pct"/>
            <w:shd w:val="clear" w:color="auto" w:fill="auto"/>
            <w:vAlign w:val="center"/>
          </w:tcPr>
          <w:p w14:paraId="1D41D0EB">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8</w:t>
            </w:r>
          </w:p>
        </w:tc>
        <w:tc>
          <w:tcPr>
            <w:tcW w:w="1440" w:type="pct"/>
            <w:shd w:val="clear" w:color="auto" w:fill="auto"/>
            <w:vAlign w:val="center"/>
          </w:tcPr>
          <w:p w14:paraId="38FC2BB2">
            <w:pPr>
              <w:ind w:firstLine="440"/>
              <w:jc w:val="center"/>
            </w:pPr>
            <w:r>
              <w:rPr>
                <w:rFonts w:hint="eastAsia" w:ascii="宋体" w:hAnsi="宋体" w:eastAsia="宋体" w:cs="宋体"/>
                <w:color w:val="000000"/>
                <w:kern w:val="0"/>
                <w:sz w:val="22"/>
                <w:szCs w:val="22"/>
              </w:rPr>
              <w:t>2019.10～2019.11</w:t>
            </w:r>
          </w:p>
        </w:tc>
      </w:tr>
      <w:tr w14:paraId="3B2CBAF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70" w:hRule="atLeast"/>
        </w:trPr>
        <w:tc>
          <w:tcPr>
            <w:tcW w:w="655" w:type="pct"/>
            <w:vMerge w:val="continue"/>
            <w:vAlign w:val="center"/>
          </w:tcPr>
          <w:p w14:paraId="166078FE">
            <w:pPr>
              <w:widowControl/>
              <w:spacing w:line="240" w:lineRule="auto"/>
              <w:ind w:firstLine="0" w:firstLineChars="0"/>
              <w:jc w:val="center"/>
              <w:rPr>
                <w:rFonts w:ascii="宋体" w:hAnsi="宋体" w:eastAsia="宋体" w:cs="宋体"/>
                <w:color w:val="000000"/>
                <w:kern w:val="0"/>
                <w:sz w:val="22"/>
                <w:szCs w:val="22"/>
              </w:rPr>
            </w:pPr>
          </w:p>
        </w:tc>
        <w:tc>
          <w:tcPr>
            <w:tcW w:w="733" w:type="pct"/>
            <w:shd w:val="clear" w:color="auto" w:fill="auto"/>
            <w:vAlign w:val="center"/>
          </w:tcPr>
          <w:p w14:paraId="0C36206D">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雨水沉泥井1</w:t>
            </w:r>
          </w:p>
        </w:tc>
        <w:tc>
          <w:tcPr>
            <w:tcW w:w="654" w:type="pct"/>
            <w:shd w:val="clear" w:color="auto" w:fill="auto"/>
            <w:vAlign w:val="center"/>
          </w:tcPr>
          <w:p w14:paraId="72649A6F">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座</w:t>
            </w:r>
          </w:p>
        </w:tc>
        <w:tc>
          <w:tcPr>
            <w:tcW w:w="759" w:type="pct"/>
            <w:shd w:val="clear" w:color="auto" w:fill="auto"/>
            <w:vAlign w:val="center"/>
          </w:tcPr>
          <w:p w14:paraId="4FCBEAE9">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4</w:t>
            </w:r>
          </w:p>
        </w:tc>
        <w:tc>
          <w:tcPr>
            <w:tcW w:w="759" w:type="pct"/>
            <w:shd w:val="clear" w:color="auto" w:fill="auto"/>
            <w:vAlign w:val="center"/>
          </w:tcPr>
          <w:p w14:paraId="0F4132A1">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4</w:t>
            </w:r>
          </w:p>
        </w:tc>
        <w:tc>
          <w:tcPr>
            <w:tcW w:w="1440" w:type="pct"/>
            <w:shd w:val="clear" w:color="auto" w:fill="auto"/>
            <w:vAlign w:val="center"/>
          </w:tcPr>
          <w:p w14:paraId="208459BA">
            <w:pPr>
              <w:ind w:firstLine="440"/>
              <w:jc w:val="center"/>
            </w:pPr>
            <w:r>
              <w:rPr>
                <w:rFonts w:hint="eastAsia" w:ascii="宋体" w:hAnsi="宋体" w:eastAsia="宋体" w:cs="宋体"/>
                <w:color w:val="000000"/>
                <w:kern w:val="0"/>
                <w:sz w:val="22"/>
                <w:szCs w:val="22"/>
              </w:rPr>
              <w:t>2019.10～2019.11</w:t>
            </w:r>
          </w:p>
        </w:tc>
      </w:tr>
      <w:tr w14:paraId="54C7335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70" w:hRule="atLeast"/>
        </w:trPr>
        <w:tc>
          <w:tcPr>
            <w:tcW w:w="655" w:type="pct"/>
            <w:vMerge w:val="continue"/>
            <w:vAlign w:val="center"/>
          </w:tcPr>
          <w:p w14:paraId="738F9E5C">
            <w:pPr>
              <w:widowControl/>
              <w:spacing w:line="240" w:lineRule="auto"/>
              <w:ind w:firstLine="0" w:firstLineChars="0"/>
              <w:jc w:val="center"/>
              <w:rPr>
                <w:rFonts w:ascii="宋体" w:hAnsi="宋体" w:eastAsia="宋体" w:cs="宋体"/>
                <w:color w:val="000000"/>
                <w:kern w:val="0"/>
                <w:sz w:val="22"/>
                <w:szCs w:val="22"/>
              </w:rPr>
            </w:pPr>
          </w:p>
        </w:tc>
        <w:tc>
          <w:tcPr>
            <w:tcW w:w="733" w:type="pct"/>
            <w:shd w:val="clear" w:color="auto" w:fill="auto"/>
            <w:vAlign w:val="center"/>
          </w:tcPr>
          <w:p w14:paraId="3DEBE110">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（园林）沉泥井2</w:t>
            </w:r>
          </w:p>
        </w:tc>
        <w:tc>
          <w:tcPr>
            <w:tcW w:w="654" w:type="pct"/>
            <w:shd w:val="clear" w:color="auto" w:fill="auto"/>
            <w:vAlign w:val="center"/>
          </w:tcPr>
          <w:p w14:paraId="1FC07162">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座</w:t>
            </w:r>
          </w:p>
        </w:tc>
        <w:tc>
          <w:tcPr>
            <w:tcW w:w="759" w:type="pct"/>
            <w:shd w:val="clear" w:color="auto" w:fill="auto"/>
            <w:vAlign w:val="center"/>
          </w:tcPr>
          <w:p w14:paraId="066F1877">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8</w:t>
            </w:r>
          </w:p>
        </w:tc>
        <w:tc>
          <w:tcPr>
            <w:tcW w:w="759" w:type="pct"/>
            <w:shd w:val="clear" w:color="auto" w:fill="auto"/>
            <w:vAlign w:val="center"/>
          </w:tcPr>
          <w:p w14:paraId="5618B038">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8</w:t>
            </w:r>
          </w:p>
        </w:tc>
        <w:tc>
          <w:tcPr>
            <w:tcW w:w="1440" w:type="pct"/>
            <w:shd w:val="clear" w:color="auto" w:fill="auto"/>
            <w:vAlign w:val="center"/>
          </w:tcPr>
          <w:p w14:paraId="314D2C48">
            <w:pPr>
              <w:ind w:firstLine="440"/>
              <w:jc w:val="center"/>
            </w:pPr>
            <w:r>
              <w:rPr>
                <w:rFonts w:hint="eastAsia" w:ascii="宋体" w:hAnsi="宋体" w:eastAsia="宋体" w:cs="宋体"/>
                <w:color w:val="000000"/>
                <w:kern w:val="0"/>
                <w:sz w:val="22"/>
                <w:szCs w:val="22"/>
              </w:rPr>
              <w:t>2019.10～2019.11</w:t>
            </w:r>
          </w:p>
        </w:tc>
      </w:tr>
      <w:tr w14:paraId="7F0CC37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00" w:hRule="atLeast"/>
        </w:trPr>
        <w:tc>
          <w:tcPr>
            <w:tcW w:w="655" w:type="pct"/>
            <w:vMerge w:val="continue"/>
            <w:vAlign w:val="center"/>
          </w:tcPr>
          <w:p w14:paraId="4102BF54">
            <w:pPr>
              <w:widowControl/>
              <w:spacing w:line="240" w:lineRule="auto"/>
              <w:ind w:firstLine="0" w:firstLineChars="0"/>
              <w:jc w:val="center"/>
              <w:rPr>
                <w:rFonts w:ascii="宋体" w:hAnsi="宋体" w:eastAsia="宋体" w:cs="宋体"/>
                <w:color w:val="000000"/>
                <w:kern w:val="0"/>
                <w:sz w:val="22"/>
                <w:szCs w:val="22"/>
              </w:rPr>
            </w:pPr>
          </w:p>
        </w:tc>
        <w:tc>
          <w:tcPr>
            <w:tcW w:w="733" w:type="pct"/>
            <w:shd w:val="clear" w:color="auto" w:fill="auto"/>
            <w:vAlign w:val="center"/>
          </w:tcPr>
          <w:p w14:paraId="4DD3D045">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雨水井</w:t>
            </w:r>
          </w:p>
        </w:tc>
        <w:tc>
          <w:tcPr>
            <w:tcW w:w="654" w:type="pct"/>
            <w:shd w:val="clear" w:color="auto" w:fill="auto"/>
            <w:vAlign w:val="center"/>
          </w:tcPr>
          <w:p w14:paraId="7087F2F1">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座</w:t>
            </w:r>
          </w:p>
        </w:tc>
        <w:tc>
          <w:tcPr>
            <w:tcW w:w="759" w:type="pct"/>
            <w:shd w:val="clear" w:color="auto" w:fill="auto"/>
            <w:vAlign w:val="center"/>
          </w:tcPr>
          <w:p w14:paraId="62C99A24">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38</w:t>
            </w:r>
          </w:p>
        </w:tc>
        <w:tc>
          <w:tcPr>
            <w:tcW w:w="759" w:type="pct"/>
            <w:shd w:val="clear" w:color="auto" w:fill="auto"/>
            <w:vAlign w:val="center"/>
          </w:tcPr>
          <w:p w14:paraId="3217771D">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38</w:t>
            </w:r>
          </w:p>
        </w:tc>
        <w:tc>
          <w:tcPr>
            <w:tcW w:w="1440" w:type="pct"/>
            <w:shd w:val="clear" w:color="auto" w:fill="auto"/>
            <w:vAlign w:val="center"/>
          </w:tcPr>
          <w:p w14:paraId="571E8180">
            <w:pPr>
              <w:ind w:firstLine="440"/>
              <w:jc w:val="center"/>
            </w:pPr>
            <w:r>
              <w:rPr>
                <w:rFonts w:hint="eastAsia" w:ascii="宋体" w:hAnsi="宋体" w:eastAsia="宋体" w:cs="宋体"/>
                <w:color w:val="000000"/>
                <w:kern w:val="0"/>
                <w:sz w:val="22"/>
                <w:szCs w:val="22"/>
              </w:rPr>
              <w:t>2019.10～2019.11</w:t>
            </w:r>
          </w:p>
        </w:tc>
      </w:tr>
      <w:tr w14:paraId="6D09CAB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40" w:hRule="atLeast"/>
        </w:trPr>
        <w:tc>
          <w:tcPr>
            <w:tcW w:w="655" w:type="pct"/>
            <w:vMerge w:val="restart"/>
            <w:shd w:val="clear" w:color="auto" w:fill="auto"/>
            <w:vAlign w:val="center"/>
          </w:tcPr>
          <w:p w14:paraId="08966E8C">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道路及广场区</w:t>
            </w:r>
          </w:p>
        </w:tc>
        <w:tc>
          <w:tcPr>
            <w:tcW w:w="733" w:type="pct"/>
            <w:shd w:val="clear" w:color="auto" w:fill="auto"/>
            <w:vAlign w:val="center"/>
          </w:tcPr>
          <w:p w14:paraId="7E34BCDD">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UPVC 排水管（Φ160）</w:t>
            </w:r>
          </w:p>
        </w:tc>
        <w:tc>
          <w:tcPr>
            <w:tcW w:w="654" w:type="pct"/>
            <w:shd w:val="clear" w:color="auto" w:fill="auto"/>
            <w:vAlign w:val="center"/>
          </w:tcPr>
          <w:p w14:paraId="31FCDA8B">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m</w:t>
            </w:r>
          </w:p>
        </w:tc>
        <w:tc>
          <w:tcPr>
            <w:tcW w:w="759" w:type="pct"/>
            <w:shd w:val="clear" w:color="auto" w:fill="auto"/>
            <w:vAlign w:val="center"/>
          </w:tcPr>
          <w:p w14:paraId="2F9635F8">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20</w:t>
            </w:r>
          </w:p>
        </w:tc>
        <w:tc>
          <w:tcPr>
            <w:tcW w:w="759" w:type="pct"/>
            <w:shd w:val="clear" w:color="auto" w:fill="auto"/>
            <w:vAlign w:val="center"/>
          </w:tcPr>
          <w:p w14:paraId="2F39E27A">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20</w:t>
            </w:r>
          </w:p>
        </w:tc>
        <w:tc>
          <w:tcPr>
            <w:tcW w:w="1440" w:type="pct"/>
            <w:shd w:val="clear" w:color="auto" w:fill="auto"/>
            <w:vAlign w:val="center"/>
          </w:tcPr>
          <w:p w14:paraId="58260C32">
            <w:pPr>
              <w:ind w:firstLine="440"/>
              <w:jc w:val="center"/>
            </w:pPr>
            <w:r>
              <w:rPr>
                <w:rFonts w:hint="eastAsia" w:ascii="宋体" w:hAnsi="宋体" w:eastAsia="宋体" w:cs="宋体"/>
                <w:color w:val="000000"/>
                <w:kern w:val="0"/>
                <w:sz w:val="22"/>
                <w:szCs w:val="22"/>
              </w:rPr>
              <w:t>2019.10～2019.11</w:t>
            </w:r>
          </w:p>
        </w:tc>
      </w:tr>
      <w:tr w14:paraId="400DDDC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40" w:hRule="atLeast"/>
        </w:trPr>
        <w:tc>
          <w:tcPr>
            <w:tcW w:w="655" w:type="pct"/>
            <w:vMerge w:val="continue"/>
            <w:vAlign w:val="center"/>
          </w:tcPr>
          <w:p w14:paraId="3BDBD3E8">
            <w:pPr>
              <w:widowControl/>
              <w:spacing w:line="240" w:lineRule="auto"/>
              <w:ind w:firstLine="0" w:firstLineChars="0"/>
              <w:jc w:val="center"/>
              <w:rPr>
                <w:rFonts w:ascii="宋体" w:hAnsi="宋体" w:eastAsia="宋体" w:cs="宋体"/>
                <w:color w:val="000000"/>
                <w:kern w:val="0"/>
                <w:sz w:val="22"/>
                <w:szCs w:val="22"/>
              </w:rPr>
            </w:pPr>
          </w:p>
        </w:tc>
        <w:tc>
          <w:tcPr>
            <w:tcW w:w="733" w:type="pct"/>
            <w:shd w:val="clear" w:color="auto" w:fill="auto"/>
            <w:vAlign w:val="center"/>
          </w:tcPr>
          <w:p w14:paraId="30A9644A">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UPVC 排水管（Φ110）</w:t>
            </w:r>
          </w:p>
        </w:tc>
        <w:tc>
          <w:tcPr>
            <w:tcW w:w="654" w:type="pct"/>
            <w:shd w:val="clear" w:color="auto" w:fill="auto"/>
            <w:vAlign w:val="center"/>
          </w:tcPr>
          <w:p w14:paraId="4729C0D8">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m</w:t>
            </w:r>
          </w:p>
        </w:tc>
        <w:tc>
          <w:tcPr>
            <w:tcW w:w="759" w:type="pct"/>
            <w:shd w:val="clear" w:color="auto" w:fill="auto"/>
            <w:vAlign w:val="center"/>
          </w:tcPr>
          <w:p w14:paraId="06CA8038">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25</w:t>
            </w:r>
          </w:p>
        </w:tc>
        <w:tc>
          <w:tcPr>
            <w:tcW w:w="759" w:type="pct"/>
            <w:shd w:val="clear" w:color="auto" w:fill="auto"/>
            <w:vAlign w:val="center"/>
          </w:tcPr>
          <w:p w14:paraId="3183BF6D">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25</w:t>
            </w:r>
          </w:p>
        </w:tc>
        <w:tc>
          <w:tcPr>
            <w:tcW w:w="1440" w:type="pct"/>
            <w:shd w:val="clear" w:color="auto" w:fill="auto"/>
            <w:vAlign w:val="center"/>
          </w:tcPr>
          <w:p w14:paraId="1AA3DA5B">
            <w:pPr>
              <w:ind w:firstLine="440"/>
              <w:jc w:val="center"/>
            </w:pPr>
            <w:r>
              <w:rPr>
                <w:rFonts w:hint="eastAsia" w:ascii="宋体" w:hAnsi="宋体" w:eastAsia="宋体" w:cs="宋体"/>
                <w:color w:val="000000"/>
                <w:kern w:val="0"/>
                <w:sz w:val="22"/>
                <w:szCs w:val="22"/>
              </w:rPr>
              <w:t>2019.10～2019.11</w:t>
            </w:r>
          </w:p>
        </w:tc>
      </w:tr>
      <w:tr w14:paraId="04202D6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40" w:hRule="atLeast"/>
        </w:trPr>
        <w:tc>
          <w:tcPr>
            <w:tcW w:w="655" w:type="pct"/>
            <w:vMerge w:val="continue"/>
            <w:vAlign w:val="center"/>
          </w:tcPr>
          <w:p w14:paraId="56B8527F">
            <w:pPr>
              <w:widowControl/>
              <w:spacing w:line="240" w:lineRule="auto"/>
              <w:ind w:firstLine="0" w:firstLineChars="0"/>
              <w:jc w:val="center"/>
              <w:rPr>
                <w:rFonts w:ascii="宋体" w:hAnsi="宋体" w:eastAsia="宋体" w:cs="宋体"/>
                <w:color w:val="000000"/>
                <w:kern w:val="0"/>
                <w:sz w:val="22"/>
                <w:szCs w:val="22"/>
              </w:rPr>
            </w:pPr>
          </w:p>
        </w:tc>
        <w:tc>
          <w:tcPr>
            <w:tcW w:w="733" w:type="pct"/>
            <w:shd w:val="clear" w:color="auto" w:fill="auto"/>
            <w:vAlign w:val="center"/>
          </w:tcPr>
          <w:p w14:paraId="0113BFBD">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UPVC 排水管（Φ75）</w:t>
            </w:r>
          </w:p>
        </w:tc>
        <w:tc>
          <w:tcPr>
            <w:tcW w:w="654" w:type="pct"/>
            <w:shd w:val="clear" w:color="auto" w:fill="auto"/>
            <w:vAlign w:val="center"/>
          </w:tcPr>
          <w:p w14:paraId="6F90FC19">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m</w:t>
            </w:r>
          </w:p>
        </w:tc>
        <w:tc>
          <w:tcPr>
            <w:tcW w:w="759" w:type="pct"/>
            <w:shd w:val="clear" w:color="auto" w:fill="auto"/>
            <w:vAlign w:val="center"/>
          </w:tcPr>
          <w:p w14:paraId="4EACB20A">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10</w:t>
            </w:r>
          </w:p>
        </w:tc>
        <w:tc>
          <w:tcPr>
            <w:tcW w:w="759" w:type="pct"/>
            <w:shd w:val="clear" w:color="auto" w:fill="auto"/>
            <w:vAlign w:val="center"/>
          </w:tcPr>
          <w:p w14:paraId="50FD9BF7">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10</w:t>
            </w:r>
          </w:p>
        </w:tc>
        <w:tc>
          <w:tcPr>
            <w:tcW w:w="1440" w:type="pct"/>
            <w:shd w:val="clear" w:color="auto" w:fill="auto"/>
            <w:vAlign w:val="center"/>
          </w:tcPr>
          <w:p w14:paraId="1CF51D36">
            <w:pPr>
              <w:ind w:firstLine="440"/>
              <w:jc w:val="center"/>
            </w:pPr>
            <w:r>
              <w:rPr>
                <w:rFonts w:hint="eastAsia" w:ascii="宋体" w:hAnsi="宋体" w:eastAsia="宋体" w:cs="宋体"/>
                <w:color w:val="000000"/>
                <w:kern w:val="0"/>
                <w:sz w:val="22"/>
                <w:szCs w:val="22"/>
              </w:rPr>
              <w:t>2019.10～2019.11</w:t>
            </w:r>
          </w:p>
        </w:tc>
      </w:tr>
      <w:tr w14:paraId="605EAC4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40" w:hRule="atLeast"/>
        </w:trPr>
        <w:tc>
          <w:tcPr>
            <w:tcW w:w="655" w:type="pct"/>
            <w:vMerge w:val="continue"/>
            <w:vAlign w:val="center"/>
          </w:tcPr>
          <w:p w14:paraId="684DD422">
            <w:pPr>
              <w:widowControl/>
              <w:spacing w:line="240" w:lineRule="auto"/>
              <w:ind w:firstLine="0" w:firstLineChars="0"/>
              <w:jc w:val="center"/>
              <w:rPr>
                <w:rFonts w:ascii="宋体" w:hAnsi="宋体" w:eastAsia="宋体" w:cs="宋体"/>
                <w:color w:val="000000"/>
                <w:kern w:val="0"/>
                <w:sz w:val="22"/>
                <w:szCs w:val="22"/>
              </w:rPr>
            </w:pPr>
          </w:p>
        </w:tc>
        <w:tc>
          <w:tcPr>
            <w:tcW w:w="733" w:type="pct"/>
            <w:shd w:val="clear" w:color="auto" w:fill="auto"/>
            <w:vAlign w:val="center"/>
          </w:tcPr>
          <w:p w14:paraId="282E8328">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塑料管DN300 SN8</w:t>
            </w:r>
          </w:p>
        </w:tc>
        <w:tc>
          <w:tcPr>
            <w:tcW w:w="654" w:type="pct"/>
            <w:shd w:val="clear" w:color="auto" w:fill="auto"/>
            <w:vAlign w:val="center"/>
          </w:tcPr>
          <w:p w14:paraId="6F09448E">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m</w:t>
            </w:r>
          </w:p>
        </w:tc>
        <w:tc>
          <w:tcPr>
            <w:tcW w:w="759" w:type="pct"/>
            <w:shd w:val="clear" w:color="auto" w:fill="auto"/>
            <w:vAlign w:val="center"/>
          </w:tcPr>
          <w:p w14:paraId="00CA8AAD">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100</w:t>
            </w:r>
          </w:p>
        </w:tc>
        <w:tc>
          <w:tcPr>
            <w:tcW w:w="759" w:type="pct"/>
            <w:shd w:val="clear" w:color="auto" w:fill="auto"/>
            <w:vAlign w:val="center"/>
          </w:tcPr>
          <w:p w14:paraId="25A33913">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100</w:t>
            </w:r>
          </w:p>
        </w:tc>
        <w:tc>
          <w:tcPr>
            <w:tcW w:w="1440" w:type="pct"/>
            <w:shd w:val="clear" w:color="auto" w:fill="auto"/>
            <w:vAlign w:val="center"/>
          </w:tcPr>
          <w:p w14:paraId="5644DA50">
            <w:pPr>
              <w:ind w:firstLine="440"/>
              <w:jc w:val="center"/>
            </w:pPr>
            <w:r>
              <w:rPr>
                <w:rFonts w:hint="eastAsia" w:ascii="宋体" w:hAnsi="宋体" w:eastAsia="宋体" w:cs="宋体"/>
                <w:color w:val="000000"/>
                <w:kern w:val="0"/>
                <w:sz w:val="22"/>
                <w:szCs w:val="22"/>
              </w:rPr>
              <w:t>2019.10～2019.11</w:t>
            </w:r>
          </w:p>
        </w:tc>
      </w:tr>
      <w:tr w14:paraId="30E71D0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40" w:hRule="atLeast"/>
        </w:trPr>
        <w:tc>
          <w:tcPr>
            <w:tcW w:w="655" w:type="pct"/>
            <w:vMerge w:val="continue"/>
            <w:vAlign w:val="center"/>
          </w:tcPr>
          <w:p w14:paraId="4069F145">
            <w:pPr>
              <w:widowControl/>
              <w:spacing w:line="240" w:lineRule="auto"/>
              <w:ind w:firstLine="0" w:firstLineChars="0"/>
              <w:jc w:val="center"/>
              <w:rPr>
                <w:rFonts w:ascii="宋体" w:hAnsi="宋体" w:eastAsia="宋体" w:cs="宋体"/>
                <w:color w:val="000000"/>
                <w:kern w:val="0"/>
                <w:sz w:val="22"/>
                <w:szCs w:val="22"/>
              </w:rPr>
            </w:pPr>
          </w:p>
        </w:tc>
        <w:tc>
          <w:tcPr>
            <w:tcW w:w="733" w:type="pct"/>
            <w:shd w:val="clear" w:color="auto" w:fill="auto"/>
            <w:vAlign w:val="center"/>
          </w:tcPr>
          <w:p w14:paraId="43B08D34">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污水管DN400 SN8</w:t>
            </w:r>
          </w:p>
        </w:tc>
        <w:tc>
          <w:tcPr>
            <w:tcW w:w="654" w:type="pct"/>
            <w:shd w:val="clear" w:color="auto" w:fill="auto"/>
            <w:vAlign w:val="center"/>
          </w:tcPr>
          <w:p w14:paraId="713BD73A">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m</w:t>
            </w:r>
          </w:p>
        </w:tc>
        <w:tc>
          <w:tcPr>
            <w:tcW w:w="759" w:type="pct"/>
            <w:shd w:val="clear" w:color="auto" w:fill="auto"/>
            <w:vAlign w:val="center"/>
          </w:tcPr>
          <w:p w14:paraId="3CC6A25A">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376</w:t>
            </w:r>
          </w:p>
        </w:tc>
        <w:tc>
          <w:tcPr>
            <w:tcW w:w="759" w:type="pct"/>
            <w:shd w:val="clear" w:color="auto" w:fill="auto"/>
            <w:vAlign w:val="center"/>
          </w:tcPr>
          <w:p w14:paraId="3EC5B088">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376</w:t>
            </w:r>
          </w:p>
        </w:tc>
        <w:tc>
          <w:tcPr>
            <w:tcW w:w="1440" w:type="pct"/>
            <w:shd w:val="clear" w:color="auto" w:fill="auto"/>
            <w:vAlign w:val="center"/>
          </w:tcPr>
          <w:p w14:paraId="43732B73">
            <w:pPr>
              <w:ind w:firstLine="440"/>
              <w:jc w:val="center"/>
            </w:pPr>
            <w:r>
              <w:rPr>
                <w:rFonts w:hint="eastAsia" w:ascii="宋体" w:hAnsi="宋体" w:eastAsia="宋体" w:cs="宋体"/>
                <w:color w:val="000000"/>
                <w:kern w:val="0"/>
                <w:sz w:val="22"/>
                <w:szCs w:val="22"/>
              </w:rPr>
              <w:t>2019.10～2019.11</w:t>
            </w:r>
          </w:p>
        </w:tc>
      </w:tr>
      <w:tr w14:paraId="1B53C6C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70" w:hRule="atLeast"/>
        </w:trPr>
        <w:tc>
          <w:tcPr>
            <w:tcW w:w="655" w:type="pct"/>
            <w:vMerge w:val="continue"/>
            <w:vAlign w:val="center"/>
          </w:tcPr>
          <w:p w14:paraId="070C20B0">
            <w:pPr>
              <w:widowControl/>
              <w:spacing w:line="240" w:lineRule="auto"/>
              <w:ind w:firstLine="0" w:firstLineChars="0"/>
              <w:jc w:val="center"/>
              <w:rPr>
                <w:rFonts w:ascii="宋体" w:hAnsi="宋体" w:eastAsia="宋体" w:cs="宋体"/>
                <w:color w:val="000000"/>
                <w:kern w:val="0"/>
                <w:sz w:val="22"/>
                <w:szCs w:val="22"/>
              </w:rPr>
            </w:pPr>
          </w:p>
        </w:tc>
        <w:tc>
          <w:tcPr>
            <w:tcW w:w="733" w:type="pct"/>
            <w:shd w:val="clear" w:color="auto" w:fill="auto"/>
            <w:vAlign w:val="center"/>
          </w:tcPr>
          <w:p w14:paraId="1F174CB7">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PVC 排水管DN150</w:t>
            </w:r>
          </w:p>
        </w:tc>
        <w:tc>
          <w:tcPr>
            <w:tcW w:w="654" w:type="pct"/>
            <w:shd w:val="clear" w:color="auto" w:fill="auto"/>
            <w:vAlign w:val="center"/>
          </w:tcPr>
          <w:p w14:paraId="69AC19D6">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m</w:t>
            </w:r>
          </w:p>
        </w:tc>
        <w:tc>
          <w:tcPr>
            <w:tcW w:w="759" w:type="pct"/>
            <w:shd w:val="clear" w:color="auto" w:fill="auto"/>
            <w:vAlign w:val="center"/>
          </w:tcPr>
          <w:p w14:paraId="041999C6">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300</w:t>
            </w:r>
          </w:p>
        </w:tc>
        <w:tc>
          <w:tcPr>
            <w:tcW w:w="759" w:type="pct"/>
            <w:shd w:val="clear" w:color="auto" w:fill="auto"/>
            <w:vAlign w:val="center"/>
          </w:tcPr>
          <w:p w14:paraId="131F654A">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300</w:t>
            </w:r>
          </w:p>
        </w:tc>
        <w:tc>
          <w:tcPr>
            <w:tcW w:w="1440" w:type="pct"/>
            <w:shd w:val="clear" w:color="auto" w:fill="auto"/>
            <w:vAlign w:val="center"/>
          </w:tcPr>
          <w:p w14:paraId="0429AD59">
            <w:pPr>
              <w:ind w:firstLine="440"/>
              <w:jc w:val="center"/>
            </w:pPr>
            <w:r>
              <w:rPr>
                <w:rFonts w:hint="eastAsia" w:ascii="宋体" w:hAnsi="宋体" w:eastAsia="宋体" w:cs="宋体"/>
                <w:color w:val="000000"/>
                <w:kern w:val="0"/>
                <w:sz w:val="22"/>
                <w:szCs w:val="22"/>
              </w:rPr>
              <w:t>2019.10～2019.11</w:t>
            </w:r>
          </w:p>
        </w:tc>
      </w:tr>
    </w:tbl>
    <w:p w14:paraId="70710AA3">
      <w:pPr>
        <w:widowControl/>
        <w:spacing w:line="240" w:lineRule="auto"/>
        <w:ind w:firstLine="0" w:firstLineChars="0"/>
        <w:jc w:val="left"/>
        <w:rPr>
          <w:b/>
        </w:rPr>
      </w:pPr>
    </w:p>
    <w:p w14:paraId="0496EFF0">
      <w:pPr>
        <w:widowControl/>
        <w:spacing w:line="240" w:lineRule="auto"/>
        <w:ind w:firstLine="0" w:firstLineChars="0"/>
        <w:jc w:val="left"/>
        <w:rPr>
          <w:b/>
        </w:rPr>
      </w:pPr>
    </w:p>
    <w:p w14:paraId="26F3FCAB">
      <w:pPr>
        <w:pStyle w:val="4"/>
      </w:pPr>
      <w:r>
        <w:t>3.5.2 植物措施</w:t>
      </w:r>
    </w:p>
    <w:p w14:paraId="134D37E3">
      <w:r>
        <w:t>（1）植物措施实施情况</w:t>
      </w:r>
    </w:p>
    <w:p w14:paraId="33BC5D8F">
      <w:r>
        <w:rPr>
          <w:rFonts w:hint="eastAsia"/>
        </w:rPr>
        <w:t>项目已实施的主要水保工程措施情况如下：乔木1129株，灌木955株，花卉8019.29m</w:t>
      </w:r>
      <w:r>
        <w:rPr>
          <w:rFonts w:hint="eastAsia"/>
          <w:vertAlign w:val="superscript"/>
        </w:rPr>
        <w:t>2</w:t>
      </w:r>
      <w:r>
        <w:rPr>
          <w:rFonts w:hint="eastAsia"/>
        </w:rPr>
        <w:t>，植草皮21725.55 m</w:t>
      </w:r>
      <w:r>
        <w:rPr>
          <w:rFonts w:hint="eastAsia"/>
          <w:vertAlign w:val="superscript"/>
        </w:rPr>
        <w:t>2</w:t>
      </w:r>
      <w:r>
        <w:rPr>
          <w:rFonts w:hint="eastAsia"/>
        </w:rPr>
        <w:t>，植草砖3750.27 m</w:t>
      </w:r>
      <w:r>
        <w:rPr>
          <w:rFonts w:hint="eastAsia"/>
          <w:vertAlign w:val="superscript"/>
        </w:rPr>
        <w:t>2</w:t>
      </w:r>
      <w:r>
        <w:rPr>
          <w:rFonts w:hint="eastAsia"/>
        </w:rPr>
        <w:t>，竹类16株，攀缘植物375株。</w:t>
      </w:r>
    </w:p>
    <w:p w14:paraId="2A68F511">
      <w:r>
        <w:t>（2）与方案设计对比情况</w:t>
      </w:r>
    </w:p>
    <w:p w14:paraId="092D5B8B">
      <w:r>
        <w:t>方案</w:t>
      </w:r>
      <w:r>
        <w:rPr>
          <w:rFonts w:hint="eastAsia"/>
        </w:rPr>
        <w:t>补报时工程措施已设施，且方案未新增植物措施，故</w:t>
      </w:r>
      <w:r>
        <w:t>实际</w:t>
      </w:r>
      <w:r>
        <w:rPr>
          <w:rFonts w:hint="eastAsia"/>
        </w:rPr>
        <w:t>实施的工程量与</w:t>
      </w:r>
      <w:r>
        <w:t>方案</w:t>
      </w:r>
      <w:r>
        <w:rPr>
          <w:rFonts w:hint="eastAsia"/>
        </w:rPr>
        <w:t>工程量相同</w:t>
      </w:r>
      <w:r>
        <w:t>。植物措施工程量完成与对比情况详见表3-</w:t>
      </w:r>
      <w:r>
        <w:rPr>
          <w:rFonts w:hint="eastAsia"/>
        </w:rPr>
        <w:t>4</w:t>
      </w:r>
      <w:r>
        <w:t>。</w:t>
      </w:r>
    </w:p>
    <w:p w14:paraId="062A6714">
      <w:pPr>
        <w:widowControl/>
        <w:spacing w:line="240" w:lineRule="auto"/>
        <w:ind w:firstLine="0" w:firstLineChars="0"/>
        <w:jc w:val="left"/>
        <w:rPr>
          <w:b/>
        </w:rPr>
      </w:pPr>
      <w:r>
        <w:rPr>
          <w:b/>
        </w:rPr>
        <w:t>表3-</w:t>
      </w:r>
      <w:r>
        <w:rPr>
          <w:rFonts w:hint="eastAsia"/>
          <w:b/>
        </w:rPr>
        <w:t>4</w:t>
      </w:r>
      <w:r>
        <w:rPr>
          <w:b/>
        </w:rPr>
        <w:t xml:space="preserve">                 水土保持植物措施工程量对比表</w:t>
      </w:r>
    </w:p>
    <w:tbl>
      <w:tblPr>
        <w:tblStyle w:val="32"/>
        <w:tblpPr w:leftFromText="180" w:rightFromText="180" w:vertAnchor="text" w:horzAnchor="margin" w:tblpXSpec="center" w:tblpY="127"/>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678"/>
        <w:gridCol w:w="1678"/>
        <w:gridCol w:w="843"/>
        <w:gridCol w:w="1399"/>
        <w:gridCol w:w="1399"/>
        <w:gridCol w:w="2245"/>
      </w:tblGrid>
      <w:tr w14:paraId="7D747F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08" w:type="pct"/>
            <w:shd w:val="clear" w:color="auto" w:fill="auto"/>
            <w:noWrap/>
            <w:vAlign w:val="center"/>
          </w:tcPr>
          <w:p w14:paraId="7D50FB18">
            <w:pPr>
              <w:widowControl/>
              <w:spacing w:line="240" w:lineRule="auto"/>
              <w:ind w:firstLine="0" w:firstLineChars="0"/>
              <w:jc w:val="center"/>
              <w:rPr>
                <w:kern w:val="0"/>
                <w:sz w:val="21"/>
                <w:szCs w:val="24"/>
              </w:rPr>
            </w:pPr>
            <w:r>
              <w:rPr>
                <w:kern w:val="0"/>
                <w:sz w:val="21"/>
                <w:szCs w:val="24"/>
              </w:rPr>
              <w:t>分区</w:t>
            </w:r>
          </w:p>
        </w:tc>
        <w:tc>
          <w:tcPr>
            <w:tcW w:w="908" w:type="pct"/>
            <w:shd w:val="clear" w:color="auto" w:fill="auto"/>
            <w:noWrap/>
            <w:vAlign w:val="center"/>
          </w:tcPr>
          <w:p w14:paraId="11EBD88B">
            <w:pPr>
              <w:widowControl/>
              <w:spacing w:line="240" w:lineRule="auto"/>
              <w:ind w:firstLine="0" w:firstLineChars="0"/>
              <w:jc w:val="center"/>
              <w:rPr>
                <w:kern w:val="0"/>
                <w:sz w:val="21"/>
                <w:szCs w:val="24"/>
              </w:rPr>
            </w:pPr>
            <w:r>
              <w:rPr>
                <w:kern w:val="0"/>
                <w:sz w:val="21"/>
                <w:szCs w:val="24"/>
              </w:rPr>
              <w:t>措施类型</w:t>
            </w:r>
          </w:p>
        </w:tc>
        <w:tc>
          <w:tcPr>
            <w:tcW w:w="456" w:type="pct"/>
            <w:shd w:val="clear" w:color="auto" w:fill="auto"/>
            <w:noWrap/>
            <w:vAlign w:val="center"/>
          </w:tcPr>
          <w:p w14:paraId="485268DE">
            <w:pPr>
              <w:widowControl/>
              <w:spacing w:line="240" w:lineRule="auto"/>
              <w:ind w:firstLine="0" w:firstLineChars="0"/>
              <w:jc w:val="center"/>
              <w:rPr>
                <w:kern w:val="0"/>
                <w:sz w:val="21"/>
                <w:szCs w:val="24"/>
              </w:rPr>
            </w:pPr>
            <w:r>
              <w:rPr>
                <w:kern w:val="0"/>
                <w:sz w:val="21"/>
                <w:szCs w:val="24"/>
              </w:rPr>
              <w:t>单位</w:t>
            </w:r>
          </w:p>
        </w:tc>
        <w:tc>
          <w:tcPr>
            <w:tcW w:w="757" w:type="pct"/>
            <w:vAlign w:val="center"/>
          </w:tcPr>
          <w:p w14:paraId="6296F1B3">
            <w:pPr>
              <w:widowControl/>
              <w:spacing w:line="240" w:lineRule="auto"/>
              <w:ind w:firstLine="0" w:firstLineChars="0"/>
              <w:jc w:val="center"/>
              <w:rPr>
                <w:kern w:val="0"/>
                <w:sz w:val="21"/>
                <w:szCs w:val="24"/>
              </w:rPr>
            </w:pPr>
            <w:r>
              <w:rPr>
                <w:rFonts w:hint="eastAsia"/>
                <w:kern w:val="0"/>
                <w:sz w:val="21"/>
                <w:szCs w:val="24"/>
              </w:rPr>
              <w:t>主体或</w:t>
            </w:r>
            <w:r>
              <w:rPr>
                <w:kern w:val="0"/>
                <w:sz w:val="21"/>
                <w:szCs w:val="24"/>
              </w:rPr>
              <w:t>方案设计</w:t>
            </w:r>
          </w:p>
        </w:tc>
        <w:tc>
          <w:tcPr>
            <w:tcW w:w="757" w:type="pct"/>
            <w:vAlign w:val="center"/>
          </w:tcPr>
          <w:p w14:paraId="3F4480EF">
            <w:pPr>
              <w:widowControl/>
              <w:spacing w:line="240" w:lineRule="auto"/>
              <w:ind w:firstLine="0" w:firstLineChars="0"/>
              <w:jc w:val="center"/>
              <w:rPr>
                <w:kern w:val="0"/>
                <w:sz w:val="21"/>
                <w:szCs w:val="24"/>
              </w:rPr>
            </w:pPr>
            <w:r>
              <w:rPr>
                <w:kern w:val="0"/>
                <w:sz w:val="21"/>
                <w:szCs w:val="24"/>
              </w:rPr>
              <w:t>实际完成</w:t>
            </w:r>
          </w:p>
        </w:tc>
        <w:tc>
          <w:tcPr>
            <w:tcW w:w="1214" w:type="pct"/>
            <w:vAlign w:val="center"/>
          </w:tcPr>
          <w:p w14:paraId="5EFC0E6B">
            <w:pPr>
              <w:widowControl/>
              <w:spacing w:line="240" w:lineRule="auto"/>
              <w:ind w:firstLine="0" w:firstLineChars="0"/>
              <w:jc w:val="center"/>
              <w:rPr>
                <w:kern w:val="0"/>
                <w:sz w:val="21"/>
                <w:szCs w:val="24"/>
              </w:rPr>
            </w:pPr>
            <w:r>
              <w:rPr>
                <w:kern w:val="0"/>
                <w:sz w:val="21"/>
                <w:szCs w:val="24"/>
              </w:rPr>
              <w:t>实施时间</w:t>
            </w:r>
          </w:p>
        </w:tc>
      </w:tr>
      <w:tr w14:paraId="35A07B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08" w:type="pct"/>
            <w:vMerge w:val="restart"/>
            <w:shd w:val="clear" w:color="auto" w:fill="auto"/>
            <w:noWrap/>
            <w:vAlign w:val="center"/>
          </w:tcPr>
          <w:p w14:paraId="67B14BF4">
            <w:pPr>
              <w:widowControl/>
              <w:spacing w:line="240" w:lineRule="auto"/>
              <w:ind w:firstLine="0" w:firstLineChars="0"/>
              <w:jc w:val="center"/>
              <w:rPr>
                <w:kern w:val="0"/>
                <w:sz w:val="21"/>
                <w:szCs w:val="24"/>
              </w:rPr>
            </w:pPr>
            <w:r>
              <w:rPr>
                <w:rFonts w:hint="eastAsia"/>
                <w:kern w:val="0"/>
                <w:sz w:val="21"/>
                <w:szCs w:val="24"/>
              </w:rPr>
              <w:t>绿化观赏区</w:t>
            </w:r>
          </w:p>
        </w:tc>
        <w:tc>
          <w:tcPr>
            <w:tcW w:w="908" w:type="pct"/>
            <w:shd w:val="clear" w:color="auto" w:fill="auto"/>
            <w:noWrap/>
            <w:vAlign w:val="center"/>
          </w:tcPr>
          <w:p w14:paraId="6789728E">
            <w:pPr>
              <w:widowControl/>
              <w:spacing w:line="240" w:lineRule="auto"/>
              <w:ind w:firstLine="0" w:firstLineChars="0"/>
              <w:jc w:val="center"/>
              <w:rPr>
                <w:kern w:val="0"/>
                <w:sz w:val="21"/>
                <w:szCs w:val="24"/>
              </w:rPr>
            </w:pPr>
            <w:r>
              <w:rPr>
                <w:rFonts w:hint="eastAsia"/>
                <w:kern w:val="0"/>
                <w:sz w:val="21"/>
                <w:szCs w:val="24"/>
              </w:rPr>
              <w:t>乔木</w:t>
            </w:r>
          </w:p>
        </w:tc>
        <w:tc>
          <w:tcPr>
            <w:tcW w:w="456" w:type="pct"/>
            <w:shd w:val="clear" w:color="auto" w:fill="auto"/>
            <w:noWrap/>
            <w:vAlign w:val="center"/>
          </w:tcPr>
          <w:p w14:paraId="4BC1E5A8">
            <w:pPr>
              <w:widowControl/>
              <w:spacing w:line="240" w:lineRule="auto"/>
              <w:ind w:firstLine="0" w:firstLineChars="0"/>
              <w:jc w:val="center"/>
              <w:rPr>
                <w:kern w:val="0"/>
                <w:sz w:val="21"/>
                <w:szCs w:val="24"/>
              </w:rPr>
            </w:pPr>
            <w:r>
              <w:rPr>
                <w:rFonts w:hint="eastAsia"/>
                <w:snapToGrid w:val="0"/>
                <w:sz w:val="21"/>
                <w:szCs w:val="21"/>
              </w:rPr>
              <w:t>株</w:t>
            </w:r>
          </w:p>
        </w:tc>
        <w:tc>
          <w:tcPr>
            <w:tcW w:w="757" w:type="pct"/>
            <w:vAlign w:val="center"/>
          </w:tcPr>
          <w:p w14:paraId="1EC76CA8">
            <w:pPr>
              <w:widowControl/>
              <w:spacing w:line="240" w:lineRule="auto"/>
              <w:ind w:firstLine="0" w:firstLineChars="0"/>
              <w:jc w:val="center"/>
              <w:rPr>
                <w:kern w:val="0"/>
                <w:sz w:val="21"/>
                <w:szCs w:val="24"/>
              </w:rPr>
            </w:pPr>
            <w:r>
              <w:rPr>
                <w:rFonts w:hint="eastAsia"/>
                <w:kern w:val="0"/>
                <w:sz w:val="21"/>
                <w:szCs w:val="24"/>
              </w:rPr>
              <w:t>1029</w:t>
            </w:r>
          </w:p>
        </w:tc>
        <w:tc>
          <w:tcPr>
            <w:tcW w:w="757" w:type="pct"/>
            <w:vAlign w:val="center"/>
          </w:tcPr>
          <w:p w14:paraId="3312F936">
            <w:pPr>
              <w:widowControl/>
              <w:spacing w:line="240" w:lineRule="auto"/>
              <w:ind w:firstLine="0" w:firstLineChars="0"/>
              <w:jc w:val="center"/>
              <w:rPr>
                <w:kern w:val="0"/>
                <w:sz w:val="21"/>
                <w:szCs w:val="24"/>
              </w:rPr>
            </w:pPr>
            <w:r>
              <w:rPr>
                <w:rFonts w:hint="eastAsia"/>
                <w:kern w:val="0"/>
                <w:sz w:val="21"/>
                <w:szCs w:val="24"/>
              </w:rPr>
              <w:t>1029</w:t>
            </w:r>
          </w:p>
        </w:tc>
        <w:tc>
          <w:tcPr>
            <w:tcW w:w="1214" w:type="pct"/>
            <w:vAlign w:val="center"/>
          </w:tcPr>
          <w:p w14:paraId="0DBB61AC">
            <w:pPr>
              <w:spacing w:line="240" w:lineRule="auto"/>
              <w:ind w:firstLine="0" w:firstLineChars="0"/>
              <w:jc w:val="left"/>
              <w:rPr>
                <w:kern w:val="0"/>
                <w:sz w:val="21"/>
                <w:szCs w:val="24"/>
              </w:rPr>
            </w:pPr>
            <w:r>
              <w:rPr>
                <w:rFonts w:hint="eastAsia" w:ascii="宋体" w:hAnsi="宋体" w:eastAsia="宋体" w:cs="宋体"/>
                <w:color w:val="000000"/>
                <w:kern w:val="0"/>
                <w:sz w:val="22"/>
                <w:szCs w:val="22"/>
              </w:rPr>
              <w:t>2019.11～2019.12</w:t>
            </w:r>
          </w:p>
        </w:tc>
      </w:tr>
      <w:tr w14:paraId="095512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08" w:type="pct"/>
            <w:vMerge w:val="continue"/>
            <w:shd w:val="clear" w:color="auto" w:fill="auto"/>
            <w:noWrap/>
            <w:vAlign w:val="center"/>
          </w:tcPr>
          <w:p w14:paraId="41FCF5E6">
            <w:pPr>
              <w:widowControl/>
              <w:spacing w:line="240" w:lineRule="auto"/>
              <w:ind w:firstLine="0" w:firstLineChars="0"/>
              <w:jc w:val="center"/>
              <w:rPr>
                <w:kern w:val="0"/>
                <w:sz w:val="21"/>
                <w:szCs w:val="24"/>
              </w:rPr>
            </w:pPr>
          </w:p>
        </w:tc>
        <w:tc>
          <w:tcPr>
            <w:tcW w:w="908" w:type="pct"/>
            <w:shd w:val="clear" w:color="auto" w:fill="auto"/>
            <w:noWrap/>
            <w:vAlign w:val="center"/>
          </w:tcPr>
          <w:p w14:paraId="16F503FB">
            <w:pPr>
              <w:widowControl/>
              <w:spacing w:line="240" w:lineRule="auto"/>
              <w:ind w:firstLine="0" w:firstLineChars="0"/>
              <w:jc w:val="center"/>
              <w:rPr>
                <w:kern w:val="0"/>
                <w:sz w:val="21"/>
                <w:szCs w:val="24"/>
              </w:rPr>
            </w:pPr>
            <w:r>
              <w:rPr>
                <w:rFonts w:hint="eastAsia"/>
                <w:kern w:val="0"/>
                <w:sz w:val="21"/>
                <w:szCs w:val="24"/>
              </w:rPr>
              <w:t>灌木</w:t>
            </w:r>
          </w:p>
        </w:tc>
        <w:tc>
          <w:tcPr>
            <w:tcW w:w="456" w:type="pct"/>
            <w:shd w:val="clear" w:color="auto" w:fill="auto"/>
            <w:noWrap/>
            <w:vAlign w:val="center"/>
          </w:tcPr>
          <w:p w14:paraId="72AB25C7">
            <w:pPr>
              <w:widowControl/>
              <w:spacing w:line="240" w:lineRule="auto"/>
              <w:ind w:firstLine="0" w:firstLineChars="0"/>
              <w:jc w:val="center"/>
              <w:rPr>
                <w:kern w:val="0"/>
                <w:sz w:val="21"/>
                <w:szCs w:val="24"/>
              </w:rPr>
            </w:pPr>
            <w:r>
              <w:rPr>
                <w:rFonts w:hint="eastAsia"/>
                <w:kern w:val="0"/>
                <w:sz w:val="21"/>
                <w:szCs w:val="24"/>
              </w:rPr>
              <w:t>株</w:t>
            </w:r>
          </w:p>
        </w:tc>
        <w:tc>
          <w:tcPr>
            <w:tcW w:w="757" w:type="pct"/>
            <w:vAlign w:val="center"/>
          </w:tcPr>
          <w:p w14:paraId="4A596B33">
            <w:pPr>
              <w:widowControl/>
              <w:spacing w:line="240" w:lineRule="auto"/>
              <w:ind w:firstLine="0" w:firstLineChars="0"/>
              <w:jc w:val="center"/>
              <w:rPr>
                <w:kern w:val="0"/>
                <w:sz w:val="21"/>
                <w:szCs w:val="24"/>
              </w:rPr>
            </w:pPr>
            <w:r>
              <w:rPr>
                <w:rFonts w:hint="eastAsia"/>
                <w:kern w:val="0"/>
                <w:sz w:val="21"/>
                <w:szCs w:val="24"/>
              </w:rPr>
              <w:t>910</w:t>
            </w:r>
          </w:p>
        </w:tc>
        <w:tc>
          <w:tcPr>
            <w:tcW w:w="757" w:type="pct"/>
            <w:vAlign w:val="center"/>
          </w:tcPr>
          <w:p w14:paraId="040D6C46">
            <w:pPr>
              <w:widowControl/>
              <w:spacing w:line="240" w:lineRule="auto"/>
              <w:ind w:firstLine="0" w:firstLineChars="0"/>
              <w:jc w:val="center"/>
              <w:rPr>
                <w:kern w:val="0"/>
                <w:sz w:val="21"/>
                <w:szCs w:val="24"/>
              </w:rPr>
            </w:pPr>
            <w:r>
              <w:rPr>
                <w:rFonts w:hint="eastAsia"/>
                <w:kern w:val="0"/>
                <w:sz w:val="21"/>
                <w:szCs w:val="24"/>
              </w:rPr>
              <w:t>910</w:t>
            </w:r>
          </w:p>
        </w:tc>
        <w:tc>
          <w:tcPr>
            <w:tcW w:w="1214" w:type="pct"/>
          </w:tcPr>
          <w:p w14:paraId="6C5D9C4B">
            <w:pPr>
              <w:spacing w:line="240" w:lineRule="auto"/>
              <w:ind w:firstLine="0" w:firstLineChars="0"/>
              <w:rPr>
                <w:rFonts w:eastAsia="宋体"/>
                <w:sz w:val="21"/>
                <w:szCs w:val="24"/>
              </w:rPr>
            </w:pPr>
            <w:r>
              <w:rPr>
                <w:rFonts w:hint="eastAsia" w:ascii="宋体" w:hAnsi="宋体" w:eastAsia="宋体" w:cs="宋体"/>
                <w:color w:val="000000"/>
                <w:kern w:val="0"/>
                <w:sz w:val="22"/>
                <w:szCs w:val="22"/>
              </w:rPr>
              <w:t>2019.11～2019.12</w:t>
            </w:r>
          </w:p>
        </w:tc>
      </w:tr>
      <w:tr w14:paraId="69E039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08" w:type="pct"/>
            <w:vMerge w:val="continue"/>
            <w:shd w:val="clear" w:color="auto" w:fill="auto"/>
            <w:noWrap/>
            <w:vAlign w:val="center"/>
          </w:tcPr>
          <w:p w14:paraId="0205ABB3">
            <w:pPr>
              <w:widowControl/>
              <w:spacing w:line="240" w:lineRule="auto"/>
              <w:ind w:firstLine="0" w:firstLineChars="0"/>
              <w:jc w:val="center"/>
              <w:rPr>
                <w:kern w:val="0"/>
                <w:sz w:val="21"/>
                <w:szCs w:val="24"/>
              </w:rPr>
            </w:pPr>
          </w:p>
        </w:tc>
        <w:tc>
          <w:tcPr>
            <w:tcW w:w="908" w:type="pct"/>
            <w:shd w:val="clear" w:color="auto" w:fill="auto"/>
            <w:noWrap/>
            <w:vAlign w:val="center"/>
          </w:tcPr>
          <w:p w14:paraId="1F7A30D2">
            <w:pPr>
              <w:widowControl/>
              <w:spacing w:line="240" w:lineRule="auto"/>
              <w:ind w:firstLine="0" w:firstLineChars="0"/>
              <w:jc w:val="center"/>
              <w:rPr>
                <w:kern w:val="0"/>
                <w:sz w:val="21"/>
                <w:szCs w:val="24"/>
              </w:rPr>
            </w:pPr>
            <w:r>
              <w:rPr>
                <w:rFonts w:hint="eastAsia"/>
                <w:kern w:val="0"/>
                <w:sz w:val="21"/>
                <w:szCs w:val="24"/>
              </w:rPr>
              <w:t>花卉</w:t>
            </w:r>
          </w:p>
        </w:tc>
        <w:tc>
          <w:tcPr>
            <w:tcW w:w="456" w:type="pct"/>
            <w:shd w:val="clear" w:color="auto" w:fill="auto"/>
            <w:noWrap/>
            <w:vAlign w:val="center"/>
          </w:tcPr>
          <w:p w14:paraId="3F4BCC70">
            <w:pPr>
              <w:widowControl/>
              <w:spacing w:line="240" w:lineRule="auto"/>
              <w:ind w:firstLine="0" w:firstLineChars="0"/>
              <w:jc w:val="center"/>
              <w:rPr>
                <w:kern w:val="0"/>
                <w:sz w:val="21"/>
                <w:szCs w:val="24"/>
              </w:rPr>
            </w:pPr>
            <w:r>
              <w:rPr>
                <w:kern w:val="0"/>
                <w:sz w:val="21"/>
                <w:szCs w:val="24"/>
              </w:rPr>
              <w:t>m</w:t>
            </w:r>
            <w:r>
              <w:rPr>
                <w:kern w:val="0"/>
                <w:sz w:val="21"/>
                <w:szCs w:val="24"/>
                <w:vertAlign w:val="superscript"/>
              </w:rPr>
              <w:t>2</w:t>
            </w:r>
          </w:p>
        </w:tc>
        <w:tc>
          <w:tcPr>
            <w:tcW w:w="757" w:type="pct"/>
            <w:vAlign w:val="center"/>
          </w:tcPr>
          <w:p w14:paraId="59CF605D">
            <w:pPr>
              <w:widowControl/>
              <w:spacing w:line="240" w:lineRule="auto"/>
              <w:ind w:firstLine="0" w:firstLineChars="0"/>
              <w:jc w:val="center"/>
              <w:rPr>
                <w:kern w:val="0"/>
                <w:sz w:val="21"/>
                <w:szCs w:val="24"/>
              </w:rPr>
            </w:pPr>
            <w:r>
              <w:rPr>
                <w:rFonts w:hint="eastAsia"/>
                <w:kern w:val="0"/>
                <w:sz w:val="21"/>
                <w:szCs w:val="24"/>
              </w:rPr>
              <w:t>7711.22</w:t>
            </w:r>
          </w:p>
        </w:tc>
        <w:tc>
          <w:tcPr>
            <w:tcW w:w="757" w:type="pct"/>
            <w:vAlign w:val="center"/>
          </w:tcPr>
          <w:p w14:paraId="15EDB30B">
            <w:pPr>
              <w:widowControl/>
              <w:spacing w:line="240" w:lineRule="auto"/>
              <w:ind w:firstLine="0" w:firstLineChars="0"/>
              <w:jc w:val="center"/>
              <w:rPr>
                <w:kern w:val="0"/>
                <w:sz w:val="21"/>
                <w:szCs w:val="24"/>
              </w:rPr>
            </w:pPr>
            <w:r>
              <w:rPr>
                <w:rFonts w:hint="eastAsia"/>
                <w:kern w:val="0"/>
                <w:sz w:val="21"/>
                <w:szCs w:val="24"/>
              </w:rPr>
              <w:t>7711.22</w:t>
            </w:r>
          </w:p>
        </w:tc>
        <w:tc>
          <w:tcPr>
            <w:tcW w:w="1214" w:type="pct"/>
          </w:tcPr>
          <w:p w14:paraId="2609D0F1">
            <w:pPr>
              <w:spacing w:line="240" w:lineRule="auto"/>
              <w:ind w:hanging="52" w:firstLineChars="0"/>
              <w:rPr>
                <w:rFonts w:eastAsia="宋体"/>
                <w:sz w:val="21"/>
                <w:szCs w:val="24"/>
              </w:rPr>
            </w:pPr>
            <w:r>
              <w:rPr>
                <w:rFonts w:hint="eastAsia" w:ascii="宋体" w:hAnsi="宋体" w:eastAsia="宋体" w:cs="宋体"/>
                <w:color w:val="000000"/>
                <w:kern w:val="0"/>
                <w:sz w:val="22"/>
                <w:szCs w:val="22"/>
              </w:rPr>
              <w:t>2019.11～2019.12</w:t>
            </w:r>
          </w:p>
        </w:tc>
      </w:tr>
      <w:tr w14:paraId="0C3DEF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08" w:type="pct"/>
            <w:vMerge w:val="continue"/>
            <w:shd w:val="clear" w:color="auto" w:fill="auto"/>
            <w:noWrap/>
            <w:vAlign w:val="center"/>
          </w:tcPr>
          <w:p w14:paraId="45723177">
            <w:pPr>
              <w:widowControl/>
              <w:spacing w:line="240" w:lineRule="auto"/>
              <w:ind w:firstLine="0" w:firstLineChars="0"/>
              <w:jc w:val="center"/>
              <w:rPr>
                <w:kern w:val="0"/>
                <w:sz w:val="21"/>
                <w:szCs w:val="24"/>
              </w:rPr>
            </w:pPr>
          </w:p>
        </w:tc>
        <w:tc>
          <w:tcPr>
            <w:tcW w:w="908" w:type="pct"/>
            <w:shd w:val="clear" w:color="auto" w:fill="auto"/>
            <w:noWrap/>
            <w:vAlign w:val="center"/>
          </w:tcPr>
          <w:p w14:paraId="0E681065">
            <w:pPr>
              <w:widowControl/>
              <w:spacing w:line="240" w:lineRule="auto"/>
              <w:ind w:firstLine="0" w:firstLineChars="0"/>
              <w:jc w:val="center"/>
              <w:rPr>
                <w:kern w:val="0"/>
                <w:sz w:val="21"/>
                <w:szCs w:val="24"/>
              </w:rPr>
            </w:pPr>
            <w:r>
              <w:rPr>
                <w:rFonts w:hint="eastAsia"/>
                <w:kern w:val="0"/>
                <w:sz w:val="21"/>
                <w:szCs w:val="24"/>
              </w:rPr>
              <w:t>植草皮</w:t>
            </w:r>
          </w:p>
        </w:tc>
        <w:tc>
          <w:tcPr>
            <w:tcW w:w="456" w:type="pct"/>
            <w:shd w:val="clear" w:color="auto" w:fill="auto"/>
            <w:noWrap/>
            <w:vAlign w:val="center"/>
          </w:tcPr>
          <w:p w14:paraId="1F242909">
            <w:pPr>
              <w:widowControl/>
              <w:spacing w:line="240" w:lineRule="auto"/>
              <w:ind w:firstLine="0" w:firstLineChars="0"/>
              <w:jc w:val="center"/>
              <w:rPr>
                <w:kern w:val="0"/>
                <w:sz w:val="21"/>
                <w:szCs w:val="24"/>
              </w:rPr>
            </w:pPr>
            <w:r>
              <w:rPr>
                <w:kern w:val="0"/>
                <w:sz w:val="21"/>
                <w:szCs w:val="24"/>
              </w:rPr>
              <w:t>m</w:t>
            </w:r>
            <w:r>
              <w:rPr>
                <w:kern w:val="0"/>
                <w:sz w:val="21"/>
                <w:szCs w:val="24"/>
                <w:vertAlign w:val="superscript"/>
              </w:rPr>
              <w:t>2</w:t>
            </w:r>
          </w:p>
        </w:tc>
        <w:tc>
          <w:tcPr>
            <w:tcW w:w="757" w:type="pct"/>
            <w:vAlign w:val="center"/>
          </w:tcPr>
          <w:p w14:paraId="291A6F32">
            <w:pPr>
              <w:widowControl/>
              <w:spacing w:line="240" w:lineRule="auto"/>
              <w:ind w:firstLine="0" w:firstLineChars="0"/>
              <w:jc w:val="center"/>
              <w:rPr>
                <w:kern w:val="0"/>
                <w:sz w:val="21"/>
                <w:szCs w:val="24"/>
              </w:rPr>
            </w:pPr>
            <w:r>
              <w:rPr>
                <w:rFonts w:hint="eastAsia"/>
                <w:kern w:val="0"/>
                <w:sz w:val="21"/>
                <w:szCs w:val="24"/>
              </w:rPr>
              <w:t>21725.55</w:t>
            </w:r>
          </w:p>
        </w:tc>
        <w:tc>
          <w:tcPr>
            <w:tcW w:w="757" w:type="pct"/>
            <w:vAlign w:val="center"/>
          </w:tcPr>
          <w:p w14:paraId="61064F71">
            <w:pPr>
              <w:widowControl/>
              <w:spacing w:line="240" w:lineRule="auto"/>
              <w:ind w:firstLine="0" w:firstLineChars="0"/>
              <w:jc w:val="center"/>
              <w:rPr>
                <w:kern w:val="0"/>
                <w:sz w:val="21"/>
                <w:szCs w:val="24"/>
              </w:rPr>
            </w:pPr>
            <w:r>
              <w:rPr>
                <w:rFonts w:hint="eastAsia"/>
                <w:kern w:val="0"/>
                <w:sz w:val="21"/>
                <w:szCs w:val="24"/>
              </w:rPr>
              <w:t>21725.55</w:t>
            </w:r>
          </w:p>
        </w:tc>
        <w:tc>
          <w:tcPr>
            <w:tcW w:w="1214" w:type="pct"/>
          </w:tcPr>
          <w:p w14:paraId="494FEA37">
            <w:pPr>
              <w:spacing w:line="240" w:lineRule="auto"/>
              <w:ind w:firstLine="0" w:firstLineChars="0"/>
              <w:rPr>
                <w:rFonts w:eastAsia="宋体"/>
                <w:sz w:val="21"/>
                <w:szCs w:val="24"/>
              </w:rPr>
            </w:pPr>
            <w:r>
              <w:rPr>
                <w:rFonts w:hint="eastAsia" w:ascii="宋体" w:hAnsi="宋体" w:eastAsia="宋体" w:cs="宋体"/>
                <w:color w:val="000000"/>
                <w:kern w:val="0"/>
                <w:sz w:val="22"/>
                <w:szCs w:val="22"/>
              </w:rPr>
              <w:t>2019.11～2019.12</w:t>
            </w:r>
          </w:p>
        </w:tc>
      </w:tr>
      <w:tr w14:paraId="5C2342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08" w:type="pct"/>
            <w:vMerge w:val="continue"/>
            <w:shd w:val="clear" w:color="auto" w:fill="auto"/>
            <w:noWrap/>
            <w:vAlign w:val="center"/>
          </w:tcPr>
          <w:p w14:paraId="1176AB6C">
            <w:pPr>
              <w:widowControl/>
              <w:spacing w:line="240" w:lineRule="auto"/>
              <w:ind w:firstLine="0" w:firstLineChars="0"/>
              <w:jc w:val="center"/>
              <w:rPr>
                <w:kern w:val="0"/>
                <w:sz w:val="21"/>
                <w:szCs w:val="24"/>
              </w:rPr>
            </w:pPr>
          </w:p>
        </w:tc>
        <w:tc>
          <w:tcPr>
            <w:tcW w:w="908" w:type="pct"/>
            <w:shd w:val="clear" w:color="auto" w:fill="auto"/>
            <w:noWrap/>
            <w:vAlign w:val="center"/>
          </w:tcPr>
          <w:p w14:paraId="22E44444">
            <w:pPr>
              <w:widowControl/>
              <w:spacing w:line="240" w:lineRule="auto"/>
              <w:ind w:firstLine="0" w:firstLineChars="0"/>
              <w:jc w:val="center"/>
              <w:rPr>
                <w:kern w:val="0"/>
                <w:sz w:val="21"/>
                <w:szCs w:val="24"/>
              </w:rPr>
            </w:pPr>
            <w:r>
              <w:rPr>
                <w:rFonts w:hint="eastAsia"/>
                <w:kern w:val="0"/>
                <w:sz w:val="21"/>
                <w:szCs w:val="24"/>
              </w:rPr>
              <w:t>植草砖</w:t>
            </w:r>
          </w:p>
        </w:tc>
        <w:tc>
          <w:tcPr>
            <w:tcW w:w="456" w:type="pct"/>
            <w:shd w:val="clear" w:color="auto" w:fill="auto"/>
            <w:noWrap/>
            <w:vAlign w:val="center"/>
          </w:tcPr>
          <w:p w14:paraId="5FF2E846">
            <w:pPr>
              <w:widowControl/>
              <w:spacing w:line="240" w:lineRule="auto"/>
              <w:ind w:firstLine="0" w:firstLineChars="0"/>
              <w:jc w:val="center"/>
              <w:rPr>
                <w:kern w:val="0"/>
                <w:sz w:val="21"/>
                <w:szCs w:val="24"/>
              </w:rPr>
            </w:pPr>
            <w:r>
              <w:rPr>
                <w:kern w:val="0"/>
                <w:sz w:val="21"/>
                <w:szCs w:val="24"/>
              </w:rPr>
              <w:t>m</w:t>
            </w:r>
            <w:r>
              <w:rPr>
                <w:kern w:val="0"/>
                <w:sz w:val="21"/>
                <w:szCs w:val="24"/>
                <w:vertAlign w:val="superscript"/>
              </w:rPr>
              <w:t>2</w:t>
            </w:r>
          </w:p>
        </w:tc>
        <w:tc>
          <w:tcPr>
            <w:tcW w:w="757" w:type="pct"/>
            <w:vAlign w:val="center"/>
          </w:tcPr>
          <w:p w14:paraId="04DFB60F">
            <w:pPr>
              <w:widowControl/>
              <w:spacing w:line="240" w:lineRule="auto"/>
              <w:ind w:firstLine="0" w:firstLineChars="0"/>
              <w:jc w:val="center"/>
              <w:rPr>
                <w:kern w:val="0"/>
                <w:sz w:val="21"/>
                <w:szCs w:val="24"/>
              </w:rPr>
            </w:pPr>
            <w:r>
              <w:rPr>
                <w:rFonts w:hint="eastAsia"/>
                <w:kern w:val="0"/>
                <w:sz w:val="21"/>
                <w:szCs w:val="24"/>
              </w:rPr>
              <w:t>2632.27</w:t>
            </w:r>
          </w:p>
        </w:tc>
        <w:tc>
          <w:tcPr>
            <w:tcW w:w="757" w:type="pct"/>
            <w:vAlign w:val="center"/>
          </w:tcPr>
          <w:p w14:paraId="79ECE0A2">
            <w:pPr>
              <w:widowControl/>
              <w:spacing w:line="240" w:lineRule="auto"/>
              <w:ind w:firstLine="0" w:firstLineChars="0"/>
              <w:jc w:val="center"/>
              <w:rPr>
                <w:kern w:val="0"/>
                <w:sz w:val="21"/>
                <w:szCs w:val="24"/>
              </w:rPr>
            </w:pPr>
            <w:r>
              <w:rPr>
                <w:rFonts w:hint="eastAsia"/>
                <w:kern w:val="0"/>
                <w:sz w:val="21"/>
                <w:szCs w:val="24"/>
              </w:rPr>
              <w:t>2632.27</w:t>
            </w:r>
          </w:p>
        </w:tc>
        <w:tc>
          <w:tcPr>
            <w:tcW w:w="1214" w:type="pct"/>
          </w:tcPr>
          <w:p w14:paraId="25590799">
            <w:pPr>
              <w:spacing w:line="240" w:lineRule="auto"/>
              <w:ind w:firstLine="0" w:firstLineChars="0"/>
              <w:rPr>
                <w:rFonts w:eastAsia="宋体"/>
                <w:sz w:val="21"/>
                <w:szCs w:val="24"/>
              </w:rPr>
            </w:pPr>
            <w:r>
              <w:rPr>
                <w:rFonts w:hint="eastAsia" w:ascii="宋体" w:hAnsi="宋体" w:eastAsia="宋体" w:cs="宋体"/>
                <w:color w:val="000000"/>
                <w:kern w:val="0"/>
                <w:sz w:val="22"/>
                <w:szCs w:val="22"/>
              </w:rPr>
              <w:t>2019.11～2019.12</w:t>
            </w:r>
          </w:p>
        </w:tc>
      </w:tr>
      <w:tr w14:paraId="4BB404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08" w:type="pct"/>
            <w:vMerge w:val="continue"/>
            <w:shd w:val="clear" w:color="auto" w:fill="auto"/>
            <w:noWrap/>
            <w:vAlign w:val="center"/>
          </w:tcPr>
          <w:p w14:paraId="5C773A84">
            <w:pPr>
              <w:widowControl/>
              <w:spacing w:line="240" w:lineRule="auto"/>
              <w:ind w:firstLine="0" w:firstLineChars="0"/>
              <w:jc w:val="center"/>
              <w:rPr>
                <w:kern w:val="0"/>
                <w:sz w:val="21"/>
                <w:szCs w:val="24"/>
              </w:rPr>
            </w:pPr>
          </w:p>
        </w:tc>
        <w:tc>
          <w:tcPr>
            <w:tcW w:w="908" w:type="pct"/>
            <w:shd w:val="clear" w:color="auto" w:fill="auto"/>
            <w:noWrap/>
            <w:vAlign w:val="center"/>
          </w:tcPr>
          <w:p w14:paraId="38ED0E06">
            <w:pPr>
              <w:widowControl/>
              <w:spacing w:line="240" w:lineRule="auto"/>
              <w:ind w:firstLine="0" w:firstLineChars="0"/>
              <w:jc w:val="center"/>
              <w:rPr>
                <w:kern w:val="0"/>
                <w:sz w:val="21"/>
                <w:szCs w:val="24"/>
              </w:rPr>
            </w:pPr>
            <w:r>
              <w:rPr>
                <w:rFonts w:hint="eastAsia"/>
                <w:kern w:val="0"/>
                <w:sz w:val="21"/>
                <w:szCs w:val="24"/>
              </w:rPr>
              <w:t>竹类</w:t>
            </w:r>
          </w:p>
        </w:tc>
        <w:tc>
          <w:tcPr>
            <w:tcW w:w="456" w:type="pct"/>
            <w:shd w:val="clear" w:color="auto" w:fill="auto"/>
            <w:noWrap/>
            <w:vAlign w:val="center"/>
          </w:tcPr>
          <w:p w14:paraId="30762CAB">
            <w:pPr>
              <w:widowControl/>
              <w:spacing w:line="240" w:lineRule="auto"/>
              <w:ind w:firstLine="0" w:firstLineChars="0"/>
              <w:jc w:val="center"/>
              <w:rPr>
                <w:kern w:val="0"/>
                <w:sz w:val="21"/>
                <w:szCs w:val="24"/>
              </w:rPr>
            </w:pPr>
            <w:r>
              <w:rPr>
                <w:rFonts w:hint="eastAsia"/>
                <w:kern w:val="0"/>
                <w:sz w:val="21"/>
                <w:szCs w:val="24"/>
              </w:rPr>
              <w:t>株</w:t>
            </w:r>
          </w:p>
        </w:tc>
        <w:tc>
          <w:tcPr>
            <w:tcW w:w="757" w:type="pct"/>
            <w:vAlign w:val="center"/>
          </w:tcPr>
          <w:p w14:paraId="693A9A65">
            <w:pPr>
              <w:widowControl/>
              <w:spacing w:line="240" w:lineRule="auto"/>
              <w:ind w:firstLine="0" w:firstLineChars="0"/>
              <w:jc w:val="center"/>
              <w:rPr>
                <w:kern w:val="0"/>
                <w:sz w:val="21"/>
                <w:szCs w:val="24"/>
              </w:rPr>
            </w:pPr>
            <w:r>
              <w:rPr>
                <w:rFonts w:hint="eastAsia"/>
                <w:kern w:val="0"/>
                <w:sz w:val="21"/>
                <w:szCs w:val="24"/>
              </w:rPr>
              <w:t>16</w:t>
            </w:r>
          </w:p>
        </w:tc>
        <w:tc>
          <w:tcPr>
            <w:tcW w:w="757" w:type="pct"/>
            <w:vAlign w:val="center"/>
          </w:tcPr>
          <w:p w14:paraId="17D9F2B9">
            <w:pPr>
              <w:widowControl/>
              <w:spacing w:line="240" w:lineRule="auto"/>
              <w:ind w:firstLine="0" w:firstLineChars="0"/>
              <w:jc w:val="center"/>
              <w:rPr>
                <w:kern w:val="0"/>
                <w:sz w:val="21"/>
                <w:szCs w:val="24"/>
              </w:rPr>
            </w:pPr>
            <w:r>
              <w:rPr>
                <w:rFonts w:hint="eastAsia"/>
                <w:kern w:val="0"/>
                <w:sz w:val="21"/>
                <w:szCs w:val="24"/>
              </w:rPr>
              <w:t>16</w:t>
            </w:r>
          </w:p>
        </w:tc>
        <w:tc>
          <w:tcPr>
            <w:tcW w:w="1214" w:type="pct"/>
          </w:tcPr>
          <w:p w14:paraId="67369A73">
            <w:pPr>
              <w:spacing w:line="240" w:lineRule="auto"/>
              <w:ind w:firstLine="0" w:firstLineChars="0"/>
              <w:rPr>
                <w:rFonts w:eastAsia="宋体"/>
                <w:sz w:val="21"/>
                <w:szCs w:val="24"/>
              </w:rPr>
            </w:pPr>
            <w:r>
              <w:rPr>
                <w:rFonts w:hint="eastAsia" w:ascii="宋体" w:hAnsi="宋体" w:eastAsia="宋体" w:cs="宋体"/>
                <w:color w:val="000000"/>
                <w:kern w:val="0"/>
                <w:sz w:val="22"/>
                <w:szCs w:val="22"/>
              </w:rPr>
              <w:t>2019.11～2019.12</w:t>
            </w:r>
          </w:p>
        </w:tc>
      </w:tr>
      <w:tr w14:paraId="401293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08" w:type="pct"/>
            <w:vMerge w:val="continue"/>
            <w:shd w:val="clear" w:color="auto" w:fill="auto"/>
            <w:noWrap/>
            <w:vAlign w:val="center"/>
          </w:tcPr>
          <w:p w14:paraId="32551AF5">
            <w:pPr>
              <w:widowControl/>
              <w:spacing w:line="240" w:lineRule="auto"/>
              <w:ind w:firstLine="0" w:firstLineChars="0"/>
              <w:jc w:val="center"/>
              <w:rPr>
                <w:kern w:val="0"/>
                <w:sz w:val="21"/>
                <w:szCs w:val="24"/>
              </w:rPr>
            </w:pPr>
          </w:p>
        </w:tc>
        <w:tc>
          <w:tcPr>
            <w:tcW w:w="908" w:type="pct"/>
            <w:shd w:val="clear" w:color="auto" w:fill="auto"/>
            <w:noWrap/>
            <w:vAlign w:val="center"/>
          </w:tcPr>
          <w:p w14:paraId="0294E965">
            <w:pPr>
              <w:widowControl/>
              <w:spacing w:line="240" w:lineRule="auto"/>
              <w:ind w:firstLine="0" w:firstLineChars="0"/>
              <w:jc w:val="center"/>
              <w:rPr>
                <w:kern w:val="0"/>
                <w:sz w:val="21"/>
                <w:szCs w:val="24"/>
              </w:rPr>
            </w:pPr>
            <w:r>
              <w:rPr>
                <w:rFonts w:hint="eastAsia"/>
                <w:kern w:val="0"/>
                <w:sz w:val="21"/>
                <w:szCs w:val="24"/>
              </w:rPr>
              <w:t>攀缘植物</w:t>
            </w:r>
          </w:p>
        </w:tc>
        <w:tc>
          <w:tcPr>
            <w:tcW w:w="456" w:type="pct"/>
            <w:shd w:val="clear" w:color="auto" w:fill="auto"/>
            <w:noWrap/>
            <w:vAlign w:val="center"/>
          </w:tcPr>
          <w:p w14:paraId="3D6CDB25">
            <w:pPr>
              <w:widowControl/>
              <w:spacing w:line="240" w:lineRule="auto"/>
              <w:ind w:firstLine="0" w:firstLineChars="0"/>
              <w:jc w:val="center"/>
              <w:rPr>
                <w:kern w:val="0"/>
                <w:sz w:val="21"/>
                <w:szCs w:val="24"/>
              </w:rPr>
            </w:pPr>
            <w:r>
              <w:rPr>
                <w:rFonts w:hint="eastAsia"/>
                <w:kern w:val="0"/>
                <w:sz w:val="21"/>
                <w:szCs w:val="24"/>
              </w:rPr>
              <w:t>株</w:t>
            </w:r>
          </w:p>
        </w:tc>
        <w:tc>
          <w:tcPr>
            <w:tcW w:w="757" w:type="pct"/>
            <w:vAlign w:val="center"/>
          </w:tcPr>
          <w:p w14:paraId="006A5C1E">
            <w:pPr>
              <w:widowControl/>
              <w:spacing w:line="240" w:lineRule="auto"/>
              <w:ind w:firstLine="0" w:firstLineChars="0"/>
              <w:jc w:val="center"/>
              <w:rPr>
                <w:kern w:val="0"/>
                <w:sz w:val="21"/>
                <w:szCs w:val="24"/>
              </w:rPr>
            </w:pPr>
            <w:r>
              <w:rPr>
                <w:rFonts w:hint="eastAsia"/>
                <w:kern w:val="0"/>
                <w:sz w:val="21"/>
                <w:szCs w:val="24"/>
              </w:rPr>
              <w:t>375</w:t>
            </w:r>
          </w:p>
        </w:tc>
        <w:tc>
          <w:tcPr>
            <w:tcW w:w="757" w:type="pct"/>
            <w:vAlign w:val="center"/>
          </w:tcPr>
          <w:p w14:paraId="2C686887">
            <w:pPr>
              <w:widowControl/>
              <w:spacing w:line="240" w:lineRule="auto"/>
              <w:ind w:firstLine="0" w:firstLineChars="0"/>
              <w:jc w:val="center"/>
              <w:rPr>
                <w:kern w:val="0"/>
                <w:sz w:val="21"/>
                <w:szCs w:val="24"/>
              </w:rPr>
            </w:pPr>
            <w:r>
              <w:rPr>
                <w:rFonts w:hint="eastAsia"/>
                <w:kern w:val="0"/>
                <w:sz w:val="21"/>
                <w:szCs w:val="24"/>
              </w:rPr>
              <w:t>375</w:t>
            </w:r>
          </w:p>
        </w:tc>
        <w:tc>
          <w:tcPr>
            <w:tcW w:w="1214" w:type="pct"/>
          </w:tcPr>
          <w:p w14:paraId="2C78C9F1">
            <w:pPr>
              <w:spacing w:line="240" w:lineRule="auto"/>
              <w:ind w:firstLine="0" w:firstLineChars="0"/>
              <w:rPr>
                <w:rFonts w:eastAsia="宋体"/>
                <w:sz w:val="21"/>
                <w:szCs w:val="24"/>
              </w:rPr>
            </w:pPr>
            <w:r>
              <w:rPr>
                <w:rFonts w:hint="eastAsia" w:ascii="宋体" w:hAnsi="宋体" w:eastAsia="宋体" w:cs="宋体"/>
                <w:color w:val="000000"/>
                <w:kern w:val="0"/>
                <w:sz w:val="22"/>
                <w:szCs w:val="22"/>
              </w:rPr>
              <w:t>2019.11～2019.12</w:t>
            </w:r>
          </w:p>
        </w:tc>
      </w:tr>
      <w:tr w14:paraId="664095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08" w:type="pct"/>
            <w:vMerge w:val="restart"/>
            <w:shd w:val="clear" w:color="auto" w:fill="auto"/>
            <w:noWrap/>
            <w:vAlign w:val="center"/>
          </w:tcPr>
          <w:p w14:paraId="69E16C02">
            <w:pPr>
              <w:widowControl/>
              <w:spacing w:line="240" w:lineRule="auto"/>
              <w:ind w:firstLine="0" w:firstLineChars="0"/>
              <w:jc w:val="center"/>
              <w:rPr>
                <w:kern w:val="0"/>
                <w:sz w:val="21"/>
                <w:szCs w:val="24"/>
              </w:rPr>
            </w:pPr>
            <w:r>
              <w:rPr>
                <w:rFonts w:hint="eastAsia"/>
                <w:kern w:val="0"/>
                <w:sz w:val="21"/>
                <w:szCs w:val="24"/>
              </w:rPr>
              <w:t>道路及广场区</w:t>
            </w:r>
          </w:p>
        </w:tc>
        <w:tc>
          <w:tcPr>
            <w:tcW w:w="908" w:type="pct"/>
            <w:shd w:val="clear" w:color="auto" w:fill="auto"/>
            <w:noWrap/>
            <w:vAlign w:val="center"/>
          </w:tcPr>
          <w:p w14:paraId="3FDB813A">
            <w:pPr>
              <w:widowControl/>
              <w:spacing w:line="240" w:lineRule="auto"/>
              <w:ind w:firstLine="0" w:firstLineChars="0"/>
              <w:jc w:val="center"/>
              <w:rPr>
                <w:kern w:val="0"/>
                <w:sz w:val="21"/>
                <w:szCs w:val="24"/>
              </w:rPr>
            </w:pPr>
            <w:r>
              <w:rPr>
                <w:rFonts w:hint="eastAsia"/>
                <w:kern w:val="0"/>
                <w:sz w:val="21"/>
                <w:szCs w:val="24"/>
              </w:rPr>
              <w:t>乔木</w:t>
            </w:r>
          </w:p>
        </w:tc>
        <w:tc>
          <w:tcPr>
            <w:tcW w:w="456" w:type="pct"/>
            <w:shd w:val="clear" w:color="auto" w:fill="auto"/>
            <w:noWrap/>
            <w:vAlign w:val="center"/>
          </w:tcPr>
          <w:p w14:paraId="117ABED6">
            <w:pPr>
              <w:widowControl/>
              <w:spacing w:line="240" w:lineRule="auto"/>
              <w:ind w:firstLine="0" w:firstLineChars="0"/>
              <w:jc w:val="center"/>
              <w:rPr>
                <w:kern w:val="0"/>
                <w:sz w:val="21"/>
                <w:szCs w:val="24"/>
              </w:rPr>
            </w:pPr>
            <w:r>
              <w:rPr>
                <w:rFonts w:hint="eastAsia"/>
                <w:snapToGrid w:val="0"/>
                <w:sz w:val="21"/>
                <w:szCs w:val="21"/>
              </w:rPr>
              <w:t>株</w:t>
            </w:r>
          </w:p>
        </w:tc>
        <w:tc>
          <w:tcPr>
            <w:tcW w:w="757" w:type="pct"/>
            <w:vAlign w:val="center"/>
          </w:tcPr>
          <w:p w14:paraId="03DA4F95">
            <w:pPr>
              <w:widowControl/>
              <w:spacing w:line="240" w:lineRule="auto"/>
              <w:ind w:firstLine="0" w:firstLineChars="0"/>
              <w:jc w:val="center"/>
              <w:rPr>
                <w:kern w:val="0"/>
                <w:sz w:val="21"/>
                <w:szCs w:val="24"/>
              </w:rPr>
            </w:pPr>
            <w:r>
              <w:rPr>
                <w:rFonts w:hint="eastAsia"/>
                <w:kern w:val="0"/>
                <w:sz w:val="21"/>
                <w:szCs w:val="24"/>
              </w:rPr>
              <w:t>100</w:t>
            </w:r>
          </w:p>
        </w:tc>
        <w:tc>
          <w:tcPr>
            <w:tcW w:w="757" w:type="pct"/>
            <w:vAlign w:val="center"/>
          </w:tcPr>
          <w:p w14:paraId="5AFA1807">
            <w:pPr>
              <w:widowControl/>
              <w:spacing w:line="240" w:lineRule="auto"/>
              <w:ind w:firstLine="0" w:firstLineChars="0"/>
              <w:jc w:val="center"/>
              <w:rPr>
                <w:kern w:val="0"/>
                <w:sz w:val="21"/>
                <w:szCs w:val="24"/>
              </w:rPr>
            </w:pPr>
            <w:r>
              <w:rPr>
                <w:rFonts w:hint="eastAsia"/>
                <w:kern w:val="0"/>
                <w:sz w:val="21"/>
                <w:szCs w:val="24"/>
              </w:rPr>
              <w:t>100</w:t>
            </w:r>
          </w:p>
        </w:tc>
        <w:tc>
          <w:tcPr>
            <w:tcW w:w="1214" w:type="pct"/>
          </w:tcPr>
          <w:p w14:paraId="62173195">
            <w:pPr>
              <w:spacing w:line="240" w:lineRule="auto"/>
              <w:ind w:hanging="52" w:firstLineChars="0"/>
              <w:rPr>
                <w:rFonts w:eastAsia="宋体"/>
                <w:sz w:val="21"/>
                <w:szCs w:val="24"/>
              </w:rPr>
            </w:pPr>
            <w:r>
              <w:rPr>
                <w:rFonts w:hint="eastAsia" w:ascii="宋体" w:hAnsi="宋体" w:eastAsia="宋体" w:cs="宋体"/>
                <w:color w:val="000000"/>
                <w:kern w:val="0"/>
                <w:sz w:val="22"/>
                <w:szCs w:val="22"/>
              </w:rPr>
              <w:t>2019.11～2019.12</w:t>
            </w:r>
          </w:p>
        </w:tc>
      </w:tr>
      <w:tr w14:paraId="25031E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08" w:type="pct"/>
            <w:vMerge w:val="continue"/>
            <w:shd w:val="clear" w:color="auto" w:fill="auto"/>
            <w:noWrap/>
            <w:vAlign w:val="center"/>
          </w:tcPr>
          <w:p w14:paraId="6D995912">
            <w:pPr>
              <w:widowControl/>
              <w:spacing w:line="240" w:lineRule="auto"/>
              <w:ind w:firstLine="0" w:firstLineChars="0"/>
              <w:jc w:val="center"/>
              <w:rPr>
                <w:kern w:val="0"/>
                <w:sz w:val="21"/>
                <w:szCs w:val="24"/>
              </w:rPr>
            </w:pPr>
          </w:p>
        </w:tc>
        <w:tc>
          <w:tcPr>
            <w:tcW w:w="908" w:type="pct"/>
            <w:shd w:val="clear" w:color="auto" w:fill="auto"/>
            <w:noWrap/>
            <w:vAlign w:val="center"/>
          </w:tcPr>
          <w:p w14:paraId="57F7467C">
            <w:pPr>
              <w:widowControl/>
              <w:spacing w:line="240" w:lineRule="auto"/>
              <w:ind w:firstLine="0" w:firstLineChars="0"/>
              <w:jc w:val="center"/>
              <w:rPr>
                <w:kern w:val="0"/>
                <w:sz w:val="21"/>
                <w:szCs w:val="24"/>
              </w:rPr>
            </w:pPr>
            <w:r>
              <w:rPr>
                <w:rFonts w:hint="eastAsia"/>
                <w:kern w:val="0"/>
                <w:sz w:val="21"/>
                <w:szCs w:val="24"/>
              </w:rPr>
              <w:t>灌木</w:t>
            </w:r>
          </w:p>
        </w:tc>
        <w:tc>
          <w:tcPr>
            <w:tcW w:w="456" w:type="pct"/>
            <w:shd w:val="clear" w:color="auto" w:fill="auto"/>
            <w:noWrap/>
            <w:vAlign w:val="center"/>
          </w:tcPr>
          <w:p w14:paraId="7380F6D7">
            <w:pPr>
              <w:widowControl/>
              <w:spacing w:line="240" w:lineRule="auto"/>
              <w:ind w:firstLine="0" w:firstLineChars="0"/>
              <w:jc w:val="center"/>
              <w:rPr>
                <w:kern w:val="0"/>
                <w:sz w:val="21"/>
                <w:szCs w:val="24"/>
              </w:rPr>
            </w:pPr>
            <w:r>
              <w:rPr>
                <w:rFonts w:hint="eastAsia"/>
                <w:kern w:val="0"/>
                <w:sz w:val="21"/>
                <w:szCs w:val="24"/>
              </w:rPr>
              <w:t>株</w:t>
            </w:r>
          </w:p>
        </w:tc>
        <w:tc>
          <w:tcPr>
            <w:tcW w:w="757" w:type="pct"/>
            <w:vAlign w:val="center"/>
          </w:tcPr>
          <w:p w14:paraId="4F342A58">
            <w:pPr>
              <w:widowControl/>
              <w:spacing w:line="240" w:lineRule="auto"/>
              <w:ind w:firstLine="0" w:firstLineChars="0"/>
              <w:jc w:val="center"/>
              <w:rPr>
                <w:kern w:val="0"/>
                <w:sz w:val="21"/>
                <w:szCs w:val="24"/>
              </w:rPr>
            </w:pPr>
            <w:r>
              <w:rPr>
                <w:rFonts w:hint="eastAsia"/>
                <w:kern w:val="0"/>
                <w:sz w:val="21"/>
                <w:szCs w:val="24"/>
              </w:rPr>
              <w:t>45</w:t>
            </w:r>
          </w:p>
        </w:tc>
        <w:tc>
          <w:tcPr>
            <w:tcW w:w="757" w:type="pct"/>
            <w:vAlign w:val="center"/>
          </w:tcPr>
          <w:p w14:paraId="6CDF0C1B">
            <w:pPr>
              <w:widowControl/>
              <w:spacing w:line="240" w:lineRule="auto"/>
              <w:ind w:firstLine="0" w:firstLineChars="0"/>
              <w:jc w:val="center"/>
              <w:rPr>
                <w:kern w:val="0"/>
                <w:sz w:val="21"/>
                <w:szCs w:val="24"/>
              </w:rPr>
            </w:pPr>
            <w:r>
              <w:rPr>
                <w:rFonts w:hint="eastAsia"/>
                <w:kern w:val="0"/>
                <w:sz w:val="21"/>
                <w:szCs w:val="24"/>
              </w:rPr>
              <w:t>45</w:t>
            </w:r>
          </w:p>
        </w:tc>
        <w:tc>
          <w:tcPr>
            <w:tcW w:w="1214" w:type="pct"/>
          </w:tcPr>
          <w:p w14:paraId="423D4573">
            <w:pPr>
              <w:spacing w:line="240" w:lineRule="auto"/>
              <w:ind w:firstLine="0" w:firstLineChars="0"/>
              <w:rPr>
                <w:rFonts w:eastAsia="宋体"/>
                <w:sz w:val="21"/>
                <w:szCs w:val="24"/>
              </w:rPr>
            </w:pPr>
            <w:r>
              <w:rPr>
                <w:rFonts w:hint="eastAsia" w:ascii="宋体" w:hAnsi="宋体" w:eastAsia="宋体" w:cs="宋体"/>
                <w:color w:val="000000"/>
                <w:kern w:val="0"/>
                <w:sz w:val="22"/>
                <w:szCs w:val="22"/>
              </w:rPr>
              <w:t>2019.11～2019.12</w:t>
            </w:r>
          </w:p>
        </w:tc>
      </w:tr>
      <w:tr w14:paraId="439C57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08" w:type="pct"/>
            <w:vMerge w:val="continue"/>
            <w:shd w:val="clear" w:color="auto" w:fill="auto"/>
            <w:noWrap/>
            <w:vAlign w:val="center"/>
          </w:tcPr>
          <w:p w14:paraId="05D6EE99">
            <w:pPr>
              <w:widowControl/>
              <w:spacing w:line="240" w:lineRule="auto"/>
              <w:ind w:firstLine="0" w:firstLineChars="0"/>
              <w:jc w:val="center"/>
              <w:rPr>
                <w:kern w:val="0"/>
                <w:sz w:val="21"/>
                <w:szCs w:val="24"/>
              </w:rPr>
            </w:pPr>
          </w:p>
        </w:tc>
        <w:tc>
          <w:tcPr>
            <w:tcW w:w="908" w:type="pct"/>
            <w:shd w:val="clear" w:color="auto" w:fill="auto"/>
            <w:noWrap/>
            <w:vAlign w:val="center"/>
          </w:tcPr>
          <w:p w14:paraId="0B0A84A7">
            <w:pPr>
              <w:widowControl/>
              <w:spacing w:line="240" w:lineRule="auto"/>
              <w:ind w:firstLine="0" w:firstLineChars="0"/>
              <w:jc w:val="center"/>
              <w:rPr>
                <w:kern w:val="0"/>
                <w:sz w:val="21"/>
                <w:szCs w:val="24"/>
              </w:rPr>
            </w:pPr>
            <w:r>
              <w:rPr>
                <w:rFonts w:hint="eastAsia"/>
                <w:kern w:val="0"/>
                <w:sz w:val="21"/>
                <w:szCs w:val="24"/>
              </w:rPr>
              <w:t>花卉</w:t>
            </w:r>
          </w:p>
        </w:tc>
        <w:tc>
          <w:tcPr>
            <w:tcW w:w="456" w:type="pct"/>
            <w:shd w:val="clear" w:color="auto" w:fill="auto"/>
            <w:noWrap/>
            <w:vAlign w:val="center"/>
          </w:tcPr>
          <w:p w14:paraId="1E678205">
            <w:pPr>
              <w:widowControl/>
              <w:spacing w:line="240" w:lineRule="auto"/>
              <w:ind w:firstLine="0" w:firstLineChars="0"/>
              <w:jc w:val="center"/>
              <w:rPr>
                <w:kern w:val="0"/>
                <w:sz w:val="21"/>
                <w:szCs w:val="24"/>
              </w:rPr>
            </w:pPr>
            <w:r>
              <w:rPr>
                <w:kern w:val="0"/>
                <w:sz w:val="21"/>
                <w:szCs w:val="24"/>
              </w:rPr>
              <w:t>m</w:t>
            </w:r>
            <w:r>
              <w:rPr>
                <w:kern w:val="0"/>
                <w:sz w:val="21"/>
                <w:szCs w:val="24"/>
                <w:vertAlign w:val="superscript"/>
              </w:rPr>
              <w:t>2</w:t>
            </w:r>
          </w:p>
        </w:tc>
        <w:tc>
          <w:tcPr>
            <w:tcW w:w="757" w:type="pct"/>
            <w:vAlign w:val="center"/>
          </w:tcPr>
          <w:p w14:paraId="7E53FF5A">
            <w:pPr>
              <w:widowControl/>
              <w:spacing w:line="240" w:lineRule="auto"/>
              <w:ind w:firstLine="0" w:firstLineChars="0"/>
              <w:jc w:val="center"/>
              <w:rPr>
                <w:kern w:val="0"/>
                <w:sz w:val="21"/>
                <w:szCs w:val="24"/>
              </w:rPr>
            </w:pPr>
            <w:r>
              <w:rPr>
                <w:rFonts w:hint="eastAsia"/>
                <w:kern w:val="0"/>
                <w:sz w:val="21"/>
                <w:szCs w:val="24"/>
              </w:rPr>
              <w:t>308.07</w:t>
            </w:r>
          </w:p>
        </w:tc>
        <w:tc>
          <w:tcPr>
            <w:tcW w:w="757" w:type="pct"/>
            <w:vAlign w:val="center"/>
          </w:tcPr>
          <w:p w14:paraId="66C773D3">
            <w:pPr>
              <w:widowControl/>
              <w:spacing w:line="240" w:lineRule="auto"/>
              <w:ind w:firstLine="0" w:firstLineChars="0"/>
              <w:jc w:val="center"/>
              <w:rPr>
                <w:kern w:val="0"/>
                <w:sz w:val="21"/>
                <w:szCs w:val="24"/>
              </w:rPr>
            </w:pPr>
            <w:r>
              <w:rPr>
                <w:rFonts w:hint="eastAsia"/>
                <w:kern w:val="0"/>
                <w:sz w:val="21"/>
                <w:szCs w:val="24"/>
              </w:rPr>
              <w:t>308.07</w:t>
            </w:r>
          </w:p>
        </w:tc>
        <w:tc>
          <w:tcPr>
            <w:tcW w:w="1214" w:type="pct"/>
          </w:tcPr>
          <w:p w14:paraId="140D599A">
            <w:pPr>
              <w:spacing w:line="240" w:lineRule="auto"/>
              <w:ind w:firstLine="0" w:firstLineChars="0"/>
              <w:rPr>
                <w:rFonts w:eastAsia="宋体"/>
                <w:sz w:val="21"/>
                <w:szCs w:val="24"/>
              </w:rPr>
            </w:pPr>
            <w:r>
              <w:rPr>
                <w:rFonts w:hint="eastAsia" w:ascii="宋体" w:hAnsi="宋体" w:eastAsia="宋体" w:cs="宋体"/>
                <w:color w:val="000000"/>
                <w:kern w:val="0"/>
                <w:sz w:val="22"/>
                <w:szCs w:val="22"/>
              </w:rPr>
              <w:t>2019.11～2019.12</w:t>
            </w:r>
          </w:p>
        </w:tc>
      </w:tr>
      <w:tr w14:paraId="02661F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08" w:type="pct"/>
            <w:vMerge w:val="continue"/>
            <w:shd w:val="clear" w:color="auto" w:fill="auto"/>
            <w:noWrap/>
            <w:vAlign w:val="center"/>
          </w:tcPr>
          <w:p w14:paraId="70D669D0">
            <w:pPr>
              <w:widowControl/>
              <w:spacing w:line="240" w:lineRule="auto"/>
              <w:ind w:firstLine="0" w:firstLineChars="0"/>
              <w:jc w:val="center"/>
              <w:rPr>
                <w:kern w:val="0"/>
                <w:sz w:val="21"/>
                <w:szCs w:val="24"/>
              </w:rPr>
            </w:pPr>
          </w:p>
        </w:tc>
        <w:tc>
          <w:tcPr>
            <w:tcW w:w="908" w:type="pct"/>
            <w:shd w:val="clear" w:color="auto" w:fill="auto"/>
            <w:noWrap/>
            <w:vAlign w:val="center"/>
          </w:tcPr>
          <w:p w14:paraId="75B7C580">
            <w:pPr>
              <w:widowControl/>
              <w:spacing w:line="240" w:lineRule="auto"/>
              <w:ind w:firstLine="0" w:firstLineChars="0"/>
              <w:jc w:val="center"/>
              <w:rPr>
                <w:kern w:val="0"/>
                <w:sz w:val="21"/>
                <w:szCs w:val="24"/>
              </w:rPr>
            </w:pPr>
            <w:r>
              <w:rPr>
                <w:rFonts w:hint="eastAsia"/>
                <w:kern w:val="0"/>
                <w:sz w:val="21"/>
                <w:szCs w:val="24"/>
              </w:rPr>
              <w:t>植草砖</w:t>
            </w:r>
          </w:p>
        </w:tc>
        <w:tc>
          <w:tcPr>
            <w:tcW w:w="456" w:type="pct"/>
            <w:shd w:val="clear" w:color="auto" w:fill="auto"/>
            <w:noWrap/>
            <w:vAlign w:val="center"/>
          </w:tcPr>
          <w:p w14:paraId="20E0A420">
            <w:pPr>
              <w:widowControl/>
              <w:spacing w:line="240" w:lineRule="auto"/>
              <w:ind w:firstLine="0" w:firstLineChars="0"/>
              <w:jc w:val="center"/>
              <w:rPr>
                <w:kern w:val="0"/>
                <w:sz w:val="21"/>
                <w:szCs w:val="24"/>
              </w:rPr>
            </w:pPr>
            <w:r>
              <w:rPr>
                <w:kern w:val="0"/>
                <w:sz w:val="21"/>
                <w:szCs w:val="24"/>
              </w:rPr>
              <w:t>m</w:t>
            </w:r>
            <w:r>
              <w:rPr>
                <w:kern w:val="0"/>
                <w:sz w:val="21"/>
                <w:szCs w:val="24"/>
                <w:vertAlign w:val="superscript"/>
              </w:rPr>
              <w:t>2</w:t>
            </w:r>
          </w:p>
        </w:tc>
        <w:tc>
          <w:tcPr>
            <w:tcW w:w="757" w:type="pct"/>
            <w:vAlign w:val="center"/>
          </w:tcPr>
          <w:p w14:paraId="643B0394">
            <w:pPr>
              <w:widowControl/>
              <w:spacing w:line="240" w:lineRule="auto"/>
              <w:ind w:firstLine="0" w:firstLineChars="0"/>
              <w:jc w:val="center"/>
              <w:rPr>
                <w:kern w:val="0"/>
                <w:sz w:val="21"/>
                <w:szCs w:val="24"/>
              </w:rPr>
            </w:pPr>
            <w:r>
              <w:rPr>
                <w:rFonts w:hint="eastAsia"/>
                <w:kern w:val="0"/>
                <w:sz w:val="21"/>
                <w:szCs w:val="24"/>
              </w:rPr>
              <w:t>1118</w:t>
            </w:r>
          </w:p>
        </w:tc>
        <w:tc>
          <w:tcPr>
            <w:tcW w:w="757" w:type="pct"/>
            <w:vAlign w:val="center"/>
          </w:tcPr>
          <w:p w14:paraId="03B04F14">
            <w:pPr>
              <w:widowControl/>
              <w:spacing w:line="240" w:lineRule="auto"/>
              <w:ind w:firstLine="0" w:firstLineChars="0"/>
              <w:jc w:val="center"/>
              <w:rPr>
                <w:kern w:val="0"/>
                <w:sz w:val="21"/>
                <w:szCs w:val="24"/>
              </w:rPr>
            </w:pPr>
            <w:r>
              <w:rPr>
                <w:rFonts w:hint="eastAsia"/>
                <w:kern w:val="0"/>
                <w:sz w:val="21"/>
                <w:szCs w:val="24"/>
              </w:rPr>
              <w:t>1118</w:t>
            </w:r>
          </w:p>
        </w:tc>
        <w:tc>
          <w:tcPr>
            <w:tcW w:w="1214" w:type="pct"/>
          </w:tcPr>
          <w:p w14:paraId="23B042C9">
            <w:pPr>
              <w:spacing w:line="240" w:lineRule="auto"/>
              <w:ind w:firstLine="0" w:firstLineChars="0"/>
              <w:rPr>
                <w:rFonts w:eastAsia="宋体"/>
                <w:sz w:val="21"/>
                <w:szCs w:val="24"/>
              </w:rPr>
            </w:pPr>
            <w:r>
              <w:rPr>
                <w:rFonts w:hint="eastAsia" w:ascii="宋体" w:hAnsi="宋体" w:eastAsia="宋体" w:cs="宋体"/>
                <w:color w:val="000000"/>
                <w:kern w:val="0"/>
                <w:sz w:val="22"/>
                <w:szCs w:val="22"/>
              </w:rPr>
              <w:t>2019.11～2019.12</w:t>
            </w:r>
          </w:p>
        </w:tc>
      </w:tr>
    </w:tbl>
    <w:p w14:paraId="5C1E8345">
      <w:pPr>
        <w:pStyle w:val="97"/>
        <w:ind w:firstLine="560"/>
      </w:pPr>
    </w:p>
    <w:p w14:paraId="76D54360">
      <w:pPr>
        <w:pStyle w:val="4"/>
      </w:pPr>
      <w:r>
        <w:t>3.5.3 临时措施</w:t>
      </w:r>
    </w:p>
    <w:p w14:paraId="00FA4FCB">
      <w:r>
        <w:t>（1）临时措施实施情况</w:t>
      </w:r>
    </w:p>
    <w:p w14:paraId="0E1AAC41">
      <w:bookmarkStart w:id="94" w:name="_Toc199823213"/>
      <w:bookmarkStart w:id="95" w:name="_Toc210197723"/>
      <w:r>
        <w:rPr>
          <w:rFonts w:hint="eastAsia"/>
        </w:rPr>
        <w:t>根据调查结果，主体具有水土保持功能的临时设施为施工围堰，但不界定为水土保持措施。</w:t>
      </w:r>
    </w:p>
    <w:p w14:paraId="25AE6DC7">
      <w:r>
        <w:t>（2）与方案设计对比情况</w:t>
      </w:r>
    </w:p>
    <w:p w14:paraId="1A40FF70">
      <w:pPr>
        <w:widowControl/>
        <w:spacing w:line="240" w:lineRule="auto"/>
        <w:ind w:firstLine="0" w:firstLineChars="0"/>
        <w:jc w:val="left"/>
      </w:pPr>
      <w:r>
        <w:rPr>
          <w:rFonts w:hint="eastAsia"/>
        </w:rPr>
        <w:t xml:space="preserve">    方案补报时土建工程已接近完工，方案未新增临时措施。</w:t>
      </w:r>
    </w:p>
    <w:p w14:paraId="00871034"/>
    <w:p w14:paraId="774F23B3">
      <w:pPr>
        <w:widowControl/>
        <w:spacing w:line="240" w:lineRule="auto"/>
        <w:ind w:firstLine="0" w:firstLineChars="0"/>
        <w:jc w:val="left"/>
        <w:rPr>
          <w:b/>
        </w:rPr>
      </w:pPr>
      <w:r>
        <w:rPr>
          <w:b/>
        </w:rPr>
        <w:br w:type="page"/>
      </w:r>
    </w:p>
    <w:p w14:paraId="6781F2ED">
      <w:pPr>
        <w:pStyle w:val="3"/>
        <w:rPr>
          <w:rFonts w:eastAsia="宋体"/>
        </w:rPr>
      </w:pPr>
      <w:bookmarkStart w:id="96" w:name="_Toc108445729"/>
      <w:r>
        <w:rPr>
          <w:rFonts w:eastAsia="宋体"/>
        </w:rPr>
        <w:t>3.6</w:t>
      </w:r>
      <w:r>
        <w:rPr>
          <w:rFonts w:hint="eastAsia" w:eastAsia="宋体"/>
        </w:rPr>
        <w:t xml:space="preserve"> </w:t>
      </w:r>
      <w:r>
        <w:rPr>
          <w:rFonts w:eastAsia="宋体"/>
        </w:rPr>
        <w:t>水土保持投资完成情况</w:t>
      </w:r>
      <w:bookmarkEnd w:id="96"/>
    </w:p>
    <w:p w14:paraId="0D27676D">
      <w:r>
        <w:t>根据工程资料，兴宁市亲水公园一区工程项目实际完成</w:t>
      </w:r>
      <w:r>
        <w:rPr>
          <w:rFonts w:hint="eastAsia"/>
        </w:rPr>
        <w:t>本项目水土保持总投资为482.92万元，其中：主体已列投资467.71万元，方案新增投资15.21万元。方案新增投资中，工程措施0万元，植物措施0万元，监测措施费7万元，临时措施0万元，独立费用8.21万元，水土保持设施补偿费0万元</w:t>
      </w:r>
      <w:r>
        <w:t>。见表3-</w:t>
      </w:r>
      <w:r>
        <w:rPr>
          <w:rFonts w:hint="eastAsia"/>
        </w:rPr>
        <w:t>6</w:t>
      </w:r>
      <w:r>
        <w:t>。</w:t>
      </w:r>
    </w:p>
    <w:p w14:paraId="7A3AF6F3">
      <w:pPr>
        <w:widowControl/>
        <w:spacing w:line="240" w:lineRule="auto"/>
        <w:ind w:firstLine="0" w:firstLineChars="0"/>
        <w:jc w:val="left"/>
        <w:rPr>
          <w:b/>
        </w:rPr>
      </w:pPr>
      <w:r>
        <w:rPr>
          <w:b/>
        </w:rPr>
        <w:t>表3-</w:t>
      </w:r>
      <w:r>
        <w:rPr>
          <w:rFonts w:hint="eastAsia"/>
          <w:b/>
        </w:rPr>
        <w:t>6</w:t>
      </w:r>
      <w:r>
        <w:rPr>
          <w:b/>
        </w:rPr>
        <w:t xml:space="preserve">                  水土保持设施投资完成情况表</w:t>
      </w:r>
      <w:r>
        <w:rPr>
          <w:rFonts w:hint="eastAsia"/>
          <w:b/>
        </w:rPr>
        <w:t xml:space="preserve">              单位：万元</w:t>
      </w:r>
    </w:p>
    <w:tbl>
      <w:tblPr>
        <w:tblStyle w:val="32"/>
        <w:tblW w:w="5000" w:type="pct"/>
        <w:tblInd w:w="0" w:type="dxa"/>
        <w:tblLayout w:type="autofit"/>
        <w:tblCellMar>
          <w:top w:w="0" w:type="dxa"/>
          <w:left w:w="108" w:type="dxa"/>
          <w:bottom w:w="0" w:type="dxa"/>
          <w:right w:w="108" w:type="dxa"/>
        </w:tblCellMar>
      </w:tblPr>
      <w:tblGrid>
        <w:gridCol w:w="1320"/>
        <w:gridCol w:w="1322"/>
        <w:gridCol w:w="1320"/>
        <w:gridCol w:w="1320"/>
        <w:gridCol w:w="1320"/>
        <w:gridCol w:w="1320"/>
        <w:gridCol w:w="1320"/>
      </w:tblGrid>
      <w:tr w14:paraId="11931242">
        <w:trPr>
          <w:trHeight w:val="570" w:hRule="atLeast"/>
        </w:trPr>
        <w:tc>
          <w:tcPr>
            <w:tcW w:w="714" w:type="pct"/>
            <w:tcBorders>
              <w:top w:val="double" w:color="auto" w:sz="6" w:space="0"/>
              <w:left w:val="double" w:color="auto" w:sz="6" w:space="0"/>
              <w:bottom w:val="single" w:color="000000" w:sz="8" w:space="0"/>
              <w:right w:val="single" w:color="000000" w:sz="8" w:space="0"/>
            </w:tcBorders>
            <w:shd w:val="clear" w:color="auto" w:fill="auto"/>
            <w:vAlign w:val="center"/>
          </w:tcPr>
          <w:p w14:paraId="609DA417">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序号</w:t>
            </w:r>
          </w:p>
        </w:tc>
        <w:tc>
          <w:tcPr>
            <w:tcW w:w="714" w:type="pct"/>
            <w:tcBorders>
              <w:top w:val="double" w:color="auto" w:sz="6" w:space="0"/>
              <w:left w:val="nil"/>
              <w:bottom w:val="single" w:color="000000" w:sz="8" w:space="0"/>
              <w:right w:val="single" w:color="000000" w:sz="8" w:space="0"/>
            </w:tcBorders>
            <w:shd w:val="clear" w:color="auto" w:fill="auto"/>
            <w:vAlign w:val="center"/>
          </w:tcPr>
          <w:p w14:paraId="7FEB7E45">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工程或费用名称</w:t>
            </w:r>
          </w:p>
        </w:tc>
        <w:tc>
          <w:tcPr>
            <w:tcW w:w="714" w:type="pct"/>
            <w:tcBorders>
              <w:top w:val="double" w:color="auto" w:sz="6" w:space="0"/>
              <w:left w:val="nil"/>
              <w:bottom w:val="single" w:color="000000" w:sz="8" w:space="0"/>
              <w:right w:val="single" w:color="000000" w:sz="8" w:space="0"/>
            </w:tcBorders>
            <w:shd w:val="clear" w:color="auto" w:fill="auto"/>
            <w:vAlign w:val="center"/>
          </w:tcPr>
          <w:p w14:paraId="426E0B3A">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建安工程费</w:t>
            </w:r>
          </w:p>
        </w:tc>
        <w:tc>
          <w:tcPr>
            <w:tcW w:w="714" w:type="pct"/>
            <w:tcBorders>
              <w:top w:val="double" w:color="auto" w:sz="6" w:space="0"/>
              <w:left w:val="nil"/>
              <w:bottom w:val="single" w:color="000000" w:sz="8" w:space="0"/>
              <w:right w:val="single" w:color="000000" w:sz="8" w:space="0"/>
            </w:tcBorders>
            <w:shd w:val="clear" w:color="auto" w:fill="auto"/>
            <w:vAlign w:val="center"/>
          </w:tcPr>
          <w:p w14:paraId="7EB37461">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设备费</w:t>
            </w:r>
          </w:p>
        </w:tc>
        <w:tc>
          <w:tcPr>
            <w:tcW w:w="714" w:type="pct"/>
            <w:tcBorders>
              <w:top w:val="double" w:color="auto" w:sz="6" w:space="0"/>
              <w:left w:val="nil"/>
              <w:bottom w:val="single" w:color="000000" w:sz="8" w:space="0"/>
              <w:right w:val="single" w:color="000000" w:sz="8" w:space="0"/>
            </w:tcBorders>
            <w:shd w:val="clear" w:color="auto" w:fill="auto"/>
            <w:vAlign w:val="center"/>
          </w:tcPr>
          <w:p w14:paraId="4540A870">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植物措施费</w:t>
            </w:r>
          </w:p>
        </w:tc>
        <w:tc>
          <w:tcPr>
            <w:tcW w:w="714" w:type="pct"/>
            <w:tcBorders>
              <w:top w:val="double" w:color="auto" w:sz="6" w:space="0"/>
              <w:left w:val="nil"/>
              <w:bottom w:val="single" w:color="000000" w:sz="8" w:space="0"/>
              <w:right w:val="single" w:color="000000" w:sz="8" w:space="0"/>
            </w:tcBorders>
            <w:shd w:val="clear" w:color="auto" w:fill="auto"/>
            <w:vAlign w:val="center"/>
          </w:tcPr>
          <w:p w14:paraId="0CEB22D3">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独立费用</w:t>
            </w:r>
          </w:p>
        </w:tc>
        <w:tc>
          <w:tcPr>
            <w:tcW w:w="714" w:type="pct"/>
            <w:tcBorders>
              <w:top w:val="double" w:color="auto" w:sz="6" w:space="0"/>
              <w:left w:val="nil"/>
              <w:bottom w:val="single" w:color="000000" w:sz="8" w:space="0"/>
              <w:right w:val="double" w:color="auto" w:sz="6" w:space="0"/>
            </w:tcBorders>
            <w:shd w:val="clear" w:color="auto" w:fill="auto"/>
            <w:vAlign w:val="center"/>
          </w:tcPr>
          <w:p w14:paraId="5A4DB0CB">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合计</w:t>
            </w:r>
          </w:p>
        </w:tc>
      </w:tr>
      <w:tr w14:paraId="2B5D15ED">
        <w:tblPrEx>
          <w:tblCellMar>
            <w:top w:w="0" w:type="dxa"/>
            <w:left w:w="108" w:type="dxa"/>
            <w:bottom w:w="0" w:type="dxa"/>
            <w:right w:w="108" w:type="dxa"/>
          </w:tblCellMar>
        </w:tblPrEx>
        <w:trPr>
          <w:trHeight w:val="840" w:hRule="atLeast"/>
        </w:trPr>
        <w:tc>
          <w:tcPr>
            <w:tcW w:w="714" w:type="pct"/>
            <w:tcBorders>
              <w:top w:val="nil"/>
              <w:left w:val="double" w:color="auto" w:sz="6" w:space="0"/>
              <w:bottom w:val="single" w:color="000000" w:sz="8" w:space="0"/>
              <w:right w:val="single" w:color="000000" w:sz="8" w:space="0"/>
            </w:tcBorders>
            <w:shd w:val="clear" w:color="auto" w:fill="auto"/>
            <w:vAlign w:val="center"/>
          </w:tcPr>
          <w:p w14:paraId="6442EA49">
            <w:pPr>
              <w:widowControl/>
              <w:spacing w:line="240" w:lineRule="auto"/>
              <w:ind w:firstLine="0" w:firstLineChars="0"/>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一</w:t>
            </w:r>
          </w:p>
        </w:tc>
        <w:tc>
          <w:tcPr>
            <w:tcW w:w="714" w:type="pct"/>
            <w:tcBorders>
              <w:top w:val="nil"/>
              <w:left w:val="nil"/>
              <w:bottom w:val="single" w:color="000000" w:sz="8" w:space="0"/>
              <w:right w:val="single" w:color="000000" w:sz="8" w:space="0"/>
            </w:tcBorders>
            <w:shd w:val="clear" w:color="auto" w:fill="auto"/>
            <w:vAlign w:val="center"/>
          </w:tcPr>
          <w:p w14:paraId="6E0CF385">
            <w:pPr>
              <w:widowControl/>
              <w:spacing w:line="240" w:lineRule="auto"/>
              <w:ind w:firstLine="0" w:firstLineChars="0"/>
              <w:jc w:val="center"/>
              <w:rPr>
                <w:rFonts w:ascii="宋体" w:hAnsi="宋体" w:eastAsia="宋体" w:cs="宋体"/>
                <w:b/>
                <w:bCs/>
                <w:color w:val="000000"/>
                <w:kern w:val="0"/>
                <w:sz w:val="20"/>
              </w:rPr>
            </w:pPr>
            <w:r>
              <w:rPr>
                <w:rFonts w:hint="eastAsia" w:ascii="宋体" w:hAnsi="宋体" w:eastAsia="宋体" w:cs="宋体"/>
                <w:b/>
                <w:bCs/>
                <w:color w:val="000000"/>
                <w:kern w:val="0"/>
                <w:sz w:val="20"/>
              </w:rPr>
              <w:t>第一部分 工程措施</w:t>
            </w:r>
          </w:p>
        </w:tc>
        <w:tc>
          <w:tcPr>
            <w:tcW w:w="714" w:type="pct"/>
            <w:tcBorders>
              <w:top w:val="nil"/>
              <w:left w:val="nil"/>
              <w:bottom w:val="single" w:color="000000" w:sz="8" w:space="0"/>
              <w:right w:val="single" w:color="000000" w:sz="8" w:space="0"/>
            </w:tcBorders>
            <w:shd w:val="clear" w:color="auto" w:fill="auto"/>
            <w:vAlign w:val="center"/>
          </w:tcPr>
          <w:p w14:paraId="6D65FB23">
            <w:pPr>
              <w:widowControl/>
              <w:spacing w:line="240" w:lineRule="auto"/>
              <w:ind w:firstLine="0" w:firstLineChars="0"/>
              <w:jc w:val="center"/>
              <w:rPr>
                <w:rFonts w:ascii="宋体" w:hAnsi="宋体" w:eastAsia="宋体" w:cs="宋体"/>
                <w:b/>
                <w:bCs/>
                <w:color w:val="000000"/>
                <w:kern w:val="0"/>
                <w:sz w:val="20"/>
              </w:rPr>
            </w:pPr>
          </w:p>
        </w:tc>
        <w:tc>
          <w:tcPr>
            <w:tcW w:w="714" w:type="pct"/>
            <w:tcBorders>
              <w:top w:val="nil"/>
              <w:left w:val="nil"/>
              <w:bottom w:val="single" w:color="000000" w:sz="8" w:space="0"/>
              <w:right w:val="single" w:color="000000" w:sz="8" w:space="0"/>
            </w:tcBorders>
            <w:shd w:val="clear" w:color="auto" w:fill="auto"/>
            <w:vAlign w:val="center"/>
          </w:tcPr>
          <w:p w14:paraId="3C3033CE">
            <w:pPr>
              <w:widowControl/>
              <w:spacing w:line="240" w:lineRule="auto"/>
              <w:ind w:firstLine="0" w:firstLineChars="0"/>
              <w:jc w:val="center"/>
              <w:rPr>
                <w:rFonts w:ascii="宋体" w:hAnsi="宋体" w:eastAsia="宋体" w:cs="宋体"/>
                <w:b/>
                <w:bCs/>
                <w:color w:val="000000"/>
                <w:kern w:val="0"/>
                <w:sz w:val="20"/>
              </w:rPr>
            </w:pPr>
          </w:p>
        </w:tc>
        <w:tc>
          <w:tcPr>
            <w:tcW w:w="714" w:type="pct"/>
            <w:tcBorders>
              <w:top w:val="nil"/>
              <w:left w:val="nil"/>
              <w:bottom w:val="single" w:color="000000" w:sz="8" w:space="0"/>
              <w:right w:val="single" w:color="000000" w:sz="8" w:space="0"/>
            </w:tcBorders>
            <w:shd w:val="clear" w:color="auto" w:fill="auto"/>
            <w:vAlign w:val="center"/>
          </w:tcPr>
          <w:p w14:paraId="72EA694B">
            <w:pPr>
              <w:widowControl/>
              <w:spacing w:line="240" w:lineRule="auto"/>
              <w:ind w:firstLine="0" w:firstLineChars="0"/>
              <w:jc w:val="center"/>
              <w:rPr>
                <w:rFonts w:ascii="宋体" w:hAnsi="宋体" w:eastAsia="宋体" w:cs="宋体"/>
                <w:b/>
                <w:bCs/>
                <w:color w:val="000000"/>
                <w:kern w:val="0"/>
                <w:sz w:val="20"/>
              </w:rPr>
            </w:pPr>
          </w:p>
        </w:tc>
        <w:tc>
          <w:tcPr>
            <w:tcW w:w="714" w:type="pct"/>
            <w:tcBorders>
              <w:top w:val="nil"/>
              <w:left w:val="nil"/>
              <w:bottom w:val="single" w:color="000000" w:sz="8" w:space="0"/>
              <w:right w:val="single" w:color="000000" w:sz="8" w:space="0"/>
            </w:tcBorders>
            <w:shd w:val="clear" w:color="auto" w:fill="auto"/>
            <w:vAlign w:val="center"/>
          </w:tcPr>
          <w:p w14:paraId="76FEFFDE">
            <w:pPr>
              <w:widowControl/>
              <w:spacing w:line="240" w:lineRule="auto"/>
              <w:ind w:firstLine="0" w:firstLineChars="0"/>
              <w:jc w:val="center"/>
              <w:rPr>
                <w:rFonts w:ascii="宋体" w:hAnsi="宋体" w:eastAsia="宋体" w:cs="宋体"/>
                <w:b/>
                <w:bCs/>
                <w:color w:val="000000"/>
                <w:kern w:val="0"/>
                <w:sz w:val="20"/>
              </w:rPr>
            </w:pPr>
          </w:p>
        </w:tc>
        <w:tc>
          <w:tcPr>
            <w:tcW w:w="714" w:type="pct"/>
            <w:tcBorders>
              <w:top w:val="nil"/>
              <w:left w:val="nil"/>
              <w:bottom w:val="single" w:color="000000" w:sz="8" w:space="0"/>
              <w:right w:val="double" w:color="auto" w:sz="6" w:space="0"/>
            </w:tcBorders>
            <w:shd w:val="clear" w:color="auto" w:fill="auto"/>
            <w:vAlign w:val="center"/>
          </w:tcPr>
          <w:p w14:paraId="12D9D017">
            <w:pPr>
              <w:widowControl/>
              <w:spacing w:line="240" w:lineRule="auto"/>
              <w:ind w:firstLine="0" w:firstLineChars="0"/>
              <w:jc w:val="center"/>
              <w:rPr>
                <w:rFonts w:ascii="宋体" w:hAnsi="宋体" w:eastAsia="宋体" w:cs="宋体"/>
                <w:b/>
                <w:bCs/>
                <w:color w:val="000000"/>
                <w:kern w:val="0"/>
                <w:sz w:val="20"/>
              </w:rPr>
            </w:pPr>
          </w:p>
        </w:tc>
      </w:tr>
      <w:tr w14:paraId="7EFD79FA">
        <w:trPr>
          <w:trHeight w:val="840" w:hRule="atLeast"/>
        </w:trPr>
        <w:tc>
          <w:tcPr>
            <w:tcW w:w="714" w:type="pct"/>
            <w:tcBorders>
              <w:top w:val="nil"/>
              <w:left w:val="double" w:color="auto" w:sz="6" w:space="0"/>
              <w:bottom w:val="single" w:color="000000" w:sz="8" w:space="0"/>
              <w:right w:val="single" w:color="000000" w:sz="8" w:space="0"/>
            </w:tcBorders>
            <w:shd w:val="clear" w:color="auto" w:fill="auto"/>
            <w:vAlign w:val="center"/>
          </w:tcPr>
          <w:p w14:paraId="1C8D3AA3">
            <w:pPr>
              <w:widowControl/>
              <w:spacing w:line="240" w:lineRule="auto"/>
              <w:ind w:firstLine="0" w:firstLineChars="0"/>
              <w:jc w:val="center"/>
              <w:rPr>
                <w:rFonts w:ascii="宋体" w:hAnsi="宋体" w:eastAsia="宋体" w:cs="宋体"/>
                <w:b/>
                <w:bCs/>
                <w:color w:val="000000"/>
                <w:kern w:val="0"/>
                <w:sz w:val="20"/>
              </w:rPr>
            </w:pPr>
            <w:r>
              <w:rPr>
                <w:rFonts w:hint="eastAsia" w:ascii="宋体" w:hAnsi="宋体" w:eastAsia="宋体" w:cs="宋体"/>
                <w:b/>
                <w:bCs/>
                <w:color w:val="000000"/>
                <w:kern w:val="0"/>
                <w:sz w:val="20"/>
              </w:rPr>
              <w:t>二</w:t>
            </w:r>
          </w:p>
        </w:tc>
        <w:tc>
          <w:tcPr>
            <w:tcW w:w="714" w:type="pct"/>
            <w:tcBorders>
              <w:top w:val="nil"/>
              <w:left w:val="nil"/>
              <w:bottom w:val="single" w:color="000000" w:sz="8" w:space="0"/>
              <w:right w:val="single" w:color="000000" w:sz="8" w:space="0"/>
            </w:tcBorders>
            <w:shd w:val="clear" w:color="auto" w:fill="auto"/>
            <w:vAlign w:val="center"/>
          </w:tcPr>
          <w:p w14:paraId="6FFC0F18">
            <w:pPr>
              <w:widowControl/>
              <w:spacing w:line="240" w:lineRule="auto"/>
              <w:ind w:firstLine="0" w:firstLineChars="0"/>
              <w:jc w:val="center"/>
              <w:rPr>
                <w:rFonts w:ascii="宋体" w:hAnsi="宋体" w:eastAsia="宋体" w:cs="宋体"/>
                <w:b/>
                <w:bCs/>
                <w:color w:val="000000"/>
                <w:kern w:val="0"/>
                <w:sz w:val="20"/>
              </w:rPr>
            </w:pPr>
            <w:r>
              <w:rPr>
                <w:rFonts w:hint="eastAsia" w:ascii="宋体" w:hAnsi="宋体" w:eastAsia="宋体" w:cs="宋体"/>
                <w:b/>
                <w:bCs/>
                <w:color w:val="000000"/>
                <w:kern w:val="0"/>
                <w:sz w:val="20"/>
              </w:rPr>
              <w:t>第二部分 植物措施</w:t>
            </w:r>
          </w:p>
        </w:tc>
        <w:tc>
          <w:tcPr>
            <w:tcW w:w="714" w:type="pct"/>
            <w:tcBorders>
              <w:top w:val="nil"/>
              <w:left w:val="nil"/>
              <w:bottom w:val="single" w:color="000000" w:sz="8" w:space="0"/>
              <w:right w:val="single" w:color="000000" w:sz="8" w:space="0"/>
            </w:tcBorders>
            <w:shd w:val="clear" w:color="auto" w:fill="auto"/>
            <w:vAlign w:val="center"/>
          </w:tcPr>
          <w:p w14:paraId="6987F051">
            <w:pPr>
              <w:widowControl/>
              <w:spacing w:line="240" w:lineRule="auto"/>
              <w:ind w:firstLine="0" w:firstLineChars="0"/>
              <w:jc w:val="center"/>
              <w:rPr>
                <w:rFonts w:ascii="宋体" w:hAnsi="宋体" w:eastAsia="宋体" w:cs="宋体"/>
                <w:b/>
                <w:bCs/>
                <w:color w:val="000000"/>
                <w:kern w:val="0"/>
                <w:sz w:val="20"/>
              </w:rPr>
            </w:pPr>
          </w:p>
        </w:tc>
        <w:tc>
          <w:tcPr>
            <w:tcW w:w="714" w:type="pct"/>
            <w:tcBorders>
              <w:top w:val="nil"/>
              <w:left w:val="nil"/>
              <w:bottom w:val="single" w:color="000000" w:sz="8" w:space="0"/>
              <w:right w:val="single" w:color="000000" w:sz="8" w:space="0"/>
            </w:tcBorders>
            <w:shd w:val="clear" w:color="auto" w:fill="auto"/>
            <w:vAlign w:val="center"/>
          </w:tcPr>
          <w:p w14:paraId="431FC0B7">
            <w:pPr>
              <w:widowControl/>
              <w:spacing w:line="240" w:lineRule="auto"/>
              <w:ind w:firstLine="0" w:firstLineChars="0"/>
              <w:jc w:val="center"/>
              <w:rPr>
                <w:rFonts w:ascii="宋体" w:hAnsi="宋体" w:eastAsia="宋体" w:cs="宋体"/>
                <w:b/>
                <w:bCs/>
                <w:color w:val="000000"/>
                <w:kern w:val="0"/>
                <w:sz w:val="20"/>
              </w:rPr>
            </w:pPr>
          </w:p>
        </w:tc>
        <w:tc>
          <w:tcPr>
            <w:tcW w:w="714" w:type="pct"/>
            <w:tcBorders>
              <w:top w:val="nil"/>
              <w:left w:val="nil"/>
              <w:bottom w:val="single" w:color="000000" w:sz="8" w:space="0"/>
              <w:right w:val="single" w:color="000000" w:sz="8" w:space="0"/>
            </w:tcBorders>
            <w:shd w:val="clear" w:color="auto" w:fill="auto"/>
            <w:vAlign w:val="center"/>
          </w:tcPr>
          <w:p w14:paraId="0B68DB67">
            <w:pPr>
              <w:widowControl/>
              <w:spacing w:line="240" w:lineRule="auto"/>
              <w:ind w:firstLine="0" w:firstLineChars="0"/>
              <w:jc w:val="center"/>
              <w:rPr>
                <w:rFonts w:ascii="宋体" w:hAnsi="宋体" w:eastAsia="宋体" w:cs="宋体"/>
                <w:b/>
                <w:bCs/>
                <w:color w:val="000000"/>
                <w:kern w:val="0"/>
                <w:sz w:val="20"/>
              </w:rPr>
            </w:pPr>
          </w:p>
        </w:tc>
        <w:tc>
          <w:tcPr>
            <w:tcW w:w="714" w:type="pct"/>
            <w:tcBorders>
              <w:top w:val="nil"/>
              <w:left w:val="nil"/>
              <w:bottom w:val="single" w:color="000000" w:sz="8" w:space="0"/>
              <w:right w:val="single" w:color="000000" w:sz="8" w:space="0"/>
            </w:tcBorders>
            <w:shd w:val="clear" w:color="auto" w:fill="auto"/>
            <w:vAlign w:val="center"/>
          </w:tcPr>
          <w:p w14:paraId="049C6D4E">
            <w:pPr>
              <w:widowControl/>
              <w:spacing w:line="240" w:lineRule="auto"/>
              <w:ind w:firstLine="0" w:firstLineChars="0"/>
              <w:jc w:val="center"/>
              <w:rPr>
                <w:rFonts w:ascii="宋体" w:hAnsi="宋体" w:eastAsia="宋体" w:cs="宋体"/>
                <w:b/>
                <w:bCs/>
                <w:color w:val="000000"/>
                <w:kern w:val="0"/>
                <w:sz w:val="20"/>
              </w:rPr>
            </w:pPr>
          </w:p>
        </w:tc>
        <w:tc>
          <w:tcPr>
            <w:tcW w:w="714" w:type="pct"/>
            <w:tcBorders>
              <w:top w:val="nil"/>
              <w:left w:val="nil"/>
              <w:bottom w:val="single" w:color="000000" w:sz="8" w:space="0"/>
              <w:right w:val="double" w:color="auto" w:sz="6" w:space="0"/>
            </w:tcBorders>
            <w:shd w:val="clear" w:color="auto" w:fill="auto"/>
            <w:vAlign w:val="center"/>
          </w:tcPr>
          <w:p w14:paraId="714CA9E2">
            <w:pPr>
              <w:widowControl/>
              <w:spacing w:line="240" w:lineRule="auto"/>
              <w:ind w:firstLine="0" w:firstLineChars="0"/>
              <w:jc w:val="center"/>
              <w:rPr>
                <w:rFonts w:ascii="宋体" w:hAnsi="宋体" w:eastAsia="宋体" w:cs="宋体"/>
                <w:b/>
                <w:bCs/>
                <w:color w:val="000000"/>
                <w:kern w:val="0"/>
                <w:sz w:val="20"/>
              </w:rPr>
            </w:pPr>
          </w:p>
        </w:tc>
      </w:tr>
      <w:tr w14:paraId="37548923">
        <w:tblPrEx>
          <w:tblCellMar>
            <w:top w:w="0" w:type="dxa"/>
            <w:left w:w="108" w:type="dxa"/>
            <w:bottom w:w="0" w:type="dxa"/>
            <w:right w:w="108" w:type="dxa"/>
          </w:tblCellMar>
        </w:tblPrEx>
        <w:trPr>
          <w:trHeight w:val="840" w:hRule="atLeast"/>
        </w:trPr>
        <w:tc>
          <w:tcPr>
            <w:tcW w:w="714" w:type="pct"/>
            <w:tcBorders>
              <w:top w:val="nil"/>
              <w:left w:val="double" w:color="auto" w:sz="6" w:space="0"/>
              <w:bottom w:val="single" w:color="000000" w:sz="8" w:space="0"/>
              <w:right w:val="single" w:color="000000" w:sz="8" w:space="0"/>
            </w:tcBorders>
            <w:shd w:val="clear" w:color="auto" w:fill="auto"/>
            <w:vAlign w:val="center"/>
          </w:tcPr>
          <w:p w14:paraId="154E8C53">
            <w:pPr>
              <w:widowControl/>
              <w:spacing w:line="240" w:lineRule="auto"/>
              <w:ind w:firstLine="0" w:firstLineChars="0"/>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三</w:t>
            </w:r>
          </w:p>
        </w:tc>
        <w:tc>
          <w:tcPr>
            <w:tcW w:w="714" w:type="pct"/>
            <w:tcBorders>
              <w:top w:val="nil"/>
              <w:left w:val="nil"/>
              <w:bottom w:val="single" w:color="000000" w:sz="8" w:space="0"/>
              <w:right w:val="single" w:color="000000" w:sz="8" w:space="0"/>
            </w:tcBorders>
            <w:shd w:val="clear" w:color="auto" w:fill="auto"/>
            <w:vAlign w:val="center"/>
          </w:tcPr>
          <w:p w14:paraId="22C144F2">
            <w:pPr>
              <w:widowControl/>
              <w:spacing w:line="240" w:lineRule="auto"/>
              <w:ind w:firstLine="0" w:firstLineChars="0"/>
              <w:jc w:val="center"/>
              <w:rPr>
                <w:rFonts w:ascii="宋体" w:hAnsi="宋体" w:eastAsia="宋体" w:cs="宋体"/>
                <w:b/>
                <w:bCs/>
                <w:color w:val="000000"/>
                <w:kern w:val="0"/>
                <w:sz w:val="20"/>
              </w:rPr>
            </w:pPr>
            <w:r>
              <w:rPr>
                <w:rFonts w:hint="eastAsia" w:ascii="宋体" w:hAnsi="宋体" w:eastAsia="宋体" w:cs="宋体"/>
                <w:b/>
                <w:bCs/>
                <w:color w:val="000000"/>
                <w:kern w:val="0"/>
                <w:sz w:val="20"/>
              </w:rPr>
              <w:t>第三部分 监测措施</w:t>
            </w:r>
          </w:p>
        </w:tc>
        <w:tc>
          <w:tcPr>
            <w:tcW w:w="714" w:type="pct"/>
            <w:tcBorders>
              <w:top w:val="nil"/>
              <w:left w:val="nil"/>
              <w:bottom w:val="single" w:color="000000" w:sz="8" w:space="0"/>
              <w:right w:val="single" w:color="000000" w:sz="8" w:space="0"/>
            </w:tcBorders>
            <w:shd w:val="clear" w:color="auto" w:fill="auto"/>
            <w:vAlign w:val="center"/>
          </w:tcPr>
          <w:p w14:paraId="4FC1F9F6">
            <w:pPr>
              <w:widowControl/>
              <w:spacing w:line="240" w:lineRule="auto"/>
              <w:ind w:firstLine="0" w:firstLineChars="0"/>
              <w:jc w:val="center"/>
              <w:rPr>
                <w:rFonts w:ascii="宋体" w:hAnsi="宋体" w:eastAsia="宋体" w:cs="宋体"/>
                <w:b/>
                <w:bCs/>
                <w:color w:val="000000"/>
                <w:kern w:val="0"/>
                <w:sz w:val="20"/>
              </w:rPr>
            </w:pPr>
            <w:r>
              <w:rPr>
                <w:rFonts w:hint="eastAsia" w:ascii="宋体" w:hAnsi="宋体" w:eastAsia="宋体" w:cs="宋体"/>
                <w:b/>
                <w:bCs/>
                <w:color w:val="000000"/>
                <w:kern w:val="0"/>
                <w:sz w:val="20"/>
              </w:rPr>
              <w:t>7</w:t>
            </w:r>
          </w:p>
        </w:tc>
        <w:tc>
          <w:tcPr>
            <w:tcW w:w="714" w:type="pct"/>
            <w:tcBorders>
              <w:top w:val="nil"/>
              <w:left w:val="nil"/>
              <w:bottom w:val="single" w:color="000000" w:sz="8" w:space="0"/>
              <w:right w:val="single" w:color="000000" w:sz="8" w:space="0"/>
            </w:tcBorders>
            <w:shd w:val="clear" w:color="auto" w:fill="auto"/>
            <w:vAlign w:val="center"/>
          </w:tcPr>
          <w:p w14:paraId="32E715BC">
            <w:pPr>
              <w:widowControl/>
              <w:spacing w:line="240" w:lineRule="auto"/>
              <w:ind w:firstLine="0" w:firstLineChars="0"/>
              <w:jc w:val="center"/>
              <w:rPr>
                <w:rFonts w:ascii="宋体" w:hAnsi="宋体" w:eastAsia="宋体" w:cs="宋体"/>
                <w:b/>
                <w:bCs/>
                <w:color w:val="000000"/>
                <w:kern w:val="0"/>
                <w:sz w:val="20"/>
              </w:rPr>
            </w:pPr>
          </w:p>
        </w:tc>
        <w:tc>
          <w:tcPr>
            <w:tcW w:w="714" w:type="pct"/>
            <w:tcBorders>
              <w:top w:val="nil"/>
              <w:left w:val="nil"/>
              <w:bottom w:val="single" w:color="000000" w:sz="8" w:space="0"/>
              <w:right w:val="single" w:color="000000" w:sz="8" w:space="0"/>
            </w:tcBorders>
            <w:shd w:val="clear" w:color="auto" w:fill="auto"/>
            <w:vAlign w:val="center"/>
          </w:tcPr>
          <w:p w14:paraId="3F0B194B">
            <w:pPr>
              <w:widowControl/>
              <w:spacing w:line="240" w:lineRule="auto"/>
              <w:ind w:firstLine="0" w:firstLineChars="0"/>
              <w:jc w:val="center"/>
              <w:rPr>
                <w:rFonts w:ascii="宋体" w:hAnsi="宋体" w:eastAsia="宋体" w:cs="宋体"/>
                <w:b/>
                <w:bCs/>
                <w:color w:val="000000"/>
                <w:kern w:val="0"/>
                <w:sz w:val="20"/>
              </w:rPr>
            </w:pPr>
          </w:p>
        </w:tc>
        <w:tc>
          <w:tcPr>
            <w:tcW w:w="714" w:type="pct"/>
            <w:tcBorders>
              <w:top w:val="nil"/>
              <w:left w:val="nil"/>
              <w:bottom w:val="single" w:color="000000" w:sz="8" w:space="0"/>
              <w:right w:val="single" w:color="000000" w:sz="8" w:space="0"/>
            </w:tcBorders>
            <w:shd w:val="clear" w:color="auto" w:fill="auto"/>
            <w:vAlign w:val="center"/>
          </w:tcPr>
          <w:p w14:paraId="00106662">
            <w:pPr>
              <w:widowControl/>
              <w:spacing w:line="240" w:lineRule="auto"/>
              <w:ind w:firstLine="0" w:firstLineChars="0"/>
              <w:jc w:val="center"/>
              <w:rPr>
                <w:rFonts w:ascii="宋体" w:hAnsi="宋体" w:eastAsia="宋体" w:cs="宋体"/>
                <w:b/>
                <w:bCs/>
                <w:color w:val="000000"/>
                <w:kern w:val="0"/>
                <w:sz w:val="20"/>
              </w:rPr>
            </w:pPr>
          </w:p>
        </w:tc>
        <w:tc>
          <w:tcPr>
            <w:tcW w:w="714" w:type="pct"/>
            <w:tcBorders>
              <w:top w:val="nil"/>
              <w:left w:val="nil"/>
              <w:bottom w:val="single" w:color="000000" w:sz="8" w:space="0"/>
              <w:right w:val="double" w:color="auto" w:sz="6" w:space="0"/>
            </w:tcBorders>
            <w:shd w:val="clear" w:color="auto" w:fill="auto"/>
            <w:vAlign w:val="center"/>
          </w:tcPr>
          <w:p w14:paraId="254550C1">
            <w:pPr>
              <w:widowControl/>
              <w:spacing w:line="240" w:lineRule="auto"/>
              <w:ind w:firstLine="0" w:firstLineChars="0"/>
              <w:jc w:val="center"/>
              <w:rPr>
                <w:rFonts w:ascii="宋体" w:hAnsi="宋体" w:eastAsia="宋体" w:cs="宋体"/>
                <w:b/>
                <w:bCs/>
                <w:color w:val="000000"/>
                <w:kern w:val="0"/>
                <w:sz w:val="20"/>
              </w:rPr>
            </w:pPr>
            <w:r>
              <w:rPr>
                <w:rFonts w:hint="eastAsia" w:ascii="宋体" w:hAnsi="宋体" w:eastAsia="宋体" w:cs="宋体"/>
                <w:b/>
                <w:bCs/>
                <w:color w:val="000000"/>
                <w:kern w:val="0"/>
                <w:sz w:val="20"/>
              </w:rPr>
              <w:t>7</w:t>
            </w:r>
          </w:p>
        </w:tc>
      </w:tr>
      <w:tr w14:paraId="4A32CAE1">
        <w:tblPrEx>
          <w:tblCellMar>
            <w:top w:w="0" w:type="dxa"/>
            <w:left w:w="108" w:type="dxa"/>
            <w:bottom w:w="0" w:type="dxa"/>
            <w:right w:w="108" w:type="dxa"/>
          </w:tblCellMar>
        </w:tblPrEx>
        <w:trPr>
          <w:trHeight w:val="840" w:hRule="atLeast"/>
        </w:trPr>
        <w:tc>
          <w:tcPr>
            <w:tcW w:w="714" w:type="pct"/>
            <w:tcBorders>
              <w:top w:val="nil"/>
              <w:left w:val="double" w:color="auto" w:sz="6" w:space="0"/>
              <w:bottom w:val="single" w:color="000000" w:sz="8" w:space="0"/>
              <w:right w:val="single" w:color="000000" w:sz="8" w:space="0"/>
            </w:tcBorders>
            <w:shd w:val="clear" w:color="auto" w:fill="auto"/>
            <w:vAlign w:val="center"/>
          </w:tcPr>
          <w:p w14:paraId="04F47C7A">
            <w:pPr>
              <w:widowControl/>
              <w:spacing w:line="240" w:lineRule="auto"/>
              <w:ind w:firstLine="0" w:firstLineChars="0"/>
              <w:jc w:val="center"/>
              <w:rPr>
                <w:rFonts w:ascii="宋体" w:hAnsi="宋体" w:eastAsia="宋体" w:cs="宋体"/>
                <w:color w:val="000000"/>
                <w:kern w:val="0"/>
                <w:sz w:val="20"/>
              </w:rPr>
            </w:pPr>
            <w:r>
              <w:rPr>
                <w:rFonts w:hint="eastAsia" w:ascii="宋体" w:hAnsi="宋体" w:eastAsia="宋体" w:cs="宋体"/>
                <w:color w:val="000000"/>
                <w:kern w:val="0"/>
                <w:sz w:val="20"/>
              </w:rPr>
              <w:t>1</w:t>
            </w:r>
          </w:p>
        </w:tc>
        <w:tc>
          <w:tcPr>
            <w:tcW w:w="714" w:type="pct"/>
            <w:tcBorders>
              <w:top w:val="nil"/>
              <w:left w:val="nil"/>
              <w:bottom w:val="single" w:color="000000" w:sz="8" w:space="0"/>
              <w:right w:val="single" w:color="000000" w:sz="8" w:space="0"/>
            </w:tcBorders>
            <w:shd w:val="clear" w:color="auto" w:fill="auto"/>
            <w:vAlign w:val="center"/>
          </w:tcPr>
          <w:p w14:paraId="1F1DC71D">
            <w:pPr>
              <w:widowControl/>
              <w:spacing w:line="240" w:lineRule="auto"/>
              <w:ind w:firstLine="0" w:firstLineChars="0"/>
              <w:jc w:val="center"/>
              <w:rPr>
                <w:rFonts w:ascii="宋体" w:hAnsi="宋体" w:eastAsia="宋体" w:cs="宋体"/>
                <w:color w:val="000000"/>
                <w:kern w:val="0"/>
                <w:sz w:val="20"/>
              </w:rPr>
            </w:pPr>
            <w:r>
              <w:rPr>
                <w:rFonts w:hint="eastAsia" w:ascii="宋体" w:hAnsi="宋体" w:eastAsia="宋体" w:cs="宋体"/>
                <w:color w:val="000000"/>
                <w:kern w:val="0"/>
                <w:sz w:val="20"/>
              </w:rPr>
              <w:t>一 监测费用</w:t>
            </w:r>
          </w:p>
        </w:tc>
        <w:tc>
          <w:tcPr>
            <w:tcW w:w="714" w:type="pct"/>
            <w:tcBorders>
              <w:top w:val="nil"/>
              <w:left w:val="nil"/>
              <w:bottom w:val="single" w:color="000000" w:sz="8" w:space="0"/>
              <w:right w:val="single" w:color="000000" w:sz="8" w:space="0"/>
            </w:tcBorders>
            <w:shd w:val="clear" w:color="auto" w:fill="auto"/>
            <w:vAlign w:val="center"/>
          </w:tcPr>
          <w:p w14:paraId="6B211CC5">
            <w:pPr>
              <w:widowControl/>
              <w:spacing w:line="240" w:lineRule="auto"/>
              <w:ind w:firstLine="0" w:firstLineChars="0"/>
              <w:jc w:val="center"/>
              <w:rPr>
                <w:rFonts w:ascii="宋体" w:hAnsi="宋体" w:eastAsia="宋体" w:cs="宋体"/>
                <w:color w:val="000000"/>
                <w:kern w:val="0"/>
                <w:sz w:val="20"/>
              </w:rPr>
            </w:pPr>
            <w:r>
              <w:rPr>
                <w:rFonts w:hint="eastAsia" w:ascii="宋体" w:hAnsi="宋体" w:eastAsia="宋体" w:cs="宋体"/>
                <w:color w:val="000000"/>
                <w:kern w:val="0"/>
                <w:sz w:val="20"/>
              </w:rPr>
              <w:t>7</w:t>
            </w:r>
          </w:p>
        </w:tc>
        <w:tc>
          <w:tcPr>
            <w:tcW w:w="714" w:type="pct"/>
            <w:tcBorders>
              <w:top w:val="nil"/>
              <w:left w:val="nil"/>
              <w:bottom w:val="single" w:color="000000" w:sz="8" w:space="0"/>
              <w:right w:val="single" w:color="000000" w:sz="8" w:space="0"/>
            </w:tcBorders>
            <w:shd w:val="clear" w:color="auto" w:fill="auto"/>
            <w:vAlign w:val="center"/>
          </w:tcPr>
          <w:p w14:paraId="3EC115A3">
            <w:pPr>
              <w:widowControl/>
              <w:spacing w:line="240" w:lineRule="auto"/>
              <w:ind w:firstLine="0" w:firstLineChars="0"/>
              <w:jc w:val="center"/>
              <w:rPr>
                <w:rFonts w:ascii="宋体" w:hAnsi="宋体" w:eastAsia="宋体" w:cs="宋体"/>
                <w:color w:val="000000"/>
                <w:kern w:val="0"/>
                <w:sz w:val="20"/>
              </w:rPr>
            </w:pPr>
          </w:p>
        </w:tc>
        <w:tc>
          <w:tcPr>
            <w:tcW w:w="714" w:type="pct"/>
            <w:tcBorders>
              <w:top w:val="nil"/>
              <w:left w:val="nil"/>
              <w:bottom w:val="single" w:color="000000" w:sz="8" w:space="0"/>
              <w:right w:val="single" w:color="000000" w:sz="8" w:space="0"/>
            </w:tcBorders>
            <w:shd w:val="clear" w:color="auto" w:fill="auto"/>
            <w:vAlign w:val="center"/>
          </w:tcPr>
          <w:p w14:paraId="5C3246D4">
            <w:pPr>
              <w:widowControl/>
              <w:spacing w:line="240" w:lineRule="auto"/>
              <w:ind w:firstLine="0" w:firstLineChars="0"/>
              <w:jc w:val="center"/>
              <w:rPr>
                <w:rFonts w:ascii="宋体" w:hAnsi="宋体" w:eastAsia="宋体" w:cs="宋体"/>
                <w:color w:val="000000"/>
                <w:kern w:val="0"/>
                <w:sz w:val="20"/>
              </w:rPr>
            </w:pPr>
          </w:p>
        </w:tc>
        <w:tc>
          <w:tcPr>
            <w:tcW w:w="714" w:type="pct"/>
            <w:tcBorders>
              <w:top w:val="nil"/>
              <w:left w:val="nil"/>
              <w:bottom w:val="single" w:color="000000" w:sz="8" w:space="0"/>
              <w:right w:val="single" w:color="000000" w:sz="8" w:space="0"/>
            </w:tcBorders>
            <w:shd w:val="clear" w:color="auto" w:fill="auto"/>
            <w:vAlign w:val="center"/>
          </w:tcPr>
          <w:p w14:paraId="3422FD90">
            <w:pPr>
              <w:widowControl/>
              <w:spacing w:line="240" w:lineRule="auto"/>
              <w:ind w:firstLine="0" w:firstLineChars="0"/>
              <w:jc w:val="center"/>
              <w:rPr>
                <w:rFonts w:ascii="宋体" w:hAnsi="宋体" w:eastAsia="宋体" w:cs="宋体"/>
                <w:color w:val="000000"/>
                <w:kern w:val="0"/>
                <w:sz w:val="20"/>
              </w:rPr>
            </w:pPr>
          </w:p>
        </w:tc>
        <w:tc>
          <w:tcPr>
            <w:tcW w:w="714" w:type="pct"/>
            <w:tcBorders>
              <w:top w:val="nil"/>
              <w:left w:val="nil"/>
              <w:bottom w:val="single" w:color="000000" w:sz="8" w:space="0"/>
              <w:right w:val="double" w:color="auto" w:sz="6" w:space="0"/>
            </w:tcBorders>
            <w:shd w:val="clear" w:color="auto" w:fill="auto"/>
            <w:vAlign w:val="center"/>
          </w:tcPr>
          <w:p w14:paraId="59DB80DD">
            <w:pPr>
              <w:widowControl/>
              <w:spacing w:line="240" w:lineRule="auto"/>
              <w:ind w:firstLine="0" w:firstLineChars="0"/>
              <w:jc w:val="center"/>
              <w:rPr>
                <w:rFonts w:ascii="宋体" w:hAnsi="宋体" w:eastAsia="宋体" w:cs="宋体"/>
                <w:color w:val="000000"/>
                <w:kern w:val="0"/>
                <w:sz w:val="20"/>
              </w:rPr>
            </w:pPr>
            <w:r>
              <w:rPr>
                <w:rFonts w:hint="eastAsia" w:ascii="宋体" w:hAnsi="宋体" w:eastAsia="宋体" w:cs="宋体"/>
                <w:color w:val="000000"/>
                <w:kern w:val="0"/>
                <w:sz w:val="20"/>
              </w:rPr>
              <w:t>7</w:t>
            </w:r>
          </w:p>
        </w:tc>
      </w:tr>
      <w:tr w14:paraId="1B157DEB">
        <w:tblPrEx>
          <w:tblCellMar>
            <w:top w:w="0" w:type="dxa"/>
            <w:left w:w="108" w:type="dxa"/>
            <w:bottom w:w="0" w:type="dxa"/>
            <w:right w:w="108" w:type="dxa"/>
          </w:tblCellMar>
        </w:tblPrEx>
        <w:trPr>
          <w:trHeight w:val="840" w:hRule="atLeast"/>
        </w:trPr>
        <w:tc>
          <w:tcPr>
            <w:tcW w:w="714" w:type="pct"/>
            <w:tcBorders>
              <w:top w:val="nil"/>
              <w:left w:val="double" w:color="auto" w:sz="6" w:space="0"/>
              <w:bottom w:val="single" w:color="000000" w:sz="8" w:space="0"/>
              <w:right w:val="single" w:color="000000" w:sz="8" w:space="0"/>
            </w:tcBorders>
            <w:shd w:val="clear" w:color="auto" w:fill="auto"/>
            <w:vAlign w:val="center"/>
          </w:tcPr>
          <w:p w14:paraId="6C8D9857">
            <w:pPr>
              <w:widowControl/>
              <w:spacing w:line="240" w:lineRule="auto"/>
              <w:ind w:firstLine="0" w:firstLineChars="0"/>
              <w:jc w:val="center"/>
              <w:rPr>
                <w:rFonts w:ascii="宋体" w:hAnsi="宋体" w:eastAsia="宋体" w:cs="宋体"/>
                <w:b/>
                <w:bCs/>
                <w:color w:val="000000"/>
                <w:kern w:val="0"/>
                <w:sz w:val="20"/>
              </w:rPr>
            </w:pPr>
            <w:r>
              <w:rPr>
                <w:rFonts w:hint="eastAsia" w:ascii="宋体" w:hAnsi="宋体" w:eastAsia="宋体" w:cs="宋体"/>
                <w:b/>
                <w:bCs/>
                <w:color w:val="000000"/>
                <w:kern w:val="0"/>
                <w:sz w:val="20"/>
              </w:rPr>
              <w:t>四</w:t>
            </w:r>
          </w:p>
        </w:tc>
        <w:tc>
          <w:tcPr>
            <w:tcW w:w="714" w:type="pct"/>
            <w:tcBorders>
              <w:top w:val="nil"/>
              <w:left w:val="nil"/>
              <w:bottom w:val="single" w:color="000000" w:sz="8" w:space="0"/>
              <w:right w:val="single" w:color="000000" w:sz="8" w:space="0"/>
            </w:tcBorders>
            <w:shd w:val="clear" w:color="auto" w:fill="auto"/>
            <w:vAlign w:val="center"/>
          </w:tcPr>
          <w:p w14:paraId="65094A46">
            <w:pPr>
              <w:widowControl/>
              <w:spacing w:line="240" w:lineRule="auto"/>
              <w:ind w:firstLine="0" w:firstLineChars="0"/>
              <w:jc w:val="center"/>
              <w:rPr>
                <w:rFonts w:ascii="宋体" w:hAnsi="宋体" w:eastAsia="宋体" w:cs="宋体"/>
                <w:b/>
                <w:bCs/>
                <w:color w:val="000000"/>
                <w:kern w:val="0"/>
                <w:sz w:val="20"/>
              </w:rPr>
            </w:pPr>
            <w:r>
              <w:rPr>
                <w:rFonts w:hint="eastAsia" w:ascii="宋体" w:hAnsi="宋体" w:eastAsia="宋体" w:cs="宋体"/>
                <w:b/>
                <w:bCs/>
                <w:color w:val="000000"/>
                <w:kern w:val="0"/>
                <w:sz w:val="20"/>
              </w:rPr>
              <w:t>第四部分 施工临时工程</w:t>
            </w:r>
          </w:p>
        </w:tc>
        <w:tc>
          <w:tcPr>
            <w:tcW w:w="714" w:type="pct"/>
            <w:tcBorders>
              <w:top w:val="nil"/>
              <w:left w:val="nil"/>
              <w:bottom w:val="single" w:color="000000" w:sz="8" w:space="0"/>
              <w:right w:val="single" w:color="000000" w:sz="8" w:space="0"/>
            </w:tcBorders>
            <w:shd w:val="clear" w:color="auto" w:fill="auto"/>
            <w:vAlign w:val="center"/>
          </w:tcPr>
          <w:p w14:paraId="142A33ED">
            <w:pPr>
              <w:widowControl/>
              <w:spacing w:line="240" w:lineRule="auto"/>
              <w:ind w:firstLine="0" w:firstLineChars="0"/>
              <w:jc w:val="center"/>
              <w:rPr>
                <w:rFonts w:ascii="宋体" w:hAnsi="宋体" w:eastAsia="宋体" w:cs="宋体"/>
                <w:b/>
                <w:bCs/>
                <w:color w:val="000000"/>
                <w:kern w:val="0"/>
                <w:sz w:val="20"/>
              </w:rPr>
            </w:pPr>
          </w:p>
        </w:tc>
        <w:tc>
          <w:tcPr>
            <w:tcW w:w="714" w:type="pct"/>
            <w:tcBorders>
              <w:top w:val="nil"/>
              <w:left w:val="nil"/>
              <w:bottom w:val="single" w:color="000000" w:sz="8" w:space="0"/>
              <w:right w:val="single" w:color="000000" w:sz="8" w:space="0"/>
            </w:tcBorders>
            <w:shd w:val="clear" w:color="auto" w:fill="auto"/>
            <w:vAlign w:val="center"/>
          </w:tcPr>
          <w:p w14:paraId="548BE6A7">
            <w:pPr>
              <w:widowControl/>
              <w:spacing w:line="240" w:lineRule="auto"/>
              <w:ind w:firstLine="0" w:firstLineChars="0"/>
              <w:jc w:val="center"/>
              <w:rPr>
                <w:rFonts w:ascii="宋体" w:hAnsi="宋体" w:eastAsia="宋体" w:cs="宋体"/>
                <w:b/>
                <w:bCs/>
                <w:color w:val="000000"/>
                <w:kern w:val="0"/>
                <w:sz w:val="20"/>
              </w:rPr>
            </w:pPr>
          </w:p>
        </w:tc>
        <w:tc>
          <w:tcPr>
            <w:tcW w:w="714" w:type="pct"/>
            <w:tcBorders>
              <w:top w:val="nil"/>
              <w:left w:val="nil"/>
              <w:bottom w:val="single" w:color="000000" w:sz="8" w:space="0"/>
              <w:right w:val="single" w:color="000000" w:sz="8" w:space="0"/>
            </w:tcBorders>
            <w:shd w:val="clear" w:color="auto" w:fill="auto"/>
            <w:vAlign w:val="center"/>
          </w:tcPr>
          <w:p w14:paraId="436C451C">
            <w:pPr>
              <w:widowControl/>
              <w:spacing w:line="240" w:lineRule="auto"/>
              <w:ind w:firstLine="0" w:firstLineChars="0"/>
              <w:jc w:val="center"/>
              <w:rPr>
                <w:rFonts w:ascii="宋体" w:hAnsi="宋体" w:eastAsia="宋体" w:cs="宋体"/>
                <w:b/>
                <w:bCs/>
                <w:color w:val="000000"/>
                <w:kern w:val="0"/>
                <w:sz w:val="20"/>
              </w:rPr>
            </w:pPr>
          </w:p>
        </w:tc>
        <w:tc>
          <w:tcPr>
            <w:tcW w:w="714" w:type="pct"/>
            <w:tcBorders>
              <w:top w:val="nil"/>
              <w:left w:val="nil"/>
              <w:bottom w:val="single" w:color="000000" w:sz="8" w:space="0"/>
              <w:right w:val="single" w:color="000000" w:sz="8" w:space="0"/>
            </w:tcBorders>
            <w:shd w:val="clear" w:color="auto" w:fill="auto"/>
            <w:vAlign w:val="center"/>
          </w:tcPr>
          <w:p w14:paraId="7A270A02">
            <w:pPr>
              <w:widowControl/>
              <w:spacing w:line="240" w:lineRule="auto"/>
              <w:ind w:firstLine="0" w:firstLineChars="0"/>
              <w:jc w:val="center"/>
              <w:rPr>
                <w:rFonts w:ascii="宋体" w:hAnsi="宋体" w:eastAsia="宋体" w:cs="宋体"/>
                <w:b/>
                <w:bCs/>
                <w:color w:val="000000"/>
                <w:kern w:val="0"/>
                <w:sz w:val="20"/>
              </w:rPr>
            </w:pPr>
          </w:p>
        </w:tc>
        <w:tc>
          <w:tcPr>
            <w:tcW w:w="714" w:type="pct"/>
            <w:tcBorders>
              <w:top w:val="nil"/>
              <w:left w:val="nil"/>
              <w:bottom w:val="single" w:color="000000" w:sz="8" w:space="0"/>
              <w:right w:val="double" w:color="auto" w:sz="6" w:space="0"/>
            </w:tcBorders>
            <w:shd w:val="clear" w:color="auto" w:fill="auto"/>
            <w:vAlign w:val="center"/>
          </w:tcPr>
          <w:p w14:paraId="5753F8AD">
            <w:pPr>
              <w:widowControl/>
              <w:spacing w:line="240" w:lineRule="auto"/>
              <w:ind w:firstLine="0" w:firstLineChars="0"/>
              <w:jc w:val="center"/>
              <w:rPr>
                <w:rFonts w:ascii="宋体" w:hAnsi="宋体" w:eastAsia="宋体" w:cs="宋体"/>
                <w:b/>
                <w:bCs/>
                <w:color w:val="000000"/>
                <w:kern w:val="0"/>
                <w:sz w:val="20"/>
              </w:rPr>
            </w:pPr>
          </w:p>
        </w:tc>
      </w:tr>
      <w:tr w14:paraId="6D8CD2DB">
        <w:tblPrEx>
          <w:tblCellMar>
            <w:top w:w="0" w:type="dxa"/>
            <w:left w:w="108" w:type="dxa"/>
            <w:bottom w:w="0" w:type="dxa"/>
            <w:right w:w="108" w:type="dxa"/>
          </w:tblCellMar>
        </w:tblPrEx>
        <w:trPr>
          <w:trHeight w:val="570" w:hRule="atLeast"/>
        </w:trPr>
        <w:tc>
          <w:tcPr>
            <w:tcW w:w="714" w:type="pct"/>
            <w:tcBorders>
              <w:top w:val="nil"/>
              <w:left w:val="double" w:color="auto" w:sz="6" w:space="0"/>
              <w:bottom w:val="single" w:color="000000" w:sz="8" w:space="0"/>
              <w:right w:val="single" w:color="000000" w:sz="8" w:space="0"/>
            </w:tcBorders>
            <w:shd w:val="clear" w:color="auto" w:fill="auto"/>
            <w:vAlign w:val="center"/>
          </w:tcPr>
          <w:p w14:paraId="0B87AD36">
            <w:pPr>
              <w:widowControl/>
              <w:spacing w:line="240" w:lineRule="auto"/>
              <w:ind w:firstLine="0" w:firstLineChars="0"/>
              <w:jc w:val="center"/>
              <w:rPr>
                <w:rFonts w:ascii="宋体" w:hAnsi="宋体" w:eastAsia="宋体" w:cs="宋体"/>
                <w:color w:val="000000"/>
                <w:kern w:val="0"/>
                <w:sz w:val="20"/>
              </w:rPr>
            </w:pPr>
            <w:r>
              <w:rPr>
                <w:rFonts w:hint="eastAsia" w:ascii="宋体" w:hAnsi="宋体" w:eastAsia="宋体" w:cs="宋体"/>
                <w:color w:val="000000"/>
                <w:kern w:val="0"/>
                <w:sz w:val="20"/>
              </w:rPr>
              <w:t>1</w:t>
            </w:r>
          </w:p>
        </w:tc>
        <w:tc>
          <w:tcPr>
            <w:tcW w:w="714" w:type="pct"/>
            <w:tcBorders>
              <w:top w:val="nil"/>
              <w:left w:val="nil"/>
              <w:bottom w:val="single" w:color="000000" w:sz="8" w:space="0"/>
              <w:right w:val="single" w:color="000000" w:sz="8" w:space="0"/>
            </w:tcBorders>
            <w:shd w:val="clear" w:color="auto" w:fill="auto"/>
            <w:vAlign w:val="center"/>
          </w:tcPr>
          <w:p w14:paraId="2208B231">
            <w:pPr>
              <w:widowControl/>
              <w:spacing w:line="240" w:lineRule="auto"/>
              <w:ind w:firstLine="0" w:firstLineChars="0"/>
              <w:jc w:val="center"/>
              <w:rPr>
                <w:rFonts w:ascii="宋体" w:hAnsi="宋体" w:eastAsia="宋体" w:cs="宋体"/>
                <w:color w:val="000000"/>
                <w:kern w:val="0"/>
                <w:sz w:val="20"/>
              </w:rPr>
            </w:pPr>
            <w:r>
              <w:rPr>
                <w:rFonts w:hint="eastAsia" w:ascii="宋体" w:hAnsi="宋体" w:eastAsia="宋体" w:cs="宋体"/>
                <w:color w:val="000000"/>
                <w:kern w:val="0"/>
                <w:sz w:val="20"/>
              </w:rPr>
              <w:t>其他临时工程费</w:t>
            </w:r>
          </w:p>
        </w:tc>
        <w:tc>
          <w:tcPr>
            <w:tcW w:w="714" w:type="pct"/>
            <w:tcBorders>
              <w:top w:val="nil"/>
              <w:left w:val="nil"/>
              <w:bottom w:val="single" w:color="000000" w:sz="8" w:space="0"/>
              <w:right w:val="single" w:color="000000" w:sz="8" w:space="0"/>
            </w:tcBorders>
            <w:shd w:val="clear" w:color="auto" w:fill="auto"/>
            <w:vAlign w:val="center"/>
          </w:tcPr>
          <w:p w14:paraId="4CAFC02A">
            <w:pPr>
              <w:widowControl/>
              <w:spacing w:line="240" w:lineRule="auto"/>
              <w:ind w:firstLine="0" w:firstLineChars="0"/>
              <w:jc w:val="center"/>
              <w:rPr>
                <w:rFonts w:ascii="宋体" w:hAnsi="宋体" w:eastAsia="宋体" w:cs="宋体"/>
                <w:color w:val="000000"/>
                <w:kern w:val="0"/>
                <w:sz w:val="20"/>
              </w:rPr>
            </w:pPr>
          </w:p>
        </w:tc>
        <w:tc>
          <w:tcPr>
            <w:tcW w:w="714" w:type="pct"/>
            <w:tcBorders>
              <w:top w:val="nil"/>
              <w:left w:val="nil"/>
              <w:bottom w:val="single" w:color="000000" w:sz="8" w:space="0"/>
              <w:right w:val="single" w:color="000000" w:sz="8" w:space="0"/>
            </w:tcBorders>
            <w:shd w:val="clear" w:color="auto" w:fill="auto"/>
            <w:vAlign w:val="center"/>
          </w:tcPr>
          <w:p w14:paraId="522DD9AB">
            <w:pPr>
              <w:widowControl/>
              <w:spacing w:line="240" w:lineRule="auto"/>
              <w:ind w:firstLine="0" w:firstLineChars="0"/>
              <w:jc w:val="center"/>
              <w:rPr>
                <w:rFonts w:ascii="宋体" w:hAnsi="宋体" w:eastAsia="宋体" w:cs="宋体"/>
                <w:color w:val="000000"/>
                <w:kern w:val="0"/>
                <w:sz w:val="20"/>
              </w:rPr>
            </w:pPr>
          </w:p>
        </w:tc>
        <w:tc>
          <w:tcPr>
            <w:tcW w:w="714" w:type="pct"/>
            <w:tcBorders>
              <w:top w:val="nil"/>
              <w:left w:val="nil"/>
              <w:bottom w:val="single" w:color="000000" w:sz="8" w:space="0"/>
              <w:right w:val="single" w:color="000000" w:sz="8" w:space="0"/>
            </w:tcBorders>
            <w:shd w:val="clear" w:color="auto" w:fill="auto"/>
            <w:vAlign w:val="center"/>
          </w:tcPr>
          <w:p w14:paraId="531CFBEA">
            <w:pPr>
              <w:widowControl/>
              <w:spacing w:line="240" w:lineRule="auto"/>
              <w:ind w:firstLine="0" w:firstLineChars="0"/>
              <w:jc w:val="center"/>
              <w:rPr>
                <w:rFonts w:ascii="宋体" w:hAnsi="宋体" w:eastAsia="宋体" w:cs="宋体"/>
                <w:color w:val="000000"/>
                <w:kern w:val="0"/>
                <w:sz w:val="20"/>
              </w:rPr>
            </w:pPr>
          </w:p>
        </w:tc>
        <w:tc>
          <w:tcPr>
            <w:tcW w:w="714" w:type="pct"/>
            <w:tcBorders>
              <w:top w:val="nil"/>
              <w:left w:val="nil"/>
              <w:bottom w:val="single" w:color="000000" w:sz="8" w:space="0"/>
              <w:right w:val="single" w:color="000000" w:sz="8" w:space="0"/>
            </w:tcBorders>
            <w:shd w:val="clear" w:color="auto" w:fill="auto"/>
            <w:vAlign w:val="center"/>
          </w:tcPr>
          <w:p w14:paraId="413276DF">
            <w:pPr>
              <w:widowControl/>
              <w:spacing w:line="240" w:lineRule="auto"/>
              <w:ind w:firstLine="0" w:firstLineChars="0"/>
              <w:jc w:val="center"/>
              <w:rPr>
                <w:rFonts w:ascii="宋体" w:hAnsi="宋体" w:eastAsia="宋体" w:cs="宋体"/>
                <w:color w:val="000000"/>
                <w:kern w:val="0"/>
                <w:sz w:val="20"/>
              </w:rPr>
            </w:pPr>
          </w:p>
        </w:tc>
        <w:tc>
          <w:tcPr>
            <w:tcW w:w="714" w:type="pct"/>
            <w:tcBorders>
              <w:top w:val="nil"/>
              <w:left w:val="nil"/>
              <w:bottom w:val="single" w:color="000000" w:sz="8" w:space="0"/>
              <w:right w:val="double" w:color="auto" w:sz="6" w:space="0"/>
            </w:tcBorders>
            <w:shd w:val="clear" w:color="auto" w:fill="auto"/>
            <w:vAlign w:val="center"/>
          </w:tcPr>
          <w:p w14:paraId="6C1677CF">
            <w:pPr>
              <w:widowControl/>
              <w:spacing w:line="240" w:lineRule="auto"/>
              <w:ind w:firstLine="0" w:firstLineChars="0"/>
              <w:jc w:val="center"/>
              <w:rPr>
                <w:rFonts w:ascii="宋体" w:hAnsi="宋体" w:eastAsia="宋体" w:cs="宋体"/>
                <w:color w:val="000000"/>
                <w:kern w:val="0"/>
                <w:sz w:val="20"/>
              </w:rPr>
            </w:pPr>
          </w:p>
        </w:tc>
      </w:tr>
      <w:tr w14:paraId="777CF1F8">
        <w:tblPrEx>
          <w:tblCellMar>
            <w:top w:w="0" w:type="dxa"/>
            <w:left w:w="108" w:type="dxa"/>
            <w:bottom w:w="0" w:type="dxa"/>
            <w:right w:w="108" w:type="dxa"/>
          </w:tblCellMar>
        </w:tblPrEx>
        <w:trPr>
          <w:trHeight w:val="570" w:hRule="atLeast"/>
        </w:trPr>
        <w:tc>
          <w:tcPr>
            <w:tcW w:w="714" w:type="pct"/>
            <w:tcBorders>
              <w:top w:val="nil"/>
              <w:left w:val="double" w:color="auto" w:sz="6" w:space="0"/>
              <w:bottom w:val="single" w:color="000000" w:sz="8" w:space="0"/>
              <w:right w:val="single" w:color="000000" w:sz="8" w:space="0"/>
            </w:tcBorders>
            <w:shd w:val="clear" w:color="auto" w:fill="auto"/>
            <w:vAlign w:val="center"/>
          </w:tcPr>
          <w:p w14:paraId="683C9933">
            <w:pPr>
              <w:widowControl/>
              <w:spacing w:line="240" w:lineRule="auto"/>
              <w:ind w:firstLine="0" w:firstLineChars="0"/>
              <w:jc w:val="center"/>
              <w:rPr>
                <w:rFonts w:ascii="宋体" w:hAnsi="宋体" w:eastAsia="宋体" w:cs="宋体"/>
                <w:b/>
                <w:bCs/>
                <w:color w:val="000000"/>
                <w:kern w:val="0"/>
                <w:sz w:val="20"/>
              </w:rPr>
            </w:pPr>
            <w:r>
              <w:rPr>
                <w:rFonts w:hint="eastAsia" w:ascii="宋体" w:hAnsi="宋体" w:eastAsia="宋体" w:cs="宋体"/>
                <w:b/>
                <w:bCs/>
                <w:color w:val="000000"/>
                <w:kern w:val="0"/>
                <w:sz w:val="20"/>
              </w:rPr>
              <w:t>五</w:t>
            </w:r>
          </w:p>
        </w:tc>
        <w:tc>
          <w:tcPr>
            <w:tcW w:w="714" w:type="pct"/>
            <w:tcBorders>
              <w:top w:val="nil"/>
              <w:left w:val="nil"/>
              <w:bottom w:val="single" w:color="000000" w:sz="8" w:space="0"/>
              <w:right w:val="single" w:color="000000" w:sz="8" w:space="0"/>
            </w:tcBorders>
            <w:shd w:val="clear" w:color="auto" w:fill="auto"/>
            <w:vAlign w:val="center"/>
          </w:tcPr>
          <w:p w14:paraId="1EE7DC24">
            <w:pPr>
              <w:widowControl/>
              <w:spacing w:line="240" w:lineRule="auto"/>
              <w:ind w:firstLine="0" w:firstLineChars="0"/>
              <w:jc w:val="center"/>
              <w:rPr>
                <w:rFonts w:ascii="宋体" w:hAnsi="宋体" w:eastAsia="宋体" w:cs="宋体"/>
                <w:b/>
                <w:bCs/>
                <w:color w:val="000000"/>
                <w:kern w:val="0"/>
                <w:sz w:val="20"/>
              </w:rPr>
            </w:pPr>
            <w:r>
              <w:rPr>
                <w:rFonts w:hint="eastAsia" w:ascii="宋体" w:hAnsi="宋体" w:eastAsia="宋体" w:cs="宋体"/>
                <w:b/>
                <w:bCs/>
                <w:color w:val="000000"/>
                <w:kern w:val="0"/>
                <w:sz w:val="20"/>
              </w:rPr>
              <w:t>第五部分 独立费用</w:t>
            </w:r>
          </w:p>
        </w:tc>
        <w:tc>
          <w:tcPr>
            <w:tcW w:w="714" w:type="pct"/>
            <w:tcBorders>
              <w:top w:val="nil"/>
              <w:left w:val="nil"/>
              <w:bottom w:val="single" w:color="000000" w:sz="8" w:space="0"/>
              <w:right w:val="single" w:color="000000" w:sz="8" w:space="0"/>
            </w:tcBorders>
            <w:shd w:val="clear" w:color="auto" w:fill="auto"/>
            <w:vAlign w:val="center"/>
          </w:tcPr>
          <w:p w14:paraId="6A213A09">
            <w:pPr>
              <w:widowControl/>
              <w:spacing w:line="240" w:lineRule="auto"/>
              <w:ind w:firstLine="0" w:firstLineChars="0"/>
              <w:jc w:val="center"/>
              <w:rPr>
                <w:rFonts w:ascii="宋体" w:hAnsi="宋体" w:eastAsia="宋体" w:cs="宋体"/>
                <w:b/>
                <w:bCs/>
                <w:color w:val="000000"/>
                <w:kern w:val="0"/>
                <w:sz w:val="20"/>
              </w:rPr>
            </w:pPr>
          </w:p>
        </w:tc>
        <w:tc>
          <w:tcPr>
            <w:tcW w:w="714" w:type="pct"/>
            <w:tcBorders>
              <w:top w:val="nil"/>
              <w:left w:val="nil"/>
              <w:bottom w:val="single" w:color="000000" w:sz="8" w:space="0"/>
              <w:right w:val="single" w:color="000000" w:sz="8" w:space="0"/>
            </w:tcBorders>
            <w:shd w:val="clear" w:color="auto" w:fill="auto"/>
            <w:vAlign w:val="center"/>
          </w:tcPr>
          <w:p w14:paraId="2CB2B9D6">
            <w:pPr>
              <w:widowControl/>
              <w:spacing w:line="240" w:lineRule="auto"/>
              <w:ind w:firstLine="0" w:firstLineChars="0"/>
              <w:jc w:val="center"/>
              <w:rPr>
                <w:rFonts w:ascii="宋体" w:hAnsi="宋体" w:eastAsia="宋体" w:cs="宋体"/>
                <w:b/>
                <w:bCs/>
                <w:color w:val="000000"/>
                <w:kern w:val="0"/>
                <w:sz w:val="20"/>
              </w:rPr>
            </w:pPr>
          </w:p>
        </w:tc>
        <w:tc>
          <w:tcPr>
            <w:tcW w:w="714" w:type="pct"/>
            <w:tcBorders>
              <w:top w:val="nil"/>
              <w:left w:val="nil"/>
              <w:bottom w:val="single" w:color="000000" w:sz="8" w:space="0"/>
              <w:right w:val="single" w:color="000000" w:sz="8" w:space="0"/>
            </w:tcBorders>
            <w:shd w:val="clear" w:color="auto" w:fill="auto"/>
            <w:vAlign w:val="center"/>
          </w:tcPr>
          <w:p w14:paraId="6711DAFD">
            <w:pPr>
              <w:widowControl/>
              <w:spacing w:line="240" w:lineRule="auto"/>
              <w:ind w:firstLine="0" w:firstLineChars="0"/>
              <w:jc w:val="center"/>
              <w:rPr>
                <w:rFonts w:ascii="宋体" w:hAnsi="宋体" w:eastAsia="宋体" w:cs="宋体"/>
                <w:b/>
                <w:bCs/>
                <w:color w:val="000000"/>
                <w:kern w:val="0"/>
                <w:sz w:val="20"/>
              </w:rPr>
            </w:pPr>
          </w:p>
        </w:tc>
        <w:tc>
          <w:tcPr>
            <w:tcW w:w="714" w:type="pct"/>
            <w:tcBorders>
              <w:top w:val="nil"/>
              <w:left w:val="nil"/>
              <w:bottom w:val="single" w:color="000000" w:sz="8" w:space="0"/>
              <w:right w:val="single" w:color="000000" w:sz="8" w:space="0"/>
            </w:tcBorders>
            <w:shd w:val="clear" w:color="auto" w:fill="auto"/>
            <w:vAlign w:val="center"/>
          </w:tcPr>
          <w:p w14:paraId="70D62C5F">
            <w:pPr>
              <w:widowControl/>
              <w:spacing w:line="240" w:lineRule="auto"/>
              <w:ind w:firstLine="0" w:firstLineChars="0"/>
              <w:jc w:val="center"/>
              <w:rPr>
                <w:rFonts w:ascii="宋体" w:hAnsi="宋体" w:eastAsia="宋体" w:cs="宋体"/>
                <w:b/>
                <w:bCs/>
                <w:color w:val="000000"/>
                <w:kern w:val="0"/>
                <w:sz w:val="20"/>
              </w:rPr>
            </w:pPr>
            <w:r>
              <w:rPr>
                <w:rFonts w:hint="eastAsia" w:ascii="宋体" w:hAnsi="宋体" w:eastAsia="宋体" w:cs="宋体"/>
                <w:b/>
                <w:bCs/>
                <w:color w:val="000000"/>
                <w:kern w:val="0"/>
                <w:sz w:val="20"/>
              </w:rPr>
              <w:t>8.21</w:t>
            </w:r>
          </w:p>
        </w:tc>
        <w:tc>
          <w:tcPr>
            <w:tcW w:w="714" w:type="pct"/>
            <w:tcBorders>
              <w:top w:val="nil"/>
              <w:left w:val="nil"/>
              <w:bottom w:val="single" w:color="000000" w:sz="8" w:space="0"/>
              <w:right w:val="double" w:color="auto" w:sz="6" w:space="0"/>
            </w:tcBorders>
            <w:shd w:val="clear" w:color="auto" w:fill="auto"/>
            <w:vAlign w:val="center"/>
          </w:tcPr>
          <w:p w14:paraId="3B23E19A">
            <w:pPr>
              <w:widowControl/>
              <w:spacing w:line="240" w:lineRule="auto"/>
              <w:ind w:firstLine="0" w:firstLineChars="0"/>
              <w:jc w:val="center"/>
              <w:rPr>
                <w:rFonts w:ascii="宋体" w:hAnsi="宋体" w:eastAsia="宋体" w:cs="宋体"/>
                <w:b/>
                <w:bCs/>
                <w:color w:val="000000"/>
                <w:kern w:val="0"/>
                <w:sz w:val="20"/>
              </w:rPr>
            </w:pPr>
            <w:r>
              <w:rPr>
                <w:rFonts w:hint="eastAsia" w:ascii="宋体" w:hAnsi="宋体" w:eastAsia="宋体" w:cs="宋体"/>
                <w:b/>
                <w:bCs/>
                <w:color w:val="000000"/>
                <w:kern w:val="0"/>
                <w:sz w:val="20"/>
              </w:rPr>
              <w:t>8.21</w:t>
            </w:r>
          </w:p>
        </w:tc>
      </w:tr>
      <w:tr w14:paraId="368ECDB9">
        <w:tblPrEx>
          <w:tblCellMar>
            <w:top w:w="0" w:type="dxa"/>
            <w:left w:w="108" w:type="dxa"/>
            <w:bottom w:w="0" w:type="dxa"/>
            <w:right w:w="108" w:type="dxa"/>
          </w:tblCellMar>
        </w:tblPrEx>
        <w:trPr>
          <w:trHeight w:val="570" w:hRule="atLeast"/>
        </w:trPr>
        <w:tc>
          <w:tcPr>
            <w:tcW w:w="714" w:type="pct"/>
            <w:tcBorders>
              <w:top w:val="nil"/>
              <w:left w:val="double" w:color="auto" w:sz="6" w:space="0"/>
              <w:bottom w:val="single" w:color="000000" w:sz="8" w:space="0"/>
              <w:right w:val="single" w:color="000000" w:sz="8" w:space="0"/>
            </w:tcBorders>
            <w:shd w:val="clear" w:color="auto" w:fill="auto"/>
            <w:vAlign w:val="center"/>
          </w:tcPr>
          <w:p w14:paraId="5799F387">
            <w:pPr>
              <w:widowControl/>
              <w:spacing w:line="240" w:lineRule="auto"/>
              <w:ind w:firstLine="0" w:firstLineChars="0"/>
              <w:jc w:val="center"/>
              <w:rPr>
                <w:rFonts w:ascii="宋体" w:hAnsi="宋体" w:eastAsia="宋体" w:cs="宋体"/>
                <w:color w:val="000000"/>
                <w:kern w:val="0"/>
                <w:sz w:val="20"/>
              </w:rPr>
            </w:pPr>
            <w:r>
              <w:rPr>
                <w:rFonts w:hint="eastAsia" w:ascii="宋体" w:hAnsi="宋体" w:eastAsia="宋体" w:cs="宋体"/>
                <w:color w:val="000000"/>
                <w:kern w:val="0"/>
                <w:sz w:val="20"/>
              </w:rPr>
              <w:t>1</w:t>
            </w:r>
          </w:p>
        </w:tc>
        <w:tc>
          <w:tcPr>
            <w:tcW w:w="714" w:type="pct"/>
            <w:tcBorders>
              <w:top w:val="nil"/>
              <w:left w:val="nil"/>
              <w:bottom w:val="single" w:color="000000" w:sz="8" w:space="0"/>
              <w:right w:val="single" w:color="000000" w:sz="8" w:space="0"/>
            </w:tcBorders>
            <w:shd w:val="clear" w:color="auto" w:fill="auto"/>
            <w:vAlign w:val="center"/>
          </w:tcPr>
          <w:p w14:paraId="01902B21">
            <w:pPr>
              <w:widowControl/>
              <w:spacing w:line="240" w:lineRule="auto"/>
              <w:ind w:firstLine="0" w:firstLineChars="0"/>
              <w:jc w:val="center"/>
              <w:rPr>
                <w:rFonts w:ascii="宋体" w:hAnsi="宋体" w:eastAsia="宋体" w:cs="宋体"/>
                <w:color w:val="000000"/>
                <w:kern w:val="0"/>
                <w:sz w:val="20"/>
              </w:rPr>
            </w:pPr>
            <w:r>
              <w:rPr>
                <w:rFonts w:hint="eastAsia" w:ascii="宋体" w:hAnsi="宋体" w:eastAsia="宋体" w:cs="宋体"/>
                <w:color w:val="000000"/>
                <w:kern w:val="0"/>
                <w:sz w:val="20"/>
              </w:rPr>
              <w:t>建设单位管理费</w:t>
            </w:r>
          </w:p>
        </w:tc>
        <w:tc>
          <w:tcPr>
            <w:tcW w:w="714" w:type="pct"/>
            <w:tcBorders>
              <w:top w:val="nil"/>
              <w:left w:val="nil"/>
              <w:bottom w:val="single" w:color="000000" w:sz="8" w:space="0"/>
              <w:right w:val="single" w:color="000000" w:sz="8" w:space="0"/>
            </w:tcBorders>
            <w:shd w:val="clear" w:color="auto" w:fill="auto"/>
            <w:vAlign w:val="center"/>
          </w:tcPr>
          <w:p w14:paraId="57A2F188">
            <w:pPr>
              <w:widowControl/>
              <w:spacing w:line="240" w:lineRule="auto"/>
              <w:ind w:firstLine="0" w:firstLineChars="0"/>
              <w:jc w:val="center"/>
              <w:rPr>
                <w:rFonts w:ascii="宋体" w:hAnsi="宋体" w:eastAsia="宋体" w:cs="宋体"/>
                <w:color w:val="000000"/>
                <w:kern w:val="0"/>
                <w:sz w:val="20"/>
              </w:rPr>
            </w:pPr>
          </w:p>
        </w:tc>
        <w:tc>
          <w:tcPr>
            <w:tcW w:w="714" w:type="pct"/>
            <w:tcBorders>
              <w:top w:val="nil"/>
              <w:left w:val="nil"/>
              <w:bottom w:val="single" w:color="000000" w:sz="8" w:space="0"/>
              <w:right w:val="single" w:color="000000" w:sz="8" w:space="0"/>
            </w:tcBorders>
            <w:shd w:val="clear" w:color="auto" w:fill="auto"/>
            <w:vAlign w:val="center"/>
          </w:tcPr>
          <w:p w14:paraId="4D8E5FD3">
            <w:pPr>
              <w:widowControl/>
              <w:spacing w:line="240" w:lineRule="auto"/>
              <w:ind w:firstLine="0" w:firstLineChars="0"/>
              <w:jc w:val="center"/>
              <w:rPr>
                <w:rFonts w:ascii="宋体" w:hAnsi="宋体" w:eastAsia="宋体" w:cs="宋体"/>
                <w:color w:val="000000"/>
                <w:kern w:val="0"/>
                <w:sz w:val="20"/>
              </w:rPr>
            </w:pPr>
          </w:p>
        </w:tc>
        <w:tc>
          <w:tcPr>
            <w:tcW w:w="714" w:type="pct"/>
            <w:tcBorders>
              <w:top w:val="nil"/>
              <w:left w:val="nil"/>
              <w:bottom w:val="single" w:color="000000" w:sz="8" w:space="0"/>
              <w:right w:val="single" w:color="000000" w:sz="8" w:space="0"/>
            </w:tcBorders>
            <w:shd w:val="clear" w:color="auto" w:fill="auto"/>
            <w:vAlign w:val="center"/>
          </w:tcPr>
          <w:p w14:paraId="352C751B">
            <w:pPr>
              <w:widowControl/>
              <w:spacing w:line="240" w:lineRule="auto"/>
              <w:ind w:firstLine="0" w:firstLineChars="0"/>
              <w:jc w:val="center"/>
              <w:rPr>
                <w:rFonts w:ascii="宋体" w:hAnsi="宋体" w:eastAsia="宋体" w:cs="宋体"/>
                <w:color w:val="000000"/>
                <w:kern w:val="0"/>
                <w:sz w:val="20"/>
              </w:rPr>
            </w:pPr>
          </w:p>
        </w:tc>
        <w:tc>
          <w:tcPr>
            <w:tcW w:w="714" w:type="pct"/>
            <w:tcBorders>
              <w:top w:val="nil"/>
              <w:left w:val="nil"/>
              <w:bottom w:val="single" w:color="000000" w:sz="8" w:space="0"/>
              <w:right w:val="single" w:color="000000" w:sz="8" w:space="0"/>
            </w:tcBorders>
            <w:shd w:val="clear" w:color="auto" w:fill="auto"/>
            <w:vAlign w:val="center"/>
          </w:tcPr>
          <w:p w14:paraId="10E0F556">
            <w:pPr>
              <w:widowControl/>
              <w:spacing w:line="240" w:lineRule="auto"/>
              <w:ind w:firstLine="0" w:firstLineChars="0"/>
              <w:jc w:val="center"/>
              <w:rPr>
                <w:rFonts w:ascii="宋体" w:hAnsi="宋体" w:eastAsia="宋体" w:cs="宋体"/>
                <w:color w:val="000000"/>
                <w:kern w:val="0"/>
                <w:sz w:val="20"/>
              </w:rPr>
            </w:pPr>
            <w:r>
              <w:rPr>
                <w:rFonts w:hint="eastAsia" w:ascii="宋体" w:hAnsi="宋体" w:eastAsia="宋体" w:cs="宋体"/>
                <w:color w:val="000000"/>
                <w:kern w:val="0"/>
                <w:sz w:val="20"/>
              </w:rPr>
              <w:t>0.21</w:t>
            </w:r>
          </w:p>
        </w:tc>
        <w:tc>
          <w:tcPr>
            <w:tcW w:w="714" w:type="pct"/>
            <w:tcBorders>
              <w:top w:val="nil"/>
              <w:left w:val="nil"/>
              <w:bottom w:val="single" w:color="000000" w:sz="8" w:space="0"/>
              <w:right w:val="double" w:color="auto" w:sz="6" w:space="0"/>
            </w:tcBorders>
            <w:shd w:val="clear" w:color="auto" w:fill="auto"/>
            <w:vAlign w:val="center"/>
          </w:tcPr>
          <w:p w14:paraId="763D0A43">
            <w:pPr>
              <w:widowControl/>
              <w:spacing w:line="240" w:lineRule="auto"/>
              <w:ind w:firstLine="0" w:firstLineChars="0"/>
              <w:jc w:val="center"/>
              <w:rPr>
                <w:rFonts w:ascii="宋体" w:hAnsi="宋体" w:eastAsia="宋体" w:cs="宋体"/>
                <w:color w:val="000000"/>
                <w:kern w:val="0"/>
                <w:sz w:val="20"/>
              </w:rPr>
            </w:pPr>
            <w:r>
              <w:rPr>
                <w:rFonts w:hint="eastAsia" w:ascii="宋体" w:hAnsi="宋体" w:eastAsia="宋体" w:cs="宋体"/>
                <w:color w:val="000000"/>
                <w:kern w:val="0"/>
                <w:sz w:val="20"/>
              </w:rPr>
              <w:t>0.21</w:t>
            </w:r>
          </w:p>
        </w:tc>
      </w:tr>
      <w:tr w14:paraId="693DA503">
        <w:tblPrEx>
          <w:tblCellMar>
            <w:top w:w="0" w:type="dxa"/>
            <w:left w:w="108" w:type="dxa"/>
            <w:bottom w:w="0" w:type="dxa"/>
            <w:right w:w="108" w:type="dxa"/>
          </w:tblCellMar>
        </w:tblPrEx>
        <w:trPr>
          <w:trHeight w:val="570" w:hRule="atLeast"/>
        </w:trPr>
        <w:tc>
          <w:tcPr>
            <w:tcW w:w="714" w:type="pct"/>
            <w:tcBorders>
              <w:top w:val="nil"/>
              <w:left w:val="double" w:color="auto" w:sz="6" w:space="0"/>
              <w:bottom w:val="single" w:color="000000" w:sz="8" w:space="0"/>
              <w:right w:val="single" w:color="000000" w:sz="8" w:space="0"/>
            </w:tcBorders>
            <w:shd w:val="clear" w:color="auto" w:fill="auto"/>
            <w:vAlign w:val="center"/>
          </w:tcPr>
          <w:p w14:paraId="64DA127B">
            <w:pPr>
              <w:widowControl/>
              <w:spacing w:line="240" w:lineRule="auto"/>
              <w:ind w:firstLine="0" w:firstLineChars="0"/>
              <w:jc w:val="center"/>
              <w:rPr>
                <w:rFonts w:ascii="宋体" w:hAnsi="宋体" w:eastAsia="宋体" w:cs="宋体"/>
                <w:color w:val="000000"/>
                <w:kern w:val="0"/>
                <w:sz w:val="20"/>
              </w:rPr>
            </w:pPr>
            <w:r>
              <w:rPr>
                <w:rFonts w:hint="eastAsia" w:ascii="宋体" w:hAnsi="宋体" w:eastAsia="宋体" w:cs="宋体"/>
                <w:color w:val="000000"/>
                <w:kern w:val="0"/>
                <w:sz w:val="20"/>
              </w:rPr>
              <w:t>2</w:t>
            </w:r>
          </w:p>
        </w:tc>
        <w:tc>
          <w:tcPr>
            <w:tcW w:w="714" w:type="pct"/>
            <w:tcBorders>
              <w:top w:val="nil"/>
              <w:left w:val="nil"/>
              <w:bottom w:val="single" w:color="000000" w:sz="8" w:space="0"/>
              <w:right w:val="single" w:color="000000" w:sz="8" w:space="0"/>
            </w:tcBorders>
            <w:shd w:val="clear" w:color="auto" w:fill="auto"/>
            <w:vAlign w:val="center"/>
          </w:tcPr>
          <w:p w14:paraId="37E5515F">
            <w:pPr>
              <w:widowControl/>
              <w:spacing w:line="240" w:lineRule="auto"/>
              <w:ind w:firstLine="0" w:firstLineChars="0"/>
              <w:jc w:val="center"/>
              <w:rPr>
                <w:rFonts w:ascii="宋体" w:hAnsi="宋体" w:eastAsia="宋体" w:cs="宋体"/>
                <w:color w:val="000000"/>
                <w:kern w:val="0"/>
                <w:sz w:val="20"/>
              </w:rPr>
            </w:pPr>
            <w:r>
              <w:rPr>
                <w:rFonts w:hint="eastAsia" w:ascii="宋体" w:hAnsi="宋体" w:eastAsia="宋体" w:cs="宋体"/>
                <w:color w:val="000000"/>
                <w:kern w:val="0"/>
                <w:sz w:val="20"/>
              </w:rPr>
              <w:t>经济技术咨询费</w:t>
            </w:r>
          </w:p>
        </w:tc>
        <w:tc>
          <w:tcPr>
            <w:tcW w:w="714" w:type="pct"/>
            <w:tcBorders>
              <w:top w:val="nil"/>
              <w:left w:val="nil"/>
              <w:bottom w:val="single" w:color="000000" w:sz="8" w:space="0"/>
              <w:right w:val="single" w:color="000000" w:sz="8" w:space="0"/>
            </w:tcBorders>
            <w:shd w:val="clear" w:color="auto" w:fill="auto"/>
            <w:vAlign w:val="center"/>
          </w:tcPr>
          <w:p w14:paraId="6761FEA6">
            <w:pPr>
              <w:widowControl/>
              <w:spacing w:line="240" w:lineRule="auto"/>
              <w:ind w:firstLine="0" w:firstLineChars="0"/>
              <w:jc w:val="center"/>
              <w:rPr>
                <w:rFonts w:ascii="宋体" w:hAnsi="宋体" w:eastAsia="宋体" w:cs="宋体"/>
                <w:color w:val="000000"/>
                <w:kern w:val="0"/>
                <w:sz w:val="20"/>
              </w:rPr>
            </w:pPr>
          </w:p>
        </w:tc>
        <w:tc>
          <w:tcPr>
            <w:tcW w:w="714" w:type="pct"/>
            <w:tcBorders>
              <w:top w:val="nil"/>
              <w:left w:val="nil"/>
              <w:bottom w:val="single" w:color="000000" w:sz="8" w:space="0"/>
              <w:right w:val="single" w:color="000000" w:sz="8" w:space="0"/>
            </w:tcBorders>
            <w:shd w:val="clear" w:color="auto" w:fill="auto"/>
            <w:vAlign w:val="center"/>
          </w:tcPr>
          <w:p w14:paraId="7CC31E09">
            <w:pPr>
              <w:widowControl/>
              <w:spacing w:line="240" w:lineRule="auto"/>
              <w:ind w:firstLine="0" w:firstLineChars="0"/>
              <w:jc w:val="center"/>
              <w:rPr>
                <w:rFonts w:ascii="宋体" w:hAnsi="宋体" w:eastAsia="宋体" w:cs="宋体"/>
                <w:color w:val="000000"/>
                <w:kern w:val="0"/>
                <w:sz w:val="20"/>
              </w:rPr>
            </w:pPr>
          </w:p>
        </w:tc>
        <w:tc>
          <w:tcPr>
            <w:tcW w:w="714" w:type="pct"/>
            <w:tcBorders>
              <w:top w:val="nil"/>
              <w:left w:val="nil"/>
              <w:bottom w:val="single" w:color="000000" w:sz="8" w:space="0"/>
              <w:right w:val="single" w:color="000000" w:sz="8" w:space="0"/>
            </w:tcBorders>
            <w:shd w:val="clear" w:color="auto" w:fill="auto"/>
            <w:vAlign w:val="center"/>
          </w:tcPr>
          <w:p w14:paraId="6CA5F253">
            <w:pPr>
              <w:widowControl/>
              <w:spacing w:line="240" w:lineRule="auto"/>
              <w:ind w:firstLine="0" w:firstLineChars="0"/>
              <w:jc w:val="center"/>
              <w:rPr>
                <w:rFonts w:ascii="宋体" w:hAnsi="宋体" w:eastAsia="宋体" w:cs="宋体"/>
                <w:color w:val="000000"/>
                <w:kern w:val="0"/>
                <w:sz w:val="20"/>
              </w:rPr>
            </w:pPr>
          </w:p>
        </w:tc>
        <w:tc>
          <w:tcPr>
            <w:tcW w:w="714" w:type="pct"/>
            <w:tcBorders>
              <w:top w:val="nil"/>
              <w:left w:val="nil"/>
              <w:bottom w:val="single" w:color="000000" w:sz="8" w:space="0"/>
              <w:right w:val="single" w:color="000000" w:sz="8" w:space="0"/>
            </w:tcBorders>
            <w:shd w:val="clear" w:color="auto" w:fill="auto"/>
            <w:vAlign w:val="center"/>
          </w:tcPr>
          <w:p w14:paraId="7BDDD934">
            <w:pPr>
              <w:widowControl/>
              <w:spacing w:line="240" w:lineRule="auto"/>
              <w:ind w:firstLine="0" w:firstLineChars="0"/>
              <w:jc w:val="center"/>
              <w:rPr>
                <w:rFonts w:ascii="宋体" w:hAnsi="宋体" w:eastAsia="宋体" w:cs="宋体"/>
                <w:color w:val="000000"/>
                <w:kern w:val="0"/>
                <w:sz w:val="20"/>
              </w:rPr>
            </w:pPr>
          </w:p>
        </w:tc>
        <w:tc>
          <w:tcPr>
            <w:tcW w:w="714" w:type="pct"/>
            <w:tcBorders>
              <w:top w:val="nil"/>
              <w:left w:val="nil"/>
              <w:bottom w:val="single" w:color="000000" w:sz="8" w:space="0"/>
              <w:right w:val="double" w:color="auto" w:sz="6" w:space="0"/>
            </w:tcBorders>
            <w:shd w:val="clear" w:color="auto" w:fill="auto"/>
            <w:vAlign w:val="center"/>
          </w:tcPr>
          <w:p w14:paraId="60A1EC6C">
            <w:pPr>
              <w:widowControl/>
              <w:spacing w:line="240" w:lineRule="auto"/>
              <w:ind w:firstLine="0" w:firstLineChars="0"/>
              <w:jc w:val="center"/>
              <w:rPr>
                <w:rFonts w:ascii="宋体" w:hAnsi="宋体" w:eastAsia="宋体" w:cs="宋体"/>
                <w:color w:val="000000"/>
                <w:kern w:val="0"/>
                <w:sz w:val="20"/>
              </w:rPr>
            </w:pPr>
          </w:p>
        </w:tc>
      </w:tr>
      <w:tr w14:paraId="7653EC1F">
        <w:tblPrEx>
          <w:tblCellMar>
            <w:top w:w="0" w:type="dxa"/>
            <w:left w:w="108" w:type="dxa"/>
            <w:bottom w:w="0" w:type="dxa"/>
            <w:right w:w="108" w:type="dxa"/>
          </w:tblCellMar>
        </w:tblPrEx>
        <w:trPr>
          <w:trHeight w:val="750" w:hRule="atLeast"/>
        </w:trPr>
        <w:tc>
          <w:tcPr>
            <w:tcW w:w="714" w:type="pct"/>
            <w:tcBorders>
              <w:top w:val="nil"/>
              <w:left w:val="double" w:color="auto" w:sz="6" w:space="0"/>
              <w:bottom w:val="single" w:color="000000" w:sz="8" w:space="0"/>
              <w:right w:val="single" w:color="000000" w:sz="8" w:space="0"/>
            </w:tcBorders>
            <w:shd w:val="clear" w:color="auto" w:fill="auto"/>
            <w:vAlign w:val="center"/>
          </w:tcPr>
          <w:p w14:paraId="7F7D94E3">
            <w:pPr>
              <w:widowControl/>
              <w:spacing w:line="240" w:lineRule="auto"/>
              <w:ind w:firstLine="0" w:firstLineChars="0"/>
              <w:jc w:val="center"/>
              <w:rPr>
                <w:rFonts w:ascii="宋体" w:hAnsi="宋体" w:eastAsia="宋体" w:cs="宋体"/>
                <w:color w:val="000000"/>
                <w:kern w:val="0"/>
                <w:sz w:val="20"/>
              </w:rPr>
            </w:pPr>
            <w:r>
              <w:rPr>
                <w:rFonts w:hint="eastAsia" w:ascii="宋体" w:hAnsi="宋体" w:eastAsia="宋体" w:cs="宋体"/>
                <w:color w:val="000000"/>
                <w:kern w:val="0"/>
                <w:sz w:val="20"/>
              </w:rPr>
              <w:t>3</w:t>
            </w:r>
          </w:p>
        </w:tc>
        <w:tc>
          <w:tcPr>
            <w:tcW w:w="714" w:type="pct"/>
            <w:tcBorders>
              <w:top w:val="nil"/>
              <w:left w:val="nil"/>
              <w:bottom w:val="single" w:color="000000" w:sz="8" w:space="0"/>
              <w:right w:val="single" w:color="000000" w:sz="8" w:space="0"/>
            </w:tcBorders>
            <w:shd w:val="clear" w:color="auto" w:fill="auto"/>
            <w:vAlign w:val="center"/>
          </w:tcPr>
          <w:p w14:paraId="354914C4">
            <w:pPr>
              <w:widowControl/>
              <w:spacing w:line="240" w:lineRule="auto"/>
              <w:ind w:firstLine="0" w:firstLineChars="0"/>
              <w:jc w:val="center"/>
              <w:rPr>
                <w:rFonts w:ascii="宋体" w:hAnsi="宋体" w:eastAsia="宋体" w:cs="宋体"/>
                <w:color w:val="000000"/>
                <w:kern w:val="0"/>
                <w:sz w:val="20"/>
              </w:rPr>
            </w:pPr>
            <w:r>
              <w:rPr>
                <w:rFonts w:hint="eastAsia" w:ascii="宋体" w:hAnsi="宋体" w:eastAsia="宋体" w:cs="宋体"/>
                <w:color w:val="000000"/>
                <w:kern w:val="0"/>
                <w:sz w:val="20"/>
              </w:rPr>
              <w:t>水土保持设施验报告咨询费</w:t>
            </w:r>
          </w:p>
        </w:tc>
        <w:tc>
          <w:tcPr>
            <w:tcW w:w="714" w:type="pct"/>
            <w:tcBorders>
              <w:top w:val="nil"/>
              <w:left w:val="nil"/>
              <w:bottom w:val="single" w:color="000000" w:sz="8" w:space="0"/>
              <w:right w:val="single" w:color="000000" w:sz="8" w:space="0"/>
            </w:tcBorders>
            <w:shd w:val="clear" w:color="auto" w:fill="auto"/>
            <w:vAlign w:val="center"/>
          </w:tcPr>
          <w:p w14:paraId="1264C589">
            <w:pPr>
              <w:widowControl/>
              <w:spacing w:line="240" w:lineRule="auto"/>
              <w:ind w:firstLine="0" w:firstLineChars="0"/>
              <w:jc w:val="center"/>
              <w:rPr>
                <w:rFonts w:ascii="宋体" w:hAnsi="宋体" w:eastAsia="宋体" w:cs="宋体"/>
                <w:color w:val="000000"/>
                <w:kern w:val="0"/>
                <w:sz w:val="20"/>
              </w:rPr>
            </w:pPr>
          </w:p>
        </w:tc>
        <w:tc>
          <w:tcPr>
            <w:tcW w:w="714" w:type="pct"/>
            <w:tcBorders>
              <w:top w:val="nil"/>
              <w:left w:val="nil"/>
              <w:bottom w:val="single" w:color="000000" w:sz="8" w:space="0"/>
              <w:right w:val="single" w:color="000000" w:sz="8" w:space="0"/>
            </w:tcBorders>
            <w:shd w:val="clear" w:color="auto" w:fill="auto"/>
            <w:vAlign w:val="center"/>
          </w:tcPr>
          <w:p w14:paraId="48E7BE49">
            <w:pPr>
              <w:widowControl/>
              <w:spacing w:line="240" w:lineRule="auto"/>
              <w:ind w:firstLine="0" w:firstLineChars="0"/>
              <w:jc w:val="center"/>
              <w:rPr>
                <w:rFonts w:ascii="宋体" w:hAnsi="宋体" w:eastAsia="宋体" w:cs="宋体"/>
                <w:color w:val="000000"/>
                <w:kern w:val="0"/>
                <w:sz w:val="20"/>
              </w:rPr>
            </w:pPr>
          </w:p>
        </w:tc>
        <w:tc>
          <w:tcPr>
            <w:tcW w:w="714" w:type="pct"/>
            <w:tcBorders>
              <w:top w:val="nil"/>
              <w:left w:val="nil"/>
              <w:bottom w:val="single" w:color="000000" w:sz="8" w:space="0"/>
              <w:right w:val="single" w:color="000000" w:sz="8" w:space="0"/>
            </w:tcBorders>
            <w:shd w:val="clear" w:color="auto" w:fill="auto"/>
            <w:vAlign w:val="center"/>
          </w:tcPr>
          <w:p w14:paraId="10480269">
            <w:pPr>
              <w:widowControl/>
              <w:spacing w:line="240" w:lineRule="auto"/>
              <w:ind w:firstLine="0" w:firstLineChars="0"/>
              <w:jc w:val="center"/>
              <w:rPr>
                <w:rFonts w:ascii="宋体" w:hAnsi="宋体" w:eastAsia="宋体" w:cs="宋体"/>
                <w:color w:val="000000"/>
                <w:kern w:val="0"/>
                <w:sz w:val="20"/>
              </w:rPr>
            </w:pPr>
          </w:p>
        </w:tc>
        <w:tc>
          <w:tcPr>
            <w:tcW w:w="714" w:type="pct"/>
            <w:tcBorders>
              <w:top w:val="nil"/>
              <w:left w:val="nil"/>
              <w:bottom w:val="single" w:color="000000" w:sz="8" w:space="0"/>
              <w:right w:val="single" w:color="000000" w:sz="8" w:space="0"/>
            </w:tcBorders>
            <w:shd w:val="clear" w:color="auto" w:fill="auto"/>
            <w:vAlign w:val="center"/>
          </w:tcPr>
          <w:p w14:paraId="036D25C2">
            <w:pPr>
              <w:widowControl/>
              <w:spacing w:line="240" w:lineRule="auto"/>
              <w:ind w:firstLine="0" w:firstLineChars="0"/>
              <w:jc w:val="center"/>
              <w:rPr>
                <w:rFonts w:ascii="宋体" w:hAnsi="宋体" w:eastAsia="宋体" w:cs="宋体"/>
                <w:color w:val="000000"/>
                <w:kern w:val="0"/>
                <w:sz w:val="20"/>
              </w:rPr>
            </w:pPr>
            <w:r>
              <w:rPr>
                <w:rFonts w:hint="eastAsia" w:ascii="宋体" w:hAnsi="宋体" w:eastAsia="宋体" w:cs="宋体"/>
                <w:color w:val="000000"/>
                <w:kern w:val="0"/>
                <w:sz w:val="20"/>
              </w:rPr>
              <w:t>8</w:t>
            </w:r>
          </w:p>
        </w:tc>
        <w:tc>
          <w:tcPr>
            <w:tcW w:w="714" w:type="pct"/>
            <w:tcBorders>
              <w:top w:val="nil"/>
              <w:left w:val="nil"/>
              <w:bottom w:val="single" w:color="000000" w:sz="8" w:space="0"/>
              <w:right w:val="double" w:color="auto" w:sz="6" w:space="0"/>
            </w:tcBorders>
            <w:shd w:val="clear" w:color="auto" w:fill="auto"/>
            <w:vAlign w:val="center"/>
          </w:tcPr>
          <w:p w14:paraId="450E2E4B">
            <w:pPr>
              <w:widowControl/>
              <w:spacing w:line="240" w:lineRule="auto"/>
              <w:ind w:firstLine="0" w:firstLineChars="0"/>
              <w:jc w:val="center"/>
              <w:rPr>
                <w:rFonts w:ascii="宋体" w:hAnsi="宋体" w:eastAsia="宋体" w:cs="宋体"/>
                <w:color w:val="000000"/>
                <w:kern w:val="0"/>
                <w:sz w:val="20"/>
              </w:rPr>
            </w:pPr>
            <w:r>
              <w:rPr>
                <w:rFonts w:hint="eastAsia" w:ascii="宋体" w:hAnsi="宋体" w:eastAsia="宋体" w:cs="宋体"/>
                <w:color w:val="000000"/>
                <w:kern w:val="0"/>
                <w:sz w:val="20"/>
              </w:rPr>
              <w:t>8</w:t>
            </w:r>
          </w:p>
        </w:tc>
      </w:tr>
      <w:tr w14:paraId="5EE08E53">
        <w:tblPrEx>
          <w:tblCellMar>
            <w:top w:w="0" w:type="dxa"/>
            <w:left w:w="108" w:type="dxa"/>
            <w:bottom w:w="0" w:type="dxa"/>
            <w:right w:w="108" w:type="dxa"/>
          </w:tblCellMar>
        </w:tblPrEx>
        <w:trPr>
          <w:trHeight w:val="510" w:hRule="atLeast"/>
        </w:trPr>
        <w:tc>
          <w:tcPr>
            <w:tcW w:w="714" w:type="pct"/>
            <w:tcBorders>
              <w:top w:val="nil"/>
              <w:left w:val="double" w:color="auto" w:sz="6" w:space="0"/>
              <w:bottom w:val="single" w:color="000000" w:sz="8" w:space="0"/>
              <w:right w:val="single" w:color="000000" w:sz="8" w:space="0"/>
            </w:tcBorders>
            <w:shd w:val="clear" w:color="auto" w:fill="auto"/>
            <w:vAlign w:val="center"/>
          </w:tcPr>
          <w:p w14:paraId="6163D80A">
            <w:pPr>
              <w:widowControl/>
              <w:spacing w:line="240" w:lineRule="auto"/>
              <w:ind w:firstLine="0" w:firstLineChars="0"/>
              <w:jc w:val="center"/>
              <w:rPr>
                <w:rFonts w:ascii="宋体" w:hAnsi="宋体" w:eastAsia="宋体" w:cs="宋体"/>
                <w:b/>
                <w:bCs/>
                <w:color w:val="000000"/>
                <w:kern w:val="0"/>
                <w:sz w:val="20"/>
              </w:rPr>
            </w:pPr>
            <w:r>
              <w:rPr>
                <w:rFonts w:hint="eastAsia" w:ascii="宋体" w:hAnsi="宋体" w:eastAsia="宋体" w:cs="宋体"/>
                <w:b/>
                <w:bCs/>
                <w:color w:val="000000"/>
                <w:kern w:val="0"/>
                <w:sz w:val="20"/>
              </w:rPr>
              <w:t>I</w:t>
            </w:r>
          </w:p>
        </w:tc>
        <w:tc>
          <w:tcPr>
            <w:tcW w:w="714" w:type="pct"/>
            <w:tcBorders>
              <w:top w:val="nil"/>
              <w:left w:val="nil"/>
              <w:bottom w:val="single" w:color="000000" w:sz="8" w:space="0"/>
              <w:right w:val="single" w:color="000000" w:sz="8" w:space="0"/>
            </w:tcBorders>
            <w:shd w:val="clear" w:color="auto" w:fill="auto"/>
            <w:vAlign w:val="center"/>
          </w:tcPr>
          <w:p w14:paraId="7272FEC2">
            <w:pPr>
              <w:widowControl/>
              <w:spacing w:line="240" w:lineRule="auto"/>
              <w:ind w:firstLine="0" w:firstLineChars="0"/>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一至五部分合计</w:t>
            </w:r>
          </w:p>
        </w:tc>
        <w:tc>
          <w:tcPr>
            <w:tcW w:w="714" w:type="pct"/>
            <w:tcBorders>
              <w:top w:val="nil"/>
              <w:left w:val="nil"/>
              <w:bottom w:val="single" w:color="000000" w:sz="8" w:space="0"/>
              <w:right w:val="single" w:color="000000" w:sz="8" w:space="0"/>
            </w:tcBorders>
            <w:shd w:val="clear" w:color="auto" w:fill="auto"/>
            <w:vAlign w:val="center"/>
          </w:tcPr>
          <w:p w14:paraId="7375C16E">
            <w:pPr>
              <w:widowControl/>
              <w:spacing w:line="240" w:lineRule="auto"/>
              <w:ind w:firstLine="0" w:firstLineChars="0"/>
              <w:jc w:val="center"/>
              <w:rPr>
                <w:rFonts w:ascii="宋体" w:hAnsi="宋体" w:eastAsia="宋体" w:cs="宋体"/>
                <w:b/>
                <w:bCs/>
                <w:color w:val="000000"/>
                <w:kern w:val="0"/>
                <w:sz w:val="20"/>
              </w:rPr>
            </w:pPr>
            <w:r>
              <w:rPr>
                <w:rFonts w:hint="eastAsia" w:ascii="宋体" w:hAnsi="宋体" w:eastAsia="宋体" w:cs="宋体"/>
                <w:b/>
                <w:bCs/>
                <w:color w:val="000000"/>
                <w:kern w:val="0"/>
                <w:sz w:val="20"/>
              </w:rPr>
              <w:t>7</w:t>
            </w:r>
          </w:p>
        </w:tc>
        <w:tc>
          <w:tcPr>
            <w:tcW w:w="714" w:type="pct"/>
            <w:tcBorders>
              <w:top w:val="nil"/>
              <w:left w:val="nil"/>
              <w:bottom w:val="single" w:color="000000" w:sz="8" w:space="0"/>
              <w:right w:val="single" w:color="000000" w:sz="8" w:space="0"/>
            </w:tcBorders>
            <w:shd w:val="clear" w:color="auto" w:fill="auto"/>
            <w:vAlign w:val="center"/>
          </w:tcPr>
          <w:p w14:paraId="7F5EB2CA">
            <w:pPr>
              <w:widowControl/>
              <w:spacing w:line="240" w:lineRule="auto"/>
              <w:ind w:firstLine="0" w:firstLineChars="0"/>
              <w:jc w:val="center"/>
              <w:rPr>
                <w:rFonts w:ascii="宋体" w:hAnsi="宋体" w:eastAsia="宋体" w:cs="宋体"/>
                <w:b/>
                <w:bCs/>
                <w:color w:val="000000"/>
                <w:kern w:val="0"/>
                <w:sz w:val="20"/>
              </w:rPr>
            </w:pPr>
          </w:p>
        </w:tc>
        <w:tc>
          <w:tcPr>
            <w:tcW w:w="714" w:type="pct"/>
            <w:tcBorders>
              <w:top w:val="nil"/>
              <w:left w:val="nil"/>
              <w:bottom w:val="single" w:color="000000" w:sz="8" w:space="0"/>
              <w:right w:val="single" w:color="000000" w:sz="8" w:space="0"/>
            </w:tcBorders>
            <w:shd w:val="clear" w:color="auto" w:fill="auto"/>
            <w:vAlign w:val="center"/>
          </w:tcPr>
          <w:p w14:paraId="2CEC4D5B">
            <w:pPr>
              <w:widowControl/>
              <w:spacing w:line="240" w:lineRule="auto"/>
              <w:ind w:firstLine="0" w:firstLineChars="0"/>
              <w:jc w:val="center"/>
              <w:rPr>
                <w:rFonts w:ascii="宋体" w:hAnsi="宋体" w:eastAsia="宋体" w:cs="宋体"/>
                <w:b/>
                <w:bCs/>
                <w:color w:val="000000"/>
                <w:kern w:val="0"/>
                <w:sz w:val="20"/>
              </w:rPr>
            </w:pPr>
          </w:p>
        </w:tc>
        <w:tc>
          <w:tcPr>
            <w:tcW w:w="714" w:type="pct"/>
            <w:tcBorders>
              <w:top w:val="nil"/>
              <w:left w:val="nil"/>
              <w:bottom w:val="single" w:color="000000" w:sz="8" w:space="0"/>
              <w:right w:val="single" w:color="000000" w:sz="8" w:space="0"/>
            </w:tcBorders>
            <w:shd w:val="clear" w:color="auto" w:fill="auto"/>
            <w:vAlign w:val="center"/>
          </w:tcPr>
          <w:p w14:paraId="2AED0AC1">
            <w:pPr>
              <w:widowControl/>
              <w:spacing w:line="240" w:lineRule="auto"/>
              <w:ind w:firstLine="0" w:firstLineChars="0"/>
              <w:jc w:val="center"/>
              <w:rPr>
                <w:rFonts w:ascii="宋体" w:hAnsi="宋体" w:eastAsia="宋体" w:cs="宋体"/>
                <w:b/>
                <w:bCs/>
                <w:color w:val="000000"/>
                <w:kern w:val="0"/>
                <w:sz w:val="20"/>
              </w:rPr>
            </w:pPr>
            <w:r>
              <w:rPr>
                <w:rFonts w:hint="eastAsia" w:ascii="宋体" w:hAnsi="宋体" w:eastAsia="宋体" w:cs="宋体"/>
                <w:b/>
                <w:bCs/>
                <w:color w:val="000000"/>
                <w:kern w:val="0"/>
                <w:sz w:val="20"/>
              </w:rPr>
              <w:t>8.21</w:t>
            </w:r>
          </w:p>
        </w:tc>
        <w:tc>
          <w:tcPr>
            <w:tcW w:w="714" w:type="pct"/>
            <w:tcBorders>
              <w:top w:val="nil"/>
              <w:left w:val="nil"/>
              <w:bottom w:val="single" w:color="000000" w:sz="8" w:space="0"/>
              <w:right w:val="double" w:color="auto" w:sz="6" w:space="0"/>
            </w:tcBorders>
            <w:shd w:val="clear" w:color="auto" w:fill="auto"/>
            <w:vAlign w:val="center"/>
          </w:tcPr>
          <w:p w14:paraId="7A55B85B">
            <w:pPr>
              <w:widowControl/>
              <w:spacing w:line="240" w:lineRule="auto"/>
              <w:ind w:firstLine="0" w:firstLineChars="0"/>
              <w:jc w:val="center"/>
              <w:rPr>
                <w:rFonts w:ascii="宋体" w:hAnsi="宋体" w:eastAsia="宋体" w:cs="宋体"/>
                <w:b/>
                <w:bCs/>
                <w:color w:val="000000"/>
                <w:kern w:val="0"/>
                <w:sz w:val="20"/>
              </w:rPr>
            </w:pPr>
            <w:r>
              <w:rPr>
                <w:rFonts w:hint="eastAsia" w:ascii="宋体" w:hAnsi="宋体" w:eastAsia="宋体" w:cs="宋体"/>
                <w:b/>
                <w:bCs/>
                <w:color w:val="000000"/>
                <w:kern w:val="0"/>
                <w:sz w:val="20"/>
              </w:rPr>
              <w:t>15.21</w:t>
            </w:r>
          </w:p>
        </w:tc>
      </w:tr>
      <w:tr w14:paraId="150B9A66">
        <w:tblPrEx>
          <w:tblCellMar>
            <w:top w:w="0" w:type="dxa"/>
            <w:left w:w="108" w:type="dxa"/>
            <w:bottom w:w="0" w:type="dxa"/>
            <w:right w:w="108" w:type="dxa"/>
          </w:tblCellMar>
        </w:tblPrEx>
        <w:trPr>
          <w:trHeight w:val="840" w:hRule="atLeast"/>
        </w:trPr>
        <w:tc>
          <w:tcPr>
            <w:tcW w:w="714" w:type="pct"/>
            <w:tcBorders>
              <w:top w:val="nil"/>
              <w:left w:val="double" w:color="auto" w:sz="6" w:space="0"/>
              <w:bottom w:val="single" w:color="000000" w:sz="8" w:space="0"/>
              <w:right w:val="single" w:color="000000" w:sz="8" w:space="0"/>
            </w:tcBorders>
            <w:shd w:val="clear" w:color="auto" w:fill="auto"/>
            <w:vAlign w:val="center"/>
          </w:tcPr>
          <w:p w14:paraId="183B1BEF">
            <w:pPr>
              <w:widowControl/>
              <w:spacing w:line="240" w:lineRule="auto"/>
              <w:ind w:firstLine="0" w:firstLineChars="0"/>
              <w:jc w:val="center"/>
              <w:rPr>
                <w:rFonts w:ascii="宋体" w:hAnsi="宋体" w:eastAsia="宋体" w:cs="宋体"/>
                <w:b/>
                <w:bCs/>
                <w:color w:val="000000"/>
                <w:kern w:val="0"/>
                <w:sz w:val="20"/>
              </w:rPr>
            </w:pPr>
            <w:r>
              <w:rPr>
                <w:rFonts w:hint="eastAsia" w:ascii="宋体" w:hAnsi="宋体" w:eastAsia="宋体" w:cs="宋体"/>
                <w:b/>
                <w:bCs/>
                <w:color w:val="000000"/>
                <w:kern w:val="0"/>
                <w:sz w:val="20"/>
              </w:rPr>
              <w:t>II</w:t>
            </w:r>
          </w:p>
        </w:tc>
        <w:tc>
          <w:tcPr>
            <w:tcW w:w="714" w:type="pct"/>
            <w:tcBorders>
              <w:top w:val="nil"/>
              <w:left w:val="nil"/>
              <w:bottom w:val="single" w:color="000000" w:sz="8" w:space="0"/>
              <w:right w:val="single" w:color="000000" w:sz="8" w:space="0"/>
            </w:tcBorders>
            <w:shd w:val="clear" w:color="auto" w:fill="auto"/>
            <w:vAlign w:val="center"/>
          </w:tcPr>
          <w:p w14:paraId="34C0BA8F">
            <w:pPr>
              <w:widowControl/>
              <w:spacing w:line="240" w:lineRule="auto"/>
              <w:ind w:firstLine="0" w:firstLineChars="0"/>
              <w:jc w:val="center"/>
              <w:rPr>
                <w:rFonts w:ascii="宋体" w:hAnsi="宋体" w:eastAsia="宋体" w:cs="宋体"/>
                <w:b/>
                <w:bCs/>
                <w:color w:val="000000"/>
                <w:kern w:val="0"/>
                <w:sz w:val="20"/>
              </w:rPr>
            </w:pPr>
            <w:r>
              <w:rPr>
                <w:rFonts w:hint="eastAsia" w:ascii="宋体" w:hAnsi="宋体" w:eastAsia="宋体" w:cs="宋体"/>
                <w:b/>
                <w:bCs/>
                <w:color w:val="000000"/>
                <w:kern w:val="0"/>
                <w:sz w:val="20"/>
              </w:rPr>
              <w:t>基本预备费</w:t>
            </w:r>
          </w:p>
        </w:tc>
        <w:tc>
          <w:tcPr>
            <w:tcW w:w="714" w:type="pct"/>
            <w:tcBorders>
              <w:top w:val="nil"/>
              <w:left w:val="nil"/>
              <w:bottom w:val="single" w:color="000000" w:sz="8" w:space="0"/>
              <w:right w:val="single" w:color="000000" w:sz="8" w:space="0"/>
            </w:tcBorders>
            <w:shd w:val="clear" w:color="auto" w:fill="auto"/>
            <w:vAlign w:val="center"/>
          </w:tcPr>
          <w:p w14:paraId="2BD14422">
            <w:pPr>
              <w:widowControl/>
              <w:spacing w:line="240" w:lineRule="auto"/>
              <w:ind w:firstLine="0" w:firstLineChars="0"/>
              <w:jc w:val="center"/>
              <w:rPr>
                <w:rFonts w:ascii="宋体" w:hAnsi="宋体" w:eastAsia="宋体" w:cs="宋体"/>
                <w:b/>
                <w:bCs/>
                <w:color w:val="000000"/>
                <w:kern w:val="0"/>
                <w:sz w:val="20"/>
              </w:rPr>
            </w:pPr>
          </w:p>
        </w:tc>
        <w:tc>
          <w:tcPr>
            <w:tcW w:w="714" w:type="pct"/>
            <w:tcBorders>
              <w:top w:val="nil"/>
              <w:left w:val="nil"/>
              <w:bottom w:val="single" w:color="000000" w:sz="8" w:space="0"/>
              <w:right w:val="single" w:color="000000" w:sz="8" w:space="0"/>
            </w:tcBorders>
            <w:shd w:val="clear" w:color="auto" w:fill="auto"/>
            <w:vAlign w:val="center"/>
          </w:tcPr>
          <w:p w14:paraId="0C47ABBE">
            <w:pPr>
              <w:widowControl/>
              <w:spacing w:line="240" w:lineRule="auto"/>
              <w:ind w:firstLine="0" w:firstLineChars="0"/>
              <w:jc w:val="center"/>
              <w:rPr>
                <w:rFonts w:ascii="宋体" w:hAnsi="宋体" w:eastAsia="宋体" w:cs="宋体"/>
                <w:b/>
                <w:bCs/>
                <w:color w:val="000000"/>
                <w:kern w:val="0"/>
                <w:sz w:val="20"/>
              </w:rPr>
            </w:pPr>
          </w:p>
        </w:tc>
        <w:tc>
          <w:tcPr>
            <w:tcW w:w="714" w:type="pct"/>
            <w:tcBorders>
              <w:top w:val="nil"/>
              <w:left w:val="nil"/>
              <w:bottom w:val="single" w:color="000000" w:sz="8" w:space="0"/>
              <w:right w:val="single" w:color="000000" w:sz="8" w:space="0"/>
            </w:tcBorders>
            <w:shd w:val="clear" w:color="auto" w:fill="auto"/>
            <w:vAlign w:val="center"/>
          </w:tcPr>
          <w:p w14:paraId="75744D3A">
            <w:pPr>
              <w:widowControl/>
              <w:spacing w:line="240" w:lineRule="auto"/>
              <w:ind w:firstLine="0" w:firstLineChars="0"/>
              <w:jc w:val="center"/>
              <w:rPr>
                <w:rFonts w:ascii="宋体" w:hAnsi="宋体" w:eastAsia="宋体" w:cs="宋体"/>
                <w:b/>
                <w:bCs/>
                <w:color w:val="000000"/>
                <w:kern w:val="0"/>
                <w:sz w:val="20"/>
              </w:rPr>
            </w:pPr>
          </w:p>
        </w:tc>
        <w:tc>
          <w:tcPr>
            <w:tcW w:w="714" w:type="pct"/>
            <w:tcBorders>
              <w:top w:val="nil"/>
              <w:left w:val="nil"/>
              <w:bottom w:val="single" w:color="000000" w:sz="8" w:space="0"/>
              <w:right w:val="single" w:color="000000" w:sz="8" w:space="0"/>
            </w:tcBorders>
            <w:shd w:val="clear" w:color="auto" w:fill="auto"/>
            <w:vAlign w:val="center"/>
          </w:tcPr>
          <w:p w14:paraId="23ECAFD8">
            <w:pPr>
              <w:widowControl/>
              <w:spacing w:line="240" w:lineRule="auto"/>
              <w:ind w:firstLine="0" w:firstLineChars="0"/>
              <w:jc w:val="center"/>
              <w:rPr>
                <w:rFonts w:ascii="宋体" w:hAnsi="宋体" w:eastAsia="宋体" w:cs="宋体"/>
                <w:b/>
                <w:bCs/>
                <w:color w:val="000000"/>
                <w:kern w:val="0"/>
                <w:sz w:val="20"/>
              </w:rPr>
            </w:pPr>
          </w:p>
        </w:tc>
        <w:tc>
          <w:tcPr>
            <w:tcW w:w="714" w:type="pct"/>
            <w:tcBorders>
              <w:top w:val="nil"/>
              <w:left w:val="nil"/>
              <w:bottom w:val="single" w:color="000000" w:sz="8" w:space="0"/>
              <w:right w:val="double" w:color="auto" w:sz="6" w:space="0"/>
            </w:tcBorders>
            <w:shd w:val="clear" w:color="auto" w:fill="auto"/>
            <w:vAlign w:val="center"/>
          </w:tcPr>
          <w:p w14:paraId="5F388612">
            <w:pPr>
              <w:widowControl/>
              <w:spacing w:line="240" w:lineRule="auto"/>
              <w:ind w:firstLine="0" w:firstLineChars="0"/>
              <w:jc w:val="center"/>
              <w:rPr>
                <w:rFonts w:ascii="宋体" w:hAnsi="宋体" w:eastAsia="宋体" w:cs="宋体"/>
                <w:b/>
                <w:bCs/>
                <w:color w:val="000000"/>
                <w:kern w:val="0"/>
                <w:sz w:val="20"/>
              </w:rPr>
            </w:pPr>
          </w:p>
        </w:tc>
      </w:tr>
      <w:tr w14:paraId="41B9A4ED">
        <w:tblPrEx>
          <w:tblCellMar>
            <w:top w:w="0" w:type="dxa"/>
            <w:left w:w="108" w:type="dxa"/>
            <w:bottom w:w="0" w:type="dxa"/>
            <w:right w:w="108" w:type="dxa"/>
          </w:tblCellMar>
        </w:tblPrEx>
        <w:trPr>
          <w:trHeight w:val="840" w:hRule="atLeast"/>
        </w:trPr>
        <w:tc>
          <w:tcPr>
            <w:tcW w:w="714" w:type="pct"/>
            <w:tcBorders>
              <w:top w:val="nil"/>
              <w:left w:val="double" w:color="auto" w:sz="6" w:space="0"/>
              <w:bottom w:val="single" w:color="000000" w:sz="8" w:space="0"/>
              <w:right w:val="single" w:color="000000" w:sz="8" w:space="0"/>
            </w:tcBorders>
            <w:shd w:val="clear" w:color="auto" w:fill="auto"/>
            <w:vAlign w:val="center"/>
          </w:tcPr>
          <w:p w14:paraId="263D28B1">
            <w:pPr>
              <w:widowControl/>
              <w:spacing w:line="240" w:lineRule="auto"/>
              <w:ind w:firstLine="0" w:firstLineChars="0"/>
              <w:jc w:val="center"/>
              <w:rPr>
                <w:rFonts w:ascii="宋体" w:hAnsi="宋体" w:eastAsia="宋体" w:cs="宋体"/>
                <w:b/>
                <w:bCs/>
                <w:color w:val="000000"/>
                <w:kern w:val="0"/>
                <w:sz w:val="20"/>
              </w:rPr>
            </w:pPr>
            <w:r>
              <w:rPr>
                <w:rFonts w:hint="eastAsia" w:ascii="宋体" w:hAnsi="宋体" w:eastAsia="宋体" w:cs="宋体"/>
                <w:b/>
                <w:bCs/>
                <w:color w:val="000000"/>
                <w:kern w:val="0"/>
                <w:sz w:val="20"/>
              </w:rPr>
              <w:t>III</w:t>
            </w:r>
          </w:p>
        </w:tc>
        <w:tc>
          <w:tcPr>
            <w:tcW w:w="714" w:type="pct"/>
            <w:tcBorders>
              <w:top w:val="nil"/>
              <w:left w:val="nil"/>
              <w:bottom w:val="single" w:color="000000" w:sz="8" w:space="0"/>
              <w:right w:val="single" w:color="000000" w:sz="8" w:space="0"/>
            </w:tcBorders>
            <w:shd w:val="clear" w:color="auto" w:fill="auto"/>
            <w:vAlign w:val="center"/>
          </w:tcPr>
          <w:p w14:paraId="0D2E6BE0">
            <w:pPr>
              <w:widowControl/>
              <w:spacing w:line="240" w:lineRule="auto"/>
              <w:ind w:firstLine="0" w:firstLineChars="0"/>
              <w:jc w:val="center"/>
              <w:rPr>
                <w:rFonts w:ascii="宋体" w:hAnsi="宋体" w:eastAsia="宋体" w:cs="宋体"/>
                <w:b/>
                <w:bCs/>
                <w:color w:val="000000"/>
                <w:kern w:val="0"/>
                <w:sz w:val="20"/>
              </w:rPr>
            </w:pPr>
            <w:r>
              <w:rPr>
                <w:rFonts w:hint="eastAsia" w:ascii="宋体" w:hAnsi="宋体" w:eastAsia="宋体" w:cs="宋体"/>
                <w:b/>
                <w:bCs/>
                <w:color w:val="000000"/>
                <w:kern w:val="0"/>
                <w:sz w:val="20"/>
              </w:rPr>
              <w:t>价差预备费</w:t>
            </w:r>
          </w:p>
        </w:tc>
        <w:tc>
          <w:tcPr>
            <w:tcW w:w="714" w:type="pct"/>
            <w:tcBorders>
              <w:top w:val="nil"/>
              <w:left w:val="nil"/>
              <w:bottom w:val="single" w:color="000000" w:sz="8" w:space="0"/>
              <w:right w:val="single" w:color="000000" w:sz="8" w:space="0"/>
            </w:tcBorders>
            <w:shd w:val="clear" w:color="auto" w:fill="auto"/>
            <w:vAlign w:val="center"/>
          </w:tcPr>
          <w:p w14:paraId="3A729CD2">
            <w:pPr>
              <w:widowControl/>
              <w:spacing w:line="240" w:lineRule="auto"/>
              <w:ind w:firstLine="0" w:firstLineChars="0"/>
              <w:jc w:val="center"/>
              <w:rPr>
                <w:rFonts w:ascii="宋体" w:hAnsi="宋体" w:eastAsia="宋体" w:cs="宋体"/>
                <w:b/>
                <w:bCs/>
                <w:color w:val="000000"/>
                <w:kern w:val="0"/>
                <w:sz w:val="20"/>
              </w:rPr>
            </w:pPr>
          </w:p>
        </w:tc>
        <w:tc>
          <w:tcPr>
            <w:tcW w:w="714" w:type="pct"/>
            <w:tcBorders>
              <w:top w:val="nil"/>
              <w:left w:val="nil"/>
              <w:bottom w:val="single" w:color="000000" w:sz="8" w:space="0"/>
              <w:right w:val="single" w:color="000000" w:sz="8" w:space="0"/>
            </w:tcBorders>
            <w:shd w:val="clear" w:color="auto" w:fill="auto"/>
            <w:vAlign w:val="center"/>
          </w:tcPr>
          <w:p w14:paraId="46F242BF">
            <w:pPr>
              <w:widowControl/>
              <w:spacing w:line="240" w:lineRule="auto"/>
              <w:ind w:firstLine="0" w:firstLineChars="0"/>
              <w:jc w:val="center"/>
              <w:rPr>
                <w:rFonts w:ascii="宋体" w:hAnsi="宋体" w:eastAsia="宋体" w:cs="宋体"/>
                <w:b/>
                <w:bCs/>
                <w:color w:val="000000"/>
                <w:kern w:val="0"/>
                <w:sz w:val="20"/>
              </w:rPr>
            </w:pPr>
          </w:p>
        </w:tc>
        <w:tc>
          <w:tcPr>
            <w:tcW w:w="714" w:type="pct"/>
            <w:tcBorders>
              <w:top w:val="nil"/>
              <w:left w:val="nil"/>
              <w:bottom w:val="single" w:color="000000" w:sz="8" w:space="0"/>
              <w:right w:val="single" w:color="000000" w:sz="8" w:space="0"/>
            </w:tcBorders>
            <w:shd w:val="clear" w:color="auto" w:fill="auto"/>
            <w:vAlign w:val="center"/>
          </w:tcPr>
          <w:p w14:paraId="5E0C8ABF">
            <w:pPr>
              <w:widowControl/>
              <w:spacing w:line="240" w:lineRule="auto"/>
              <w:ind w:firstLine="0" w:firstLineChars="0"/>
              <w:jc w:val="center"/>
              <w:rPr>
                <w:rFonts w:ascii="宋体" w:hAnsi="宋体" w:eastAsia="宋体" w:cs="宋体"/>
                <w:b/>
                <w:bCs/>
                <w:color w:val="000000"/>
                <w:kern w:val="0"/>
                <w:sz w:val="20"/>
              </w:rPr>
            </w:pPr>
          </w:p>
        </w:tc>
        <w:tc>
          <w:tcPr>
            <w:tcW w:w="714" w:type="pct"/>
            <w:tcBorders>
              <w:top w:val="nil"/>
              <w:left w:val="nil"/>
              <w:bottom w:val="single" w:color="000000" w:sz="8" w:space="0"/>
              <w:right w:val="single" w:color="000000" w:sz="8" w:space="0"/>
            </w:tcBorders>
            <w:shd w:val="clear" w:color="auto" w:fill="auto"/>
            <w:vAlign w:val="center"/>
          </w:tcPr>
          <w:p w14:paraId="0D2D44B6">
            <w:pPr>
              <w:widowControl/>
              <w:spacing w:line="240" w:lineRule="auto"/>
              <w:ind w:firstLine="0" w:firstLineChars="0"/>
              <w:jc w:val="center"/>
              <w:rPr>
                <w:rFonts w:ascii="宋体" w:hAnsi="宋体" w:eastAsia="宋体" w:cs="宋体"/>
                <w:b/>
                <w:bCs/>
                <w:color w:val="000000"/>
                <w:kern w:val="0"/>
                <w:sz w:val="20"/>
              </w:rPr>
            </w:pPr>
          </w:p>
        </w:tc>
        <w:tc>
          <w:tcPr>
            <w:tcW w:w="714" w:type="pct"/>
            <w:tcBorders>
              <w:top w:val="nil"/>
              <w:left w:val="nil"/>
              <w:bottom w:val="single" w:color="000000" w:sz="8" w:space="0"/>
              <w:right w:val="double" w:color="auto" w:sz="6" w:space="0"/>
            </w:tcBorders>
            <w:shd w:val="clear" w:color="auto" w:fill="auto"/>
            <w:vAlign w:val="center"/>
          </w:tcPr>
          <w:p w14:paraId="3BD73308">
            <w:pPr>
              <w:widowControl/>
              <w:spacing w:line="240" w:lineRule="auto"/>
              <w:ind w:firstLine="0" w:firstLineChars="0"/>
              <w:jc w:val="center"/>
              <w:rPr>
                <w:rFonts w:ascii="宋体" w:hAnsi="宋体" w:eastAsia="宋体" w:cs="宋体"/>
                <w:b/>
                <w:bCs/>
                <w:color w:val="000000"/>
                <w:kern w:val="0"/>
                <w:sz w:val="20"/>
              </w:rPr>
            </w:pPr>
          </w:p>
        </w:tc>
      </w:tr>
      <w:tr w14:paraId="502D2DEE">
        <w:tblPrEx>
          <w:tblCellMar>
            <w:top w:w="0" w:type="dxa"/>
            <w:left w:w="108" w:type="dxa"/>
            <w:bottom w:w="0" w:type="dxa"/>
            <w:right w:w="108" w:type="dxa"/>
          </w:tblCellMar>
        </w:tblPrEx>
        <w:trPr>
          <w:trHeight w:val="840" w:hRule="atLeast"/>
        </w:trPr>
        <w:tc>
          <w:tcPr>
            <w:tcW w:w="714" w:type="pct"/>
            <w:tcBorders>
              <w:top w:val="nil"/>
              <w:left w:val="double" w:color="auto" w:sz="6" w:space="0"/>
              <w:bottom w:val="single" w:color="000000" w:sz="8" w:space="0"/>
              <w:right w:val="single" w:color="000000" w:sz="8" w:space="0"/>
            </w:tcBorders>
            <w:shd w:val="clear" w:color="auto" w:fill="auto"/>
            <w:vAlign w:val="center"/>
          </w:tcPr>
          <w:p w14:paraId="31F54D98">
            <w:pPr>
              <w:widowControl/>
              <w:spacing w:line="240" w:lineRule="auto"/>
              <w:ind w:firstLine="0" w:firstLineChars="0"/>
              <w:jc w:val="center"/>
              <w:rPr>
                <w:rFonts w:ascii="宋体" w:hAnsi="宋体" w:eastAsia="宋体" w:cs="宋体"/>
                <w:b/>
                <w:bCs/>
                <w:color w:val="000000"/>
                <w:kern w:val="0"/>
                <w:sz w:val="20"/>
              </w:rPr>
            </w:pPr>
            <w:r>
              <w:rPr>
                <w:rFonts w:hint="eastAsia" w:ascii="宋体" w:hAnsi="宋体" w:eastAsia="宋体" w:cs="宋体"/>
                <w:b/>
                <w:bCs/>
                <w:color w:val="000000"/>
                <w:kern w:val="0"/>
                <w:sz w:val="20"/>
              </w:rPr>
              <w:t>IV</w:t>
            </w:r>
          </w:p>
        </w:tc>
        <w:tc>
          <w:tcPr>
            <w:tcW w:w="714" w:type="pct"/>
            <w:tcBorders>
              <w:top w:val="nil"/>
              <w:left w:val="nil"/>
              <w:bottom w:val="single" w:color="000000" w:sz="8" w:space="0"/>
              <w:right w:val="single" w:color="000000" w:sz="8" w:space="0"/>
            </w:tcBorders>
            <w:shd w:val="clear" w:color="auto" w:fill="auto"/>
            <w:vAlign w:val="center"/>
          </w:tcPr>
          <w:p w14:paraId="11540579">
            <w:pPr>
              <w:widowControl/>
              <w:spacing w:line="240" w:lineRule="auto"/>
              <w:ind w:firstLine="0" w:firstLineChars="0"/>
              <w:jc w:val="center"/>
              <w:rPr>
                <w:rFonts w:ascii="宋体" w:hAnsi="宋体" w:eastAsia="宋体" w:cs="宋体"/>
                <w:b/>
                <w:bCs/>
                <w:color w:val="000000"/>
                <w:kern w:val="0"/>
                <w:sz w:val="20"/>
              </w:rPr>
            </w:pPr>
            <w:r>
              <w:rPr>
                <w:rFonts w:hint="eastAsia" w:ascii="宋体" w:hAnsi="宋体" w:eastAsia="宋体" w:cs="宋体"/>
                <w:b/>
                <w:bCs/>
                <w:color w:val="000000"/>
                <w:kern w:val="0"/>
                <w:sz w:val="20"/>
              </w:rPr>
              <w:t>水土保持设施补偿费</w:t>
            </w:r>
          </w:p>
        </w:tc>
        <w:tc>
          <w:tcPr>
            <w:tcW w:w="714" w:type="pct"/>
            <w:tcBorders>
              <w:top w:val="nil"/>
              <w:left w:val="nil"/>
              <w:bottom w:val="single" w:color="000000" w:sz="8" w:space="0"/>
              <w:right w:val="single" w:color="000000" w:sz="8" w:space="0"/>
            </w:tcBorders>
            <w:shd w:val="clear" w:color="auto" w:fill="auto"/>
            <w:vAlign w:val="center"/>
          </w:tcPr>
          <w:p w14:paraId="2CC26FB2">
            <w:pPr>
              <w:widowControl/>
              <w:spacing w:line="240" w:lineRule="auto"/>
              <w:ind w:firstLine="0" w:firstLineChars="0"/>
              <w:jc w:val="center"/>
              <w:rPr>
                <w:rFonts w:ascii="宋体" w:hAnsi="宋体" w:eastAsia="宋体" w:cs="宋体"/>
                <w:b/>
                <w:bCs/>
                <w:color w:val="000000"/>
                <w:kern w:val="0"/>
                <w:sz w:val="20"/>
              </w:rPr>
            </w:pPr>
          </w:p>
        </w:tc>
        <w:tc>
          <w:tcPr>
            <w:tcW w:w="714" w:type="pct"/>
            <w:tcBorders>
              <w:top w:val="nil"/>
              <w:left w:val="nil"/>
              <w:bottom w:val="single" w:color="000000" w:sz="8" w:space="0"/>
              <w:right w:val="single" w:color="000000" w:sz="8" w:space="0"/>
            </w:tcBorders>
            <w:shd w:val="clear" w:color="auto" w:fill="auto"/>
            <w:vAlign w:val="center"/>
          </w:tcPr>
          <w:p w14:paraId="28E29AC4">
            <w:pPr>
              <w:widowControl/>
              <w:spacing w:line="240" w:lineRule="auto"/>
              <w:ind w:firstLine="0" w:firstLineChars="0"/>
              <w:jc w:val="center"/>
              <w:rPr>
                <w:rFonts w:ascii="宋体" w:hAnsi="宋体" w:eastAsia="宋体" w:cs="宋体"/>
                <w:b/>
                <w:bCs/>
                <w:color w:val="000000"/>
                <w:kern w:val="0"/>
                <w:sz w:val="20"/>
              </w:rPr>
            </w:pPr>
          </w:p>
        </w:tc>
        <w:tc>
          <w:tcPr>
            <w:tcW w:w="714" w:type="pct"/>
            <w:tcBorders>
              <w:top w:val="nil"/>
              <w:left w:val="nil"/>
              <w:bottom w:val="single" w:color="000000" w:sz="8" w:space="0"/>
              <w:right w:val="single" w:color="000000" w:sz="8" w:space="0"/>
            </w:tcBorders>
            <w:shd w:val="clear" w:color="auto" w:fill="auto"/>
            <w:vAlign w:val="center"/>
          </w:tcPr>
          <w:p w14:paraId="490E56AA">
            <w:pPr>
              <w:widowControl/>
              <w:spacing w:line="240" w:lineRule="auto"/>
              <w:ind w:firstLine="0" w:firstLineChars="0"/>
              <w:jc w:val="center"/>
              <w:rPr>
                <w:rFonts w:ascii="宋体" w:hAnsi="宋体" w:eastAsia="宋体" w:cs="宋体"/>
                <w:b/>
                <w:bCs/>
                <w:color w:val="000000"/>
                <w:kern w:val="0"/>
                <w:sz w:val="20"/>
              </w:rPr>
            </w:pPr>
          </w:p>
        </w:tc>
        <w:tc>
          <w:tcPr>
            <w:tcW w:w="714" w:type="pct"/>
            <w:tcBorders>
              <w:top w:val="nil"/>
              <w:left w:val="nil"/>
              <w:bottom w:val="single" w:color="000000" w:sz="8" w:space="0"/>
              <w:right w:val="single" w:color="000000" w:sz="8" w:space="0"/>
            </w:tcBorders>
            <w:shd w:val="clear" w:color="auto" w:fill="auto"/>
            <w:vAlign w:val="center"/>
          </w:tcPr>
          <w:p w14:paraId="2B6459A3">
            <w:pPr>
              <w:widowControl/>
              <w:spacing w:line="240" w:lineRule="auto"/>
              <w:ind w:firstLine="0" w:firstLineChars="0"/>
              <w:jc w:val="center"/>
              <w:rPr>
                <w:rFonts w:ascii="宋体" w:hAnsi="宋体" w:eastAsia="宋体" w:cs="宋体"/>
                <w:b/>
                <w:bCs/>
                <w:color w:val="000000"/>
                <w:kern w:val="0"/>
                <w:sz w:val="20"/>
              </w:rPr>
            </w:pPr>
          </w:p>
        </w:tc>
        <w:tc>
          <w:tcPr>
            <w:tcW w:w="714" w:type="pct"/>
            <w:tcBorders>
              <w:top w:val="nil"/>
              <w:left w:val="nil"/>
              <w:bottom w:val="single" w:color="000000" w:sz="8" w:space="0"/>
              <w:right w:val="double" w:color="auto" w:sz="6" w:space="0"/>
            </w:tcBorders>
            <w:shd w:val="clear" w:color="auto" w:fill="auto"/>
            <w:vAlign w:val="center"/>
          </w:tcPr>
          <w:p w14:paraId="2CC67351">
            <w:pPr>
              <w:widowControl/>
              <w:spacing w:line="240" w:lineRule="auto"/>
              <w:ind w:firstLine="0" w:firstLineChars="0"/>
              <w:jc w:val="center"/>
              <w:rPr>
                <w:rFonts w:ascii="宋体" w:hAnsi="宋体" w:eastAsia="宋体" w:cs="宋体"/>
                <w:b/>
                <w:bCs/>
                <w:color w:val="000000"/>
                <w:kern w:val="0"/>
                <w:sz w:val="20"/>
              </w:rPr>
            </w:pPr>
          </w:p>
        </w:tc>
      </w:tr>
      <w:tr w14:paraId="458655AF">
        <w:tblPrEx>
          <w:tblCellMar>
            <w:top w:w="0" w:type="dxa"/>
            <w:left w:w="108" w:type="dxa"/>
            <w:bottom w:w="0" w:type="dxa"/>
            <w:right w:w="108" w:type="dxa"/>
          </w:tblCellMar>
        </w:tblPrEx>
        <w:trPr>
          <w:trHeight w:val="840" w:hRule="atLeast"/>
        </w:trPr>
        <w:tc>
          <w:tcPr>
            <w:tcW w:w="1429" w:type="pct"/>
            <w:gridSpan w:val="2"/>
            <w:tcBorders>
              <w:top w:val="single" w:color="000000" w:sz="8" w:space="0"/>
              <w:left w:val="double" w:color="auto" w:sz="6" w:space="0"/>
              <w:bottom w:val="single" w:color="000000" w:sz="8" w:space="0"/>
              <w:right w:val="single" w:color="000000" w:sz="8" w:space="0"/>
            </w:tcBorders>
            <w:shd w:val="clear" w:color="auto" w:fill="auto"/>
            <w:vAlign w:val="center"/>
          </w:tcPr>
          <w:p w14:paraId="3D997E7B">
            <w:pPr>
              <w:widowControl/>
              <w:spacing w:line="240" w:lineRule="auto"/>
              <w:ind w:firstLine="0" w:firstLineChars="0"/>
              <w:jc w:val="center"/>
              <w:rPr>
                <w:rFonts w:ascii="宋体" w:hAnsi="宋体" w:eastAsia="宋体" w:cs="宋体"/>
                <w:b/>
                <w:bCs/>
                <w:color w:val="000000"/>
                <w:kern w:val="0"/>
                <w:sz w:val="20"/>
              </w:rPr>
            </w:pPr>
            <w:r>
              <w:rPr>
                <w:rFonts w:hint="eastAsia" w:ascii="宋体" w:hAnsi="宋体" w:eastAsia="宋体" w:cs="宋体"/>
                <w:b/>
                <w:bCs/>
                <w:color w:val="000000"/>
                <w:kern w:val="0"/>
                <w:sz w:val="20"/>
              </w:rPr>
              <w:t>新增水土保持总投资(I+II+III+IV)</w:t>
            </w:r>
          </w:p>
        </w:tc>
        <w:tc>
          <w:tcPr>
            <w:tcW w:w="714" w:type="pct"/>
            <w:tcBorders>
              <w:top w:val="nil"/>
              <w:left w:val="nil"/>
              <w:bottom w:val="single" w:color="000000" w:sz="8" w:space="0"/>
              <w:right w:val="single" w:color="000000" w:sz="8" w:space="0"/>
            </w:tcBorders>
            <w:shd w:val="clear" w:color="auto" w:fill="auto"/>
            <w:vAlign w:val="center"/>
          </w:tcPr>
          <w:p w14:paraId="68AE65C0">
            <w:pPr>
              <w:widowControl/>
              <w:spacing w:line="240" w:lineRule="auto"/>
              <w:ind w:firstLine="0" w:firstLineChars="0"/>
              <w:jc w:val="center"/>
              <w:rPr>
                <w:rFonts w:ascii="宋体" w:hAnsi="宋体" w:eastAsia="宋体" w:cs="宋体"/>
                <w:color w:val="000000"/>
                <w:kern w:val="0"/>
                <w:sz w:val="20"/>
              </w:rPr>
            </w:pPr>
          </w:p>
        </w:tc>
        <w:tc>
          <w:tcPr>
            <w:tcW w:w="714" w:type="pct"/>
            <w:tcBorders>
              <w:top w:val="nil"/>
              <w:left w:val="nil"/>
              <w:bottom w:val="single" w:color="000000" w:sz="8" w:space="0"/>
              <w:right w:val="single" w:color="000000" w:sz="8" w:space="0"/>
            </w:tcBorders>
            <w:shd w:val="clear" w:color="auto" w:fill="auto"/>
            <w:vAlign w:val="center"/>
          </w:tcPr>
          <w:p w14:paraId="29A42124">
            <w:pPr>
              <w:widowControl/>
              <w:spacing w:line="240" w:lineRule="auto"/>
              <w:ind w:firstLine="0" w:firstLineChars="0"/>
              <w:jc w:val="center"/>
              <w:rPr>
                <w:rFonts w:ascii="宋体" w:hAnsi="宋体" w:eastAsia="宋体" w:cs="宋体"/>
                <w:color w:val="000000"/>
                <w:kern w:val="0"/>
                <w:sz w:val="20"/>
              </w:rPr>
            </w:pPr>
          </w:p>
        </w:tc>
        <w:tc>
          <w:tcPr>
            <w:tcW w:w="714" w:type="pct"/>
            <w:tcBorders>
              <w:top w:val="nil"/>
              <w:left w:val="nil"/>
              <w:bottom w:val="single" w:color="000000" w:sz="8" w:space="0"/>
              <w:right w:val="single" w:color="000000" w:sz="8" w:space="0"/>
            </w:tcBorders>
            <w:shd w:val="clear" w:color="auto" w:fill="auto"/>
            <w:vAlign w:val="center"/>
          </w:tcPr>
          <w:p w14:paraId="40B192C9">
            <w:pPr>
              <w:widowControl/>
              <w:spacing w:line="240" w:lineRule="auto"/>
              <w:ind w:firstLine="0" w:firstLineChars="0"/>
              <w:jc w:val="center"/>
              <w:rPr>
                <w:rFonts w:ascii="宋体" w:hAnsi="宋体" w:eastAsia="宋体" w:cs="宋体"/>
                <w:color w:val="000000"/>
                <w:kern w:val="0"/>
                <w:sz w:val="20"/>
              </w:rPr>
            </w:pPr>
          </w:p>
        </w:tc>
        <w:tc>
          <w:tcPr>
            <w:tcW w:w="714" w:type="pct"/>
            <w:tcBorders>
              <w:top w:val="nil"/>
              <w:left w:val="nil"/>
              <w:bottom w:val="single" w:color="000000" w:sz="8" w:space="0"/>
              <w:right w:val="single" w:color="000000" w:sz="8" w:space="0"/>
            </w:tcBorders>
            <w:shd w:val="clear" w:color="auto" w:fill="auto"/>
            <w:vAlign w:val="center"/>
          </w:tcPr>
          <w:p w14:paraId="0B9D71F1">
            <w:pPr>
              <w:widowControl/>
              <w:spacing w:line="240" w:lineRule="auto"/>
              <w:ind w:firstLine="0" w:firstLineChars="0"/>
              <w:jc w:val="center"/>
              <w:rPr>
                <w:rFonts w:ascii="宋体" w:hAnsi="宋体" w:eastAsia="宋体" w:cs="宋体"/>
                <w:color w:val="000000"/>
                <w:kern w:val="0"/>
                <w:sz w:val="20"/>
              </w:rPr>
            </w:pPr>
          </w:p>
        </w:tc>
        <w:tc>
          <w:tcPr>
            <w:tcW w:w="714" w:type="pct"/>
            <w:tcBorders>
              <w:top w:val="nil"/>
              <w:left w:val="nil"/>
              <w:bottom w:val="single" w:color="000000" w:sz="8" w:space="0"/>
              <w:right w:val="double" w:color="auto" w:sz="6" w:space="0"/>
            </w:tcBorders>
            <w:shd w:val="clear" w:color="auto" w:fill="auto"/>
            <w:vAlign w:val="center"/>
          </w:tcPr>
          <w:p w14:paraId="3C86ECB2">
            <w:pPr>
              <w:widowControl/>
              <w:spacing w:line="240" w:lineRule="auto"/>
              <w:ind w:firstLine="0" w:firstLineChars="0"/>
              <w:jc w:val="center"/>
              <w:rPr>
                <w:rFonts w:ascii="宋体" w:hAnsi="宋体" w:eastAsia="宋体" w:cs="宋体"/>
                <w:b/>
                <w:bCs/>
                <w:color w:val="000000"/>
                <w:kern w:val="0"/>
                <w:sz w:val="20"/>
              </w:rPr>
            </w:pPr>
            <w:r>
              <w:rPr>
                <w:rFonts w:hint="eastAsia" w:ascii="宋体" w:hAnsi="宋体" w:eastAsia="宋体" w:cs="宋体"/>
                <w:b/>
                <w:bCs/>
                <w:color w:val="000000"/>
                <w:kern w:val="0"/>
                <w:sz w:val="20"/>
              </w:rPr>
              <w:t>15.21</w:t>
            </w:r>
          </w:p>
        </w:tc>
      </w:tr>
      <w:tr w14:paraId="5E6F8E3B">
        <w:tblPrEx>
          <w:tblCellMar>
            <w:top w:w="0" w:type="dxa"/>
            <w:left w:w="108" w:type="dxa"/>
            <w:bottom w:w="0" w:type="dxa"/>
            <w:right w:w="108" w:type="dxa"/>
          </w:tblCellMar>
        </w:tblPrEx>
        <w:trPr>
          <w:trHeight w:val="840" w:hRule="atLeast"/>
        </w:trPr>
        <w:tc>
          <w:tcPr>
            <w:tcW w:w="1429" w:type="pct"/>
            <w:gridSpan w:val="2"/>
            <w:tcBorders>
              <w:top w:val="single" w:color="000000" w:sz="8" w:space="0"/>
              <w:left w:val="double" w:color="auto" w:sz="6" w:space="0"/>
              <w:bottom w:val="single" w:color="000000" w:sz="8" w:space="0"/>
              <w:right w:val="single" w:color="000000" w:sz="8" w:space="0"/>
            </w:tcBorders>
            <w:shd w:val="clear" w:color="auto" w:fill="auto"/>
            <w:vAlign w:val="center"/>
          </w:tcPr>
          <w:p w14:paraId="565C3529">
            <w:pPr>
              <w:widowControl/>
              <w:spacing w:line="240" w:lineRule="auto"/>
              <w:ind w:firstLine="0" w:firstLineChars="0"/>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主体已有水土保持总投资</w:t>
            </w:r>
          </w:p>
        </w:tc>
        <w:tc>
          <w:tcPr>
            <w:tcW w:w="714" w:type="pct"/>
            <w:tcBorders>
              <w:top w:val="nil"/>
              <w:left w:val="nil"/>
              <w:bottom w:val="single" w:color="000000" w:sz="8" w:space="0"/>
              <w:right w:val="single" w:color="000000" w:sz="8" w:space="0"/>
            </w:tcBorders>
            <w:shd w:val="clear" w:color="auto" w:fill="auto"/>
            <w:vAlign w:val="center"/>
          </w:tcPr>
          <w:p w14:paraId="52E7B2A8">
            <w:pPr>
              <w:widowControl/>
              <w:spacing w:line="240" w:lineRule="auto"/>
              <w:ind w:firstLine="0" w:firstLineChars="0"/>
              <w:jc w:val="center"/>
              <w:rPr>
                <w:rFonts w:ascii="宋体" w:hAnsi="宋体" w:eastAsia="宋体" w:cs="宋体"/>
                <w:color w:val="000000"/>
                <w:kern w:val="0"/>
                <w:sz w:val="20"/>
              </w:rPr>
            </w:pPr>
          </w:p>
        </w:tc>
        <w:tc>
          <w:tcPr>
            <w:tcW w:w="714" w:type="pct"/>
            <w:tcBorders>
              <w:top w:val="nil"/>
              <w:left w:val="nil"/>
              <w:bottom w:val="single" w:color="000000" w:sz="8" w:space="0"/>
              <w:right w:val="single" w:color="000000" w:sz="8" w:space="0"/>
            </w:tcBorders>
            <w:shd w:val="clear" w:color="auto" w:fill="auto"/>
            <w:vAlign w:val="center"/>
          </w:tcPr>
          <w:p w14:paraId="107F30A7">
            <w:pPr>
              <w:widowControl/>
              <w:spacing w:line="240" w:lineRule="auto"/>
              <w:ind w:firstLine="0" w:firstLineChars="0"/>
              <w:jc w:val="center"/>
              <w:rPr>
                <w:rFonts w:ascii="宋体" w:hAnsi="宋体" w:eastAsia="宋体" w:cs="宋体"/>
                <w:color w:val="000000"/>
                <w:kern w:val="0"/>
                <w:sz w:val="20"/>
              </w:rPr>
            </w:pPr>
          </w:p>
        </w:tc>
        <w:tc>
          <w:tcPr>
            <w:tcW w:w="714" w:type="pct"/>
            <w:tcBorders>
              <w:top w:val="nil"/>
              <w:left w:val="nil"/>
              <w:bottom w:val="single" w:color="000000" w:sz="8" w:space="0"/>
              <w:right w:val="single" w:color="000000" w:sz="8" w:space="0"/>
            </w:tcBorders>
            <w:shd w:val="clear" w:color="auto" w:fill="auto"/>
            <w:vAlign w:val="center"/>
          </w:tcPr>
          <w:p w14:paraId="4A8F476A">
            <w:pPr>
              <w:widowControl/>
              <w:spacing w:line="240" w:lineRule="auto"/>
              <w:ind w:firstLine="0" w:firstLineChars="0"/>
              <w:jc w:val="center"/>
              <w:rPr>
                <w:rFonts w:ascii="宋体" w:hAnsi="宋体" w:eastAsia="宋体" w:cs="宋体"/>
                <w:color w:val="000000"/>
                <w:kern w:val="0"/>
                <w:sz w:val="20"/>
              </w:rPr>
            </w:pPr>
          </w:p>
        </w:tc>
        <w:tc>
          <w:tcPr>
            <w:tcW w:w="714" w:type="pct"/>
            <w:tcBorders>
              <w:top w:val="nil"/>
              <w:left w:val="nil"/>
              <w:bottom w:val="single" w:color="000000" w:sz="8" w:space="0"/>
              <w:right w:val="single" w:color="000000" w:sz="8" w:space="0"/>
            </w:tcBorders>
            <w:shd w:val="clear" w:color="auto" w:fill="auto"/>
            <w:vAlign w:val="center"/>
          </w:tcPr>
          <w:p w14:paraId="1C359957">
            <w:pPr>
              <w:widowControl/>
              <w:spacing w:line="240" w:lineRule="auto"/>
              <w:ind w:firstLine="0" w:firstLineChars="0"/>
              <w:jc w:val="center"/>
              <w:rPr>
                <w:rFonts w:ascii="宋体" w:hAnsi="宋体" w:eastAsia="宋体" w:cs="宋体"/>
                <w:color w:val="000000"/>
                <w:kern w:val="0"/>
                <w:sz w:val="20"/>
              </w:rPr>
            </w:pPr>
          </w:p>
        </w:tc>
        <w:tc>
          <w:tcPr>
            <w:tcW w:w="714" w:type="pct"/>
            <w:tcBorders>
              <w:top w:val="nil"/>
              <w:left w:val="nil"/>
              <w:bottom w:val="single" w:color="000000" w:sz="8" w:space="0"/>
              <w:right w:val="double" w:color="auto" w:sz="6" w:space="0"/>
            </w:tcBorders>
            <w:shd w:val="clear" w:color="auto" w:fill="auto"/>
            <w:vAlign w:val="center"/>
          </w:tcPr>
          <w:p w14:paraId="4E22D303">
            <w:pPr>
              <w:widowControl/>
              <w:spacing w:line="240" w:lineRule="auto"/>
              <w:ind w:firstLine="0" w:firstLineChars="0"/>
              <w:jc w:val="center"/>
              <w:rPr>
                <w:rFonts w:ascii="宋体" w:hAnsi="宋体" w:eastAsia="宋体" w:cs="宋体"/>
                <w:b/>
                <w:bCs/>
                <w:color w:val="000000"/>
                <w:kern w:val="0"/>
                <w:sz w:val="20"/>
              </w:rPr>
            </w:pPr>
            <w:r>
              <w:rPr>
                <w:rFonts w:hint="eastAsia" w:ascii="宋体" w:hAnsi="宋体" w:eastAsia="宋体" w:cs="宋体"/>
                <w:b/>
                <w:bCs/>
                <w:color w:val="000000"/>
                <w:kern w:val="0"/>
                <w:sz w:val="20"/>
              </w:rPr>
              <w:t>467.71</w:t>
            </w:r>
          </w:p>
        </w:tc>
      </w:tr>
      <w:tr w14:paraId="1C622A0A">
        <w:tblPrEx>
          <w:tblCellMar>
            <w:top w:w="0" w:type="dxa"/>
            <w:left w:w="108" w:type="dxa"/>
            <w:bottom w:w="0" w:type="dxa"/>
            <w:right w:w="108" w:type="dxa"/>
          </w:tblCellMar>
        </w:tblPrEx>
        <w:trPr>
          <w:trHeight w:val="570" w:hRule="atLeast"/>
        </w:trPr>
        <w:tc>
          <w:tcPr>
            <w:tcW w:w="1429" w:type="pct"/>
            <w:gridSpan w:val="2"/>
            <w:tcBorders>
              <w:top w:val="single" w:color="000000" w:sz="8" w:space="0"/>
              <w:left w:val="double" w:color="auto" w:sz="6" w:space="0"/>
              <w:bottom w:val="double" w:color="auto" w:sz="6" w:space="0"/>
              <w:right w:val="single" w:color="000000" w:sz="8" w:space="0"/>
            </w:tcBorders>
            <w:shd w:val="clear" w:color="auto" w:fill="auto"/>
            <w:vAlign w:val="center"/>
          </w:tcPr>
          <w:p w14:paraId="652141A1">
            <w:pPr>
              <w:widowControl/>
              <w:spacing w:line="240" w:lineRule="auto"/>
              <w:ind w:firstLine="0" w:firstLineChars="0"/>
              <w:jc w:val="center"/>
              <w:rPr>
                <w:rFonts w:ascii="宋体" w:hAnsi="宋体" w:eastAsia="宋体" w:cs="宋体"/>
                <w:b/>
                <w:bCs/>
                <w:color w:val="000000"/>
                <w:kern w:val="0"/>
                <w:sz w:val="20"/>
              </w:rPr>
            </w:pPr>
            <w:r>
              <w:rPr>
                <w:rFonts w:hint="eastAsia" w:ascii="宋体" w:hAnsi="宋体" w:eastAsia="宋体" w:cs="宋体"/>
                <w:b/>
                <w:bCs/>
                <w:color w:val="000000"/>
                <w:kern w:val="0"/>
                <w:sz w:val="20"/>
              </w:rPr>
              <w:t>总投资</w:t>
            </w:r>
          </w:p>
        </w:tc>
        <w:tc>
          <w:tcPr>
            <w:tcW w:w="714" w:type="pct"/>
            <w:tcBorders>
              <w:top w:val="nil"/>
              <w:left w:val="nil"/>
              <w:bottom w:val="double" w:color="auto" w:sz="6" w:space="0"/>
              <w:right w:val="single" w:color="000000" w:sz="8" w:space="0"/>
            </w:tcBorders>
            <w:shd w:val="clear" w:color="auto" w:fill="auto"/>
            <w:vAlign w:val="center"/>
          </w:tcPr>
          <w:p w14:paraId="0DBD61E7">
            <w:pPr>
              <w:widowControl/>
              <w:spacing w:line="240" w:lineRule="auto"/>
              <w:ind w:firstLine="0" w:firstLineChars="0"/>
              <w:jc w:val="center"/>
              <w:rPr>
                <w:rFonts w:ascii="宋体" w:hAnsi="宋体" w:eastAsia="宋体" w:cs="宋体"/>
                <w:color w:val="000000"/>
                <w:kern w:val="0"/>
                <w:sz w:val="20"/>
              </w:rPr>
            </w:pPr>
          </w:p>
        </w:tc>
        <w:tc>
          <w:tcPr>
            <w:tcW w:w="714" w:type="pct"/>
            <w:tcBorders>
              <w:top w:val="nil"/>
              <w:left w:val="nil"/>
              <w:bottom w:val="double" w:color="auto" w:sz="6" w:space="0"/>
              <w:right w:val="single" w:color="000000" w:sz="8" w:space="0"/>
            </w:tcBorders>
            <w:shd w:val="clear" w:color="auto" w:fill="auto"/>
            <w:vAlign w:val="center"/>
          </w:tcPr>
          <w:p w14:paraId="208E8BEC">
            <w:pPr>
              <w:widowControl/>
              <w:spacing w:line="240" w:lineRule="auto"/>
              <w:ind w:firstLine="0" w:firstLineChars="0"/>
              <w:jc w:val="center"/>
              <w:rPr>
                <w:rFonts w:ascii="宋体" w:hAnsi="宋体" w:eastAsia="宋体" w:cs="宋体"/>
                <w:color w:val="000000"/>
                <w:kern w:val="0"/>
                <w:sz w:val="20"/>
              </w:rPr>
            </w:pPr>
          </w:p>
        </w:tc>
        <w:tc>
          <w:tcPr>
            <w:tcW w:w="714" w:type="pct"/>
            <w:tcBorders>
              <w:top w:val="nil"/>
              <w:left w:val="nil"/>
              <w:bottom w:val="double" w:color="auto" w:sz="6" w:space="0"/>
              <w:right w:val="single" w:color="000000" w:sz="8" w:space="0"/>
            </w:tcBorders>
            <w:shd w:val="clear" w:color="auto" w:fill="auto"/>
            <w:vAlign w:val="center"/>
          </w:tcPr>
          <w:p w14:paraId="4DAA157E">
            <w:pPr>
              <w:widowControl/>
              <w:spacing w:line="240" w:lineRule="auto"/>
              <w:ind w:firstLine="0" w:firstLineChars="0"/>
              <w:jc w:val="center"/>
              <w:rPr>
                <w:rFonts w:ascii="宋体" w:hAnsi="宋体" w:eastAsia="宋体" w:cs="宋体"/>
                <w:color w:val="000000"/>
                <w:kern w:val="0"/>
                <w:sz w:val="20"/>
              </w:rPr>
            </w:pPr>
          </w:p>
        </w:tc>
        <w:tc>
          <w:tcPr>
            <w:tcW w:w="714" w:type="pct"/>
            <w:tcBorders>
              <w:top w:val="nil"/>
              <w:left w:val="nil"/>
              <w:bottom w:val="double" w:color="auto" w:sz="6" w:space="0"/>
              <w:right w:val="single" w:color="000000" w:sz="8" w:space="0"/>
            </w:tcBorders>
            <w:shd w:val="clear" w:color="auto" w:fill="auto"/>
            <w:vAlign w:val="center"/>
          </w:tcPr>
          <w:p w14:paraId="7D6E4977">
            <w:pPr>
              <w:widowControl/>
              <w:spacing w:line="240" w:lineRule="auto"/>
              <w:ind w:firstLine="0" w:firstLineChars="0"/>
              <w:jc w:val="center"/>
              <w:rPr>
                <w:rFonts w:ascii="宋体" w:hAnsi="宋体" w:eastAsia="宋体" w:cs="宋体"/>
                <w:color w:val="000000"/>
                <w:kern w:val="0"/>
                <w:sz w:val="20"/>
              </w:rPr>
            </w:pPr>
          </w:p>
        </w:tc>
        <w:tc>
          <w:tcPr>
            <w:tcW w:w="714" w:type="pct"/>
            <w:tcBorders>
              <w:top w:val="nil"/>
              <w:left w:val="nil"/>
              <w:bottom w:val="double" w:color="auto" w:sz="6" w:space="0"/>
              <w:right w:val="double" w:color="auto" w:sz="6" w:space="0"/>
            </w:tcBorders>
            <w:shd w:val="clear" w:color="auto" w:fill="auto"/>
            <w:vAlign w:val="center"/>
          </w:tcPr>
          <w:p w14:paraId="0EAE5CFF">
            <w:pPr>
              <w:widowControl/>
              <w:spacing w:line="240" w:lineRule="auto"/>
              <w:ind w:firstLine="0" w:firstLineChars="0"/>
              <w:jc w:val="center"/>
              <w:rPr>
                <w:rFonts w:ascii="宋体" w:hAnsi="宋体" w:eastAsia="宋体" w:cs="宋体"/>
                <w:b/>
                <w:bCs/>
                <w:color w:val="000000"/>
                <w:kern w:val="0"/>
                <w:sz w:val="20"/>
              </w:rPr>
            </w:pPr>
            <w:r>
              <w:rPr>
                <w:rFonts w:hint="eastAsia" w:ascii="宋体" w:hAnsi="宋体" w:eastAsia="宋体" w:cs="宋体"/>
                <w:b/>
                <w:bCs/>
                <w:color w:val="000000"/>
                <w:kern w:val="0"/>
                <w:sz w:val="20"/>
              </w:rPr>
              <w:t>482.92</w:t>
            </w:r>
          </w:p>
        </w:tc>
      </w:tr>
    </w:tbl>
    <w:p w14:paraId="2DC11F71"/>
    <w:p w14:paraId="3334CA18"/>
    <w:p w14:paraId="496211F7">
      <w:r>
        <w:t>实际完成水土保持总投资</w:t>
      </w:r>
      <w:r>
        <w:rPr>
          <w:rFonts w:hint="eastAsia"/>
        </w:rPr>
        <w:t>482.92</w:t>
      </w:r>
      <w:r>
        <w:t>万元，与水土保持方案的投资相比</w:t>
      </w:r>
      <w:r>
        <w:rPr>
          <w:rFonts w:hint="eastAsia"/>
        </w:rPr>
        <w:t>减少</w:t>
      </w:r>
      <w:r>
        <w:t>了</w:t>
      </w:r>
      <w:r>
        <w:rPr>
          <w:rFonts w:hint="eastAsia"/>
        </w:rPr>
        <w:t>8.04</w:t>
      </w:r>
      <w:r>
        <w:t>万元，其中工程措施</w:t>
      </w:r>
      <w:r>
        <w:rPr>
          <w:rFonts w:hint="eastAsia"/>
        </w:rPr>
        <w:t>减少0万元</w:t>
      </w:r>
      <w:r>
        <w:t>，植物措施</w:t>
      </w:r>
      <w:r>
        <w:rPr>
          <w:rFonts w:hint="eastAsia"/>
        </w:rPr>
        <w:t>减少0万元</w:t>
      </w:r>
      <w:r>
        <w:t>，临时措施</w:t>
      </w:r>
      <w:r>
        <w:rPr>
          <w:rFonts w:hint="eastAsia"/>
        </w:rPr>
        <w:t>减少0万元</w:t>
      </w:r>
      <w:r>
        <w:t>，独立费用</w:t>
      </w:r>
      <w:r>
        <w:rPr>
          <w:rFonts w:hint="eastAsia"/>
        </w:rPr>
        <w:t>减少8.04万元</w:t>
      </w:r>
      <w:r>
        <w:t>，</w:t>
      </w:r>
      <w:r>
        <w:rPr>
          <w:rFonts w:hint="eastAsia"/>
        </w:rPr>
        <w:t>基本预备费减少了0万元</w:t>
      </w:r>
      <w:r>
        <w:t>。详见表3-</w:t>
      </w:r>
      <w:r>
        <w:rPr>
          <w:rFonts w:hint="eastAsia"/>
        </w:rPr>
        <w:t>7</w:t>
      </w:r>
      <w:r>
        <w:t>。</w:t>
      </w:r>
    </w:p>
    <w:p w14:paraId="6C40E9CE">
      <w:pPr>
        <w:widowControl/>
        <w:spacing w:line="240" w:lineRule="auto"/>
        <w:ind w:firstLine="0" w:firstLineChars="0"/>
        <w:jc w:val="left"/>
        <w:rPr>
          <w:b/>
          <w:szCs w:val="24"/>
        </w:rPr>
      </w:pPr>
      <w:r>
        <w:rPr>
          <w:b/>
          <w:szCs w:val="24"/>
        </w:rPr>
        <w:t>表3-</w:t>
      </w:r>
      <w:r>
        <w:rPr>
          <w:rFonts w:hint="eastAsia"/>
          <w:b/>
          <w:szCs w:val="24"/>
        </w:rPr>
        <w:t>7</w:t>
      </w:r>
      <w:r>
        <w:rPr>
          <w:b/>
          <w:szCs w:val="24"/>
        </w:rPr>
        <w:t xml:space="preserve">                     水土保持工程投资对照表</w:t>
      </w:r>
    </w:p>
    <w:tbl>
      <w:tblPr>
        <w:tblStyle w:val="32"/>
        <w:tblW w:w="5000" w:type="pct"/>
        <w:tblInd w:w="0" w:type="dxa"/>
        <w:tblLayout w:type="autofit"/>
        <w:tblCellMar>
          <w:top w:w="0" w:type="dxa"/>
          <w:left w:w="108" w:type="dxa"/>
          <w:bottom w:w="0" w:type="dxa"/>
          <w:right w:w="108" w:type="dxa"/>
        </w:tblCellMar>
      </w:tblPr>
      <w:tblGrid>
        <w:gridCol w:w="1848"/>
        <w:gridCol w:w="1848"/>
        <w:gridCol w:w="1848"/>
        <w:gridCol w:w="1849"/>
        <w:gridCol w:w="1849"/>
      </w:tblGrid>
      <w:tr w14:paraId="5023FA27">
        <w:tblPrEx>
          <w:tblCellMar>
            <w:top w:w="0" w:type="dxa"/>
            <w:left w:w="108" w:type="dxa"/>
            <w:bottom w:w="0" w:type="dxa"/>
            <w:right w:w="108" w:type="dxa"/>
          </w:tblCellMar>
        </w:tblPrEx>
        <w:trPr>
          <w:trHeight w:val="570" w:hRule="atLeast"/>
        </w:trPr>
        <w:tc>
          <w:tcPr>
            <w:tcW w:w="1000" w:type="pct"/>
            <w:tcBorders>
              <w:top w:val="double" w:color="auto" w:sz="6" w:space="0"/>
              <w:left w:val="double" w:color="auto" w:sz="6" w:space="0"/>
              <w:bottom w:val="double" w:color="auto" w:sz="6" w:space="0"/>
              <w:right w:val="double" w:color="auto" w:sz="6" w:space="0"/>
            </w:tcBorders>
            <w:shd w:val="clear" w:color="auto" w:fill="auto"/>
            <w:vAlign w:val="center"/>
          </w:tcPr>
          <w:p w14:paraId="664D6944">
            <w:pPr>
              <w:widowControl/>
              <w:spacing w:line="240" w:lineRule="auto"/>
              <w:ind w:firstLine="44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序号</w:t>
            </w:r>
          </w:p>
        </w:tc>
        <w:tc>
          <w:tcPr>
            <w:tcW w:w="1000" w:type="pct"/>
            <w:tcBorders>
              <w:top w:val="double" w:color="auto" w:sz="6" w:space="0"/>
              <w:left w:val="nil"/>
              <w:bottom w:val="double" w:color="auto" w:sz="6" w:space="0"/>
              <w:right w:val="double" w:color="auto" w:sz="6" w:space="0"/>
            </w:tcBorders>
            <w:shd w:val="clear" w:color="auto" w:fill="auto"/>
            <w:vAlign w:val="center"/>
          </w:tcPr>
          <w:p w14:paraId="4BDB3437">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工程或费用名称</w:t>
            </w:r>
          </w:p>
        </w:tc>
        <w:tc>
          <w:tcPr>
            <w:tcW w:w="1000" w:type="pct"/>
            <w:tcBorders>
              <w:top w:val="double" w:color="auto" w:sz="6" w:space="0"/>
              <w:left w:val="nil"/>
              <w:bottom w:val="double" w:color="auto" w:sz="6" w:space="0"/>
              <w:right w:val="double" w:color="auto" w:sz="6" w:space="0"/>
            </w:tcBorders>
            <w:shd w:val="clear" w:color="auto" w:fill="auto"/>
            <w:vAlign w:val="center"/>
          </w:tcPr>
          <w:p w14:paraId="35B8683C">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方案批复</w:t>
            </w:r>
          </w:p>
        </w:tc>
        <w:tc>
          <w:tcPr>
            <w:tcW w:w="1000" w:type="pct"/>
            <w:tcBorders>
              <w:top w:val="double" w:color="auto" w:sz="6" w:space="0"/>
              <w:left w:val="nil"/>
              <w:bottom w:val="double" w:color="auto" w:sz="6" w:space="0"/>
              <w:right w:val="double" w:color="auto" w:sz="6" w:space="0"/>
            </w:tcBorders>
            <w:shd w:val="clear" w:color="auto" w:fill="auto"/>
            <w:vAlign w:val="center"/>
          </w:tcPr>
          <w:p w14:paraId="1CFAAF64">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w:t>
            </w:r>
          </w:p>
        </w:tc>
        <w:tc>
          <w:tcPr>
            <w:tcW w:w="1000" w:type="pct"/>
            <w:tcBorders>
              <w:top w:val="double" w:color="auto" w:sz="6" w:space="0"/>
              <w:left w:val="nil"/>
              <w:bottom w:val="double" w:color="auto" w:sz="6" w:space="0"/>
              <w:right w:val="double" w:color="auto" w:sz="6" w:space="0"/>
            </w:tcBorders>
            <w:shd w:val="clear" w:color="auto" w:fill="auto"/>
            <w:vAlign w:val="center"/>
          </w:tcPr>
          <w:p w14:paraId="6E68F289">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增减量</w:t>
            </w:r>
          </w:p>
        </w:tc>
      </w:tr>
      <w:tr w14:paraId="57E6CDB5">
        <w:tblPrEx>
          <w:tblCellMar>
            <w:top w:w="0" w:type="dxa"/>
            <w:left w:w="108" w:type="dxa"/>
            <w:bottom w:w="0" w:type="dxa"/>
            <w:right w:w="108" w:type="dxa"/>
          </w:tblCellMar>
        </w:tblPrEx>
        <w:trPr>
          <w:trHeight w:val="510" w:hRule="atLeast"/>
        </w:trPr>
        <w:tc>
          <w:tcPr>
            <w:tcW w:w="1000" w:type="pct"/>
            <w:tcBorders>
              <w:top w:val="nil"/>
              <w:left w:val="double" w:color="auto" w:sz="6" w:space="0"/>
              <w:bottom w:val="double" w:color="auto" w:sz="6" w:space="0"/>
              <w:right w:val="double" w:color="auto" w:sz="6" w:space="0"/>
            </w:tcBorders>
            <w:shd w:val="clear" w:color="auto" w:fill="auto"/>
            <w:vAlign w:val="center"/>
          </w:tcPr>
          <w:p w14:paraId="0394F0B9">
            <w:pPr>
              <w:widowControl/>
              <w:spacing w:line="240" w:lineRule="auto"/>
              <w:ind w:firstLine="0" w:firstLineChars="0"/>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一</w:t>
            </w:r>
          </w:p>
        </w:tc>
        <w:tc>
          <w:tcPr>
            <w:tcW w:w="1000" w:type="pct"/>
            <w:tcBorders>
              <w:top w:val="nil"/>
              <w:left w:val="nil"/>
              <w:bottom w:val="double" w:color="auto" w:sz="6" w:space="0"/>
              <w:right w:val="double" w:color="auto" w:sz="6" w:space="0"/>
            </w:tcBorders>
            <w:shd w:val="clear" w:color="auto" w:fill="auto"/>
            <w:vAlign w:val="center"/>
          </w:tcPr>
          <w:p w14:paraId="668216A7">
            <w:pPr>
              <w:widowControl/>
              <w:spacing w:line="240" w:lineRule="auto"/>
              <w:ind w:firstLine="0" w:firstLineChars="0"/>
              <w:jc w:val="center"/>
              <w:rPr>
                <w:rFonts w:ascii="宋体" w:hAnsi="宋体" w:eastAsia="宋体" w:cs="宋体"/>
                <w:b/>
                <w:bCs/>
                <w:color w:val="000000"/>
                <w:kern w:val="0"/>
                <w:sz w:val="20"/>
              </w:rPr>
            </w:pPr>
            <w:r>
              <w:rPr>
                <w:rFonts w:hint="eastAsia" w:ascii="宋体" w:hAnsi="宋体" w:eastAsia="宋体" w:cs="宋体"/>
                <w:b/>
                <w:bCs/>
                <w:color w:val="000000"/>
                <w:kern w:val="0"/>
                <w:sz w:val="20"/>
              </w:rPr>
              <w:t>第一部分 工程措施</w:t>
            </w:r>
          </w:p>
        </w:tc>
        <w:tc>
          <w:tcPr>
            <w:tcW w:w="1000" w:type="pct"/>
            <w:tcBorders>
              <w:top w:val="nil"/>
              <w:left w:val="nil"/>
              <w:bottom w:val="double" w:color="auto" w:sz="6" w:space="0"/>
              <w:right w:val="double" w:color="auto" w:sz="6" w:space="0"/>
            </w:tcBorders>
            <w:shd w:val="clear" w:color="auto" w:fill="auto"/>
            <w:vAlign w:val="center"/>
          </w:tcPr>
          <w:p w14:paraId="36343935">
            <w:pPr>
              <w:widowControl/>
              <w:spacing w:line="240" w:lineRule="auto"/>
              <w:ind w:firstLine="0" w:firstLineChars="0"/>
              <w:jc w:val="center"/>
              <w:rPr>
                <w:rFonts w:ascii="宋体" w:hAnsi="宋体" w:eastAsia="宋体" w:cs="宋体"/>
                <w:color w:val="000000"/>
                <w:kern w:val="0"/>
                <w:sz w:val="22"/>
                <w:szCs w:val="22"/>
              </w:rPr>
            </w:pPr>
          </w:p>
        </w:tc>
        <w:tc>
          <w:tcPr>
            <w:tcW w:w="1000" w:type="pct"/>
            <w:tcBorders>
              <w:top w:val="nil"/>
              <w:left w:val="nil"/>
              <w:bottom w:val="double" w:color="auto" w:sz="6" w:space="0"/>
              <w:right w:val="double" w:color="auto" w:sz="6" w:space="0"/>
            </w:tcBorders>
            <w:shd w:val="clear" w:color="auto" w:fill="auto"/>
            <w:vAlign w:val="center"/>
          </w:tcPr>
          <w:p w14:paraId="3187CCE0">
            <w:pPr>
              <w:widowControl/>
              <w:spacing w:line="240" w:lineRule="auto"/>
              <w:ind w:firstLine="0" w:firstLineChars="0"/>
              <w:jc w:val="center"/>
              <w:rPr>
                <w:rFonts w:ascii="宋体" w:hAnsi="宋体" w:eastAsia="宋体" w:cs="宋体"/>
                <w:color w:val="000000"/>
                <w:kern w:val="0"/>
                <w:sz w:val="22"/>
                <w:szCs w:val="22"/>
              </w:rPr>
            </w:pPr>
          </w:p>
        </w:tc>
        <w:tc>
          <w:tcPr>
            <w:tcW w:w="1000" w:type="pct"/>
            <w:tcBorders>
              <w:top w:val="nil"/>
              <w:left w:val="nil"/>
              <w:bottom w:val="double" w:color="auto" w:sz="6" w:space="0"/>
              <w:right w:val="double" w:color="auto" w:sz="6" w:space="0"/>
            </w:tcBorders>
            <w:shd w:val="clear" w:color="auto" w:fill="auto"/>
            <w:vAlign w:val="center"/>
          </w:tcPr>
          <w:p w14:paraId="1C7B8F84">
            <w:pPr>
              <w:widowControl/>
              <w:spacing w:line="240" w:lineRule="auto"/>
              <w:ind w:firstLine="0" w:firstLineChars="0"/>
              <w:jc w:val="center"/>
              <w:rPr>
                <w:rFonts w:ascii="宋体" w:hAnsi="宋体" w:eastAsia="宋体" w:cs="宋体"/>
                <w:color w:val="000000"/>
                <w:kern w:val="0"/>
                <w:sz w:val="22"/>
                <w:szCs w:val="22"/>
              </w:rPr>
            </w:pPr>
          </w:p>
        </w:tc>
      </w:tr>
      <w:tr w14:paraId="74D10F3E">
        <w:tblPrEx>
          <w:tblCellMar>
            <w:top w:w="0" w:type="dxa"/>
            <w:left w:w="108" w:type="dxa"/>
            <w:bottom w:w="0" w:type="dxa"/>
            <w:right w:w="108" w:type="dxa"/>
          </w:tblCellMar>
        </w:tblPrEx>
        <w:trPr>
          <w:trHeight w:val="510" w:hRule="atLeast"/>
        </w:trPr>
        <w:tc>
          <w:tcPr>
            <w:tcW w:w="1000" w:type="pct"/>
            <w:tcBorders>
              <w:top w:val="nil"/>
              <w:left w:val="double" w:color="auto" w:sz="6" w:space="0"/>
              <w:bottom w:val="double" w:color="auto" w:sz="6" w:space="0"/>
              <w:right w:val="double" w:color="auto" w:sz="6" w:space="0"/>
            </w:tcBorders>
            <w:shd w:val="clear" w:color="auto" w:fill="auto"/>
            <w:vAlign w:val="center"/>
          </w:tcPr>
          <w:p w14:paraId="3AFF89B8">
            <w:pPr>
              <w:widowControl/>
              <w:spacing w:line="240" w:lineRule="auto"/>
              <w:ind w:firstLine="0" w:firstLineChars="0"/>
              <w:jc w:val="center"/>
              <w:rPr>
                <w:rFonts w:ascii="宋体" w:hAnsi="宋体" w:eastAsia="宋体" w:cs="宋体"/>
                <w:b/>
                <w:bCs/>
                <w:color w:val="000000"/>
                <w:kern w:val="0"/>
                <w:sz w:val="20"/>
              </w:rPr>
            </w:pPr>
            <w:r>
              <w:rPr>
                <w:rFonts w:hint="eastAsia" w:ascii="宋体" w:hAnsi="宋体" w:eastAsia="宋体" w:cs="宋体"/>
                <w:b/>
                <w:bCs/>
                <w:color w:val="000000"/>
                <w:kern w:val="0"/>
                <w:sz w:val="20"/>
              </w:rPr>
              <w:t>二</w:t>
            </w:r>
          </w:p>
        </w:tc>
        <w:tc>
          <w:tcPr>
            <w:tcW w:w="1000" w:type="pct"/>
            <w:tcBorders>
              <w:top w:val="nil"/>
              <w:left w:val="nil"/>
              <w:bottom w:val="double" w:color="auto" w:sz="6" w:space="0"/>
              <w:right w:val="double" w:color="auto" w:sz="6" w:space="0"/>
            </w:tcBorders>
            <w:shd w:val="clear" w:color="auto" w:fill="auto"/>
            <w:vAlign w:val="center"/>
          </w:tcPr>
          <w:p w14:paraId="74FC88BE">
            <w:pPr>
              <w:widowControl/>
              <w:spacing w:line="240" w:lineRule="auto"/>
              <w:ind w:firstLine="0" w:firstLineChars="0"/>
              <w:jc w:val="center"/>
              <w:rPr>
                <w:rFonts w:ascii="宋体" w:hAnsi="宋体" w:eastAsia="宋体" w:cs="宋体"/>
                <w:b/>
                <w:bCs/>
                <w:color w:val="000000"/>
                <w:kern w:val="0"/>
                <w:sz w:val="20"/>
              </w:rPr>
            </w:pPr>
            <w:r>
              <w:rPr>
                <w:rFonts w:hint="eastAsia" w:ascii="宋体" w:hAnsi="宋体" w:eastAsia="宋体" w:cs="宋体"/>
                <w:b/>
                <w:bCs/>
                <w:color w:val="000000"/>
                <w:kern w:val="0"/>
                <w:sz w:val="20"/>
              </w:rPr>
              <w:t>第二部分 植物措施</w:t>
            </w:r>
          </w:p>
        </w:tc>
        <w:tc>
          <w:tcPr>
            <w:tcW w:w="1000" w:type="pct"/>
            <w:tcBorders>
              <w:top w:val="nil"/>
              <w:left w:val="nil"/>
              <w:bottom w:val="double" w:color="auto" w:sz="6" w:space="0"/>
              <w:right w:val="double" w:color="auto" w:sz="6" w:space="0"/>
            </w:tcBorders>
            <w:shd w:val="clear" w:color="auto" w:fill="auto"/>
            <w:vAlign w:val="center"/>
          </w:tcPr>
          <w:p w14:paraId="1636B859">
            <w:pPr>
              <w:widowControl/>
              <w:spacing w:line="240" w:lineRule="auto"/>
              <w:ind w:firstLine="0" w:firstLineChars="0"/>
              <w:jc w:val="center"/>
              <w:rPr>
                <w:rFonts w:ascii="宋体" w:hAnsi="宋体" w:eastAsia="宋体" w:cs="宋体"/>
                <w:color w:val="000000"/>
                <w:kern w:val="0"/>
                <w:sz w:val="22"/>
                <w:szCs w:val="22"/>
              </w:rPr>
            </w:pPr>
          </w:p>
        </w:tc>
        <w:tc>
          <w:tcPr>
            <w:tcW w:w="1000" w:type="pct"/>
            <w:tcBorders>
              <w:top w:val="nil"/>
              <w:left w:val="nil"/>
              <w:bottom w:val="double" w:color="auto" w:sz="6" w:space="0"/>
              <w:right w:val="double" w:color="auto" w:sz="6" w:space="0"/>
            </w:tcBorders>
            <w:shd w:val="clear" w:color="auto" w:fill="auto"/>
            <w:vAlign w:val="center"/>
          </w:tcPr>
          <w:p w14:paraId="7BF173D6">
            <w:pPr>
              <w:widowControl/>
              <w:spacing w:line="240" w:lineRule="auto"/>
              <w:ind w:firstLine="0" w:firstLineChars="0"/>
              <w:jc w:val="center"/>
              <w:rPr>
                <w:rFonts w:ascii="宋体" w:hAnsi="宋体" w:eastAsia="宋体" w:cs="宋体"/>
                <w:color w:val="000000"/>
                <w:kern w:val="0"/>
                <w:sz w:val="22"/>
                <w:szCs w:val="22"/>
              </w:rPr>
            </w:pPr>
          </w:p>
        </w:tc>
        <w:tc>
          <w:tcPr>
            <w:tcW w:w="1000" w:type="pct"/>
            <w:tcBorders>
              <w:top w:val="nil"/>
              <w:left w:val="nil"/>
              <w:bottom w:val="double" w:color="auto" w:sz="6" w:space="0"/>
              <w:right w:val="double" w:color="auto" w:sz="6" w:space="0"/>
            </w:tcBorders>
            <w:shd w:val="clear" w:color="auto" w:fill="auto"/>
            <w:vAlign w:val="center"/>
          </w:tcPr>
          <w:p w14:paraId="7C09AC32">
            <w:pPr>
              <w:widowControl/>
              <w:spacing w:line="240" w:lineRule="auto"/>
              <w:ind w:firstLine="0" w:firstLineChars="0"/>
              <w:jc w:val="center"/>
              <w:rPr>
                <w:rFonts w:ascii="宋体" w:hAnsi="宋体" w:eastAsia="宋体" w:cs="宋体"/>
                <w:color w:val="000000"/>
                <w:kern w:val="0"/>
                <w:sz w:val="22"/>
                <w:szCs w:val="22"/>
              </w:rPr>
            </w:pPr>
          </w:p>
        </w:tc>
      </w:tr>
      <w:tr w14:paraId="6F565AAD">
        <w:tblPrEx>
          <w:tblCellMar>
            <w:top w:w="0" w:type="dxa"/>
            <w:left w:w="108" w:type="dxa"/>
            <w:bottom w:w="0" w:type="dxa"/>
            <w:right w:w="108" w:type="dxa"/>
          </w:tblCellMar>
        </w:tblPrEx>
        <w:trPr>
          <w:trHeight w:val="510" w:hRule="atLeast"/>
        </w:trPr>
        <w:tc>
          <w:tcPr>
            <w:tcW w:w="1000" w:type="pct"/>
            <w:tcBorders>
              <w:top w:val="nil"/>
              <w:left w:val="double" w:color="auto" w:sz="6" w:space="0"/>
              <w:bottom w:val="double" w:color="auto" w:sz="6" w:space="0"/>
              <w:right w:val="double" w:color="auto" w:sz="6" w:space="0"/>
            </w:tcBorders>
            <w:shd w:val="clear" w:color="auto" w:fill="auto"/>
            <w:vAlign w:val="center"/>
          </w:tcPr>
          <w:p w14:paraId="62BE96BE">
            <w:pPr>
              <w:widowControl/>
              <w:spacing w:line="240" w:lineRule="auto"/>
              <w:ind w:firstLine="0" w:firstLineChars="0"/>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三</w:t>
            </w:r>
          </w:p>
        </w:tc>
        <w:tc>
          <w:tcPr>
            <w:tcW w:w="1000" w:type="pct"/>
            <w:tcBorders>
              <w:top w:val="nil"/>
              <w:left w:val="nil"/>
              <w:bottom w:val="double" w:color="auto" w:sz="6" w:space="0"/>
              <w:right w:val="double" w:color="auto" w:sz="6" w:space="0"/>
            </w:tcBorders>
            <w:shd w:val="clear" w:color="auto" w:fill="auto"/>
            <w:vAlign w:val="center"/>
          </w:tcPr>
          <w:p w14:paraId="709FF26E">
            <w:pPr>
              <w:widowControl/>
              <w:spacing w:line="240" w:lineRule="auto"/>
              <w:ind w:firstLine="0" w:firstLineChars="0"/>
              <w:jc w:val="center"/>
              <w:rPr>
                <w:rFonts w:ascii="宋体" w:hAnsi="宋体" w:eastAsia="宋体" w:cs="宋体"/>
                <w:b/>
                <w:bCs/>
                <w:color w:val="000000"/>
                <w:kern w:val="0"/>
                <w:sz w:val="20"/>
              </w:rPr>
            </w:pPr>
            <w:r>
              <w:rPr>
                <w:rFonts w:hint="eastAsia" w:ascii="宋体" w:hAnsi="宋体" w:eastAsia="宋体" w:cs="宋体"/>
                <w:b/>
                <w:bCs/>
                <w:color w:val="000000"/>
                <w:kern w:val="0"/>
                <w:sz w:val="20"/>
              </w:rPr>
              <w:t>第三部分 监测措施</w:t>
            </w:r>
          </w:p>
        </w:tc>
        <w:tc>
          <w:tcPr>
            <w:tcW w:w="1000" w:type="pct"/>
            <w:tcBorders>
              <w:top w:val="nil"/>
              <w:left w:val="nil"/>
              <w:bottom w:val="double" w:color="auto" w:sz="6" w:space="0"/>
              <w:right w:val="double" w:color="auto" w:sz="6" w:space="0"/>
            </w:tcBorders>
            <w:shd w:val="clear" w:color="auto" w:fill="auto"/>
            <w:vAlign w:val="center"/>
          </w:tcPr>
          <w:p w14:paraId="5EE4D93E">
            <w:pPr>
              <w:widowControl/>
              <w:spacing w:line="240" w:lineRule="auto"/>
              <w:ind w:firstLine="0" w:firstLineChars="0"/>
              <w:jc w:val="center"/>
              <w:rPr>
                <w:rFonts w:ascii="宋体" w:hAnsi="宋体" w:eastAsia="宋体" w:cs="宋体"/>
                <w:color w:val="000000"/>
                <w:kern w:val="0"/>
                <w:sz w:val="22"/>
                <w:szCs w:val="22"/>
              </w:rPr>
            </w:pPr>
          </w:p>
        </w:tc>
        <w:tc>
          <w:tcPr>
            <w:tcW w:w="1000" w:type="pct"/>
            <w:tcBorders>
              <w:top w:val="nil"/>
              <w:left w:val="nil"/>
              <w:bottom w:val="double" w:color="auto" w:sz="6" w:space="0"/>
              <w:right w:val="double" w:color="auto" w:sz="6" w:space="0"/>
            </w:tcBorders>
            <w:shd w:val="clear" w:color="auto" w:fill="auto"/>
            <w:vAlign w:val="center"/>
          </w:tcPr>
          <w:p w14:paraId="7ED7EAA1">
            <w:pPr>
              <w:widowControl/>
              <w:spacing w:line="240" w:lineRule="auto"/>
              <w:ind w:firstLine="0" w:firstLineChars="0"/>
              <w:jc w:val="center"/>
              <w:rPr>
                <w:rFonts w:ascii="宋体" w:hAnsi="宋体" w:eastAsia="宋体" w:cs="宋体"/>
                <w:color w:val="000000"/>
                <w:kern w:val="0"/>
                <w:sz w:val="22"/>
                <w:szCs w:val="22"/>
              </w:rPr>
            </w:pPr>
          </w:p>
        </w:tc>
        <w:tc>
          <w:tcPr>
            <w:tcW w:w="1000" w:type="pct"/>
            <w:tcBorders>
              <w:top w:val="nil"/>
              <w:left w:val="nil"/>
              <w:bottom w:val="double" w:color="auto" w:sz="6" w:space="0"/>
              <w:right w:val="double" w:color="auto" w:sz="6" w:space="0"/>
            </w:tcBorders>
            <w:shd w:val="clear" w:color="auto" w:fill="auto"/>
            <w:vAlign w:val="center"/>
          </w:tcPr>
          <w:p w14:paraId="1477D6F5">
            <w:pPr>
              <w:widowControl/>
              <w:spacing w:line="240" w:lineRule="auto"/>
              <w:ind w:firstLine="0" w:firstLineChars="0"/>
              <w:jc w:val="center"/>
              <w:rPr>
                <w:rFonts w:ascii="宋体" w:hAnsi="宋体" w:eastAsia="宋体" w:cs="宋体"/>
                <w:color w:val="000000"/>
                <w:kern w:val="0"/>
                <w:sz w:val="22"/>
                <w:szCs w:val="22"/>
              </w:rPr>
            </w:pPr>
          </w:p>
        </w:tc>
      </w:tr>
      <w:tr w14:paraId="002B7068">
        <w:tblPrEx>
          <w:tblCellMar>
            <w:top w:w="0" w:type="dxa"/>
            <w:left w:w="108" w:type="dxa"/>
            <w:bottom w:w="0" w:type="dxa"/>
            <w:right w:w="108" w:type="dxa"/>
          </w:tblCellMar>
        </w:tblPrEx>
        <w:trPr>
          <w:trHeight w:val="510" w:hRule="atLeast"/>
        </w:trPr>
        <w:tc>
          <w:tcPr>
            <w:tcW w:w="1000" w:type="pct"/>
            <w:tcBorders>
              <w:top w:val="nil"/>
              <w:left w:val="double" w:color="auto" w:sz="6" w:space="0"/>
              <w:bottom w:val="double" w:color="auto" w:sz="6" w:space="0"/>
              <w:right w:val="double" w:color="auto" w:sz="6" w:space="0"/>
            </w:tcBorders>
            <w:shd w:val="clear" w:color="auto" w:fill="auto"/>
            <w:vAlign w:val="center"/>
          </w:tcPr>
          <w:p w14:paraId="63BBEB0A">
            <w:pPr>
              <w:widowControl/>
              <w:spacing w:line="240" w:lineRule="auto"/>
              <w:ind w:firstLine="0" w:firstLineChars="0"/>
              <w:jc w:val="center"/>
              <w:rPr>
                <w:rFonts w:ascii="宋体" w:hAnsi="宋体" w:eastAsia="宋体" w:cs="宋体"/>
                <w:color w:val="000000"/>
                <w:kern w:val="0"/>
                <w:sz w:val="20"/>
              </w:rPr>
            </w:pPr>
            <w:r>
              <w:rPr>
                <w:rFonts w:hint="eastAsia" w:ascii="宋体" w:hAnsi="宋体" w:eastAsia="宋体" w:cs="宋体"/>
                <w:color w:val="000000"/>
                <w:kern w:val="0"/>
                <w:sz w:val="20"/>
              </w:rPr>
              <w:t>1</w:t>
            </w:r>
          </w:p>
        </w:tc>
        <w:tc>
          <w:tcPr>
            <w:tcW w:w="1000" w:type="pct"/>
            <w:tcBorders>
              <w:top w:val="nil"/>
              <w:left w:val="nil"/>
              <w:bottom w:val="double" w:color="auto" w:sz="6" w:space="0"/>
              <w:right w:val="double" w:color="auto" w:sz="6" w:space="0"/>
            </w:tcBorders>
            <w:shd w:val="clear" w:color="auto" w:fill="auto"/>
            <w:vAlign w:val="center"/>
          </w:tcPr>
          <w:p w14:paraId="473D5578">
            <w:pPr>
              <w:widowControl/>
              <w:spacing w:line="240" w:lineRule="auto"/>
              <w:ind w:firstLine="0" w:firstLineChars="0"/>
              <w:jc w:val="center"/>
              <w:rPr>
                <w:rFonts w:ascii="宋体" w:hAnsi="宋体" w:eastAsia="宋体" w:cs="宋体"/>
                <w:color w:val="000000"/>
                <w:kern w:val="0"/>
                <w:sz w:val="20"/>
              </w:rPr>
            </w:pPr>
            <w:r>
              <w:rPr>
                <w:rFonts w:hint="eastAsia" w:ascii="宋体" w:hAnsi="宋体" w:eastAsia="宋体" w:cs="宋体"/>
                <w:color w:val="000000"/>
                <w:kern w:val="0"/>
                <w:sz w:val="20"/>
              </w:rPr>
              <w:t>一 监测费用</w:t>
            </w:r>
          </w:p>
        </w:tc>
        <w:tc>
          <w:tcPr>
            <w:tcW w:w="1000" w:type="pct"/>
            <w:tcBorders>
              <w:top w:val="nil"/>
              <w:left w:val="nil"/>
              <w:bottom w:val="double" w:color="auto" w:sz="6" w:space="0"/>
              <w:right w:val="double" w:color="auto" w:sz="6" w:space="0"/>
            </w:tcBorders>
            <w:shd w:val="clear" w:color="auto" w:fill="auto"/>
            <w:vAlign w:val="center"/>
          </w:tcPr>
          <w:p w14:paraId="7079B661">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7</w:t>
            </w:r>
          </w:p>
        </w:tc>
        <w:tc>
          <w:tcPr>
            <w:tcW w:w="1000" w:type="pct"/>
            <w:tcBorders>
              <w:top w:val="nil"/>
              <w:left w:val="nil"/>
              <w:bottom w:val="double" w:color="auto" w:sz="6" w:space="0"/>
              <w:right w:val="double" w:color="auto" w:sz="6" w:space="0"/>
            </w:tcBorders>
            <w:shd w:val="clear" w:color="auto" w:fill="auto"/>
            <w:vAlign w:val="center"/>
          </w:tcPr>
          <w:p w14:paraId="012FD7C3">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7</w:t>
            </w:r>
          </w:p>
        </w:tc>
        <w:tc>
          <w:tcPr>
            <w:tcW w:w="1000" w:type="pct"/>
            <w:tcBorders>
              <w:top w:val="nil"/>
              <w:left w:val="nil"/>
              <w:bottom w:val="double" w:color="auto" w:sz="6" w:space="0"/>
              <w:right w:val="double" w:color="auto" w:sz="6" w:space="0"/>
            </w:tcBorders>
            <w:shd w:val="clear" w:color="auto" w:fill="auto"/>
            <w:vAlign w:val="center"/>
          </w:tcPr>
          <w:p w14:paraId="05998746">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0</w:t>
            </w:r>
          </w:p>
        </w:tc>
      </w:tr>
      <w:tr w14:paraId="330FCB4F">
        <w:tblPrEx>
          <w:tblCellMar>
            <w:top w:w="0" w:type="dxa"/>
            <w:left w:w="108" w:type="dxa"/>
            <w:bottom w:w="0" w:type="dxa"/>
            <w:right w:w="108" w:type="dxa"/>
          </w:tblCellMar>
        </w:tblPrEx>
        <w:trPr>
          <w:trHeight w:val="750" w:hRule="atLeast"/>
        </w:trPr>
        <w:tc>
          <w:tcPr>
            <w:tcW w:w="1000" w:type="pct"/>
            <w:tcBorders>
              <w:top w:val="nil"/>
              <w:left w:val="double" w:color="auto" w:sz="6" w:space="0"/>
              <w:bottom w:val="double" w:color="auto" w:sz="6" w:space="0"/>
              <w:right w:val="double" w:color="auto" w:sz="6" w:space="0"/>
            </w:tcBorders>
            <w:shd w:val="clear" w:color="auto" w:fill="auto"/>
            <w:vAlign w:val="center"/>
          </w:tcPr>
          <w:p w14:paraId="728F03A6">
            <w:pPr>
              <w:widowControl/>
              <w:spacing w:line="240" w:lineRule="auto"/>
              <w:ind w:firstLine="0" w:firstLineChars="0"/>
              <w:jc w:val="center"/>
              <w:rPr>
                <w:rFonts w:ascii="宋体" w:hAnsi="宋体" w:eastAsia="宋体" w:cs="宋体"/>
                <w:b/>
                <w:bCs/>
                <w:color w:val="000000"/>
                <w:kern w:val="0"/>
                <w:sz w:val="20"/>
              </w:rPr>
            </w:pPr>
            <w:r>
              <w:rPr>
                <w:rFonts w:hint="eastAsia" w:ascii="宋体" w:hAnsi="宋体" w:eastAsia="宋体" w:cs="宋体"/>
                <w:b/>
                <w:bCs/>
                <w:color w:val="000000"/>
                <w:kern w:val="0"/>
                <w:sz w:val="20"/>
              </w:rPr>
              <w:t>四</w:t>
            </w:r>
          </w:p>
        </w:tc>
        <w:tc>
          <w:tcPr>
            <w:tcW w:w="1000" w:type="pct"/>
            <w:tcBorders>
              <w:top w:val="nil"/>
              <w:left w:val="nil"/>
              <w:bottom w:val="double" w:color="auto" w:sz="6" w:space="0"/>
              <w:right w:val="double" w:color="auto" w:sz="6" w:space="0"/>
            </w:tcBorders>
            <w:shd w:val="clear" w:color="auto" w:fill="auto"/>
            <w:vAlign w:val="center"/>
          </w:tcPr>
          <w:p w14:paraId="373B252E">
            <w:pPr>
              <w:widowControl/>
              <w:spacing w:line="240" w:lineRule="auto"/>
              <w:ind w:firstLine="0" w:firstLineChars="0"/>
              <w:jc w:val="center"/>
              <w:rPr>
                <w:rFonts w:ascii="宋体" w:hAnsi="宋体" w:eastAsia="宋体" w:cs="宋体"/>
                <w:b/>
                <w:bCs/>
                <w:color w:val="000000"/>
                <w:kern w:val="0"/>
                <w:sz w:val="20"/>
              </w:rPr>
            </w:pPr>
            <w:r>
              <w:rPr>
                <w:rFonts w:hint="eastAsia" w:ascii="宋体" w:hAnsi="宋体" w:eastAsia="宋体" w:cs="宋体"/>
                <w:b/>
                <w:bCs/>
                <w:color w:val="000000"/>
                <w:kern w:val="0"/>
                <w:sz w:val="20"/>
              </w:rPr>
              <w:t>第四部分 施工临时工程</w:t>
            </w:r>
          </w:p>
        </w:tc>
        <w:tc>
          <w:tcPr>
            <w:tcW w:w="1000" w:type="pct"/>
            <w:tcBorders>
              <w:top w:val="nil"/>
              <w:left w:val="nil"/>
              <w:bottom w:val="double" w:color="auto" w:sz="6" w:space="0"/>
              <w:right w:val="double" w:color="auto" w:sz="6" w:space="0"/>
            </w:tcBorders>
            <w:shd w:val="clear" w:color="auto" w:fill="auto"/>
            <w:vAlign w:val="center"/>
          </w:tcPr>
          <w:p w14:paraId="78B48C96">
            <w:pPr>
              <w:widowControl/>
              <w:spacing w:line="240" w:lineRule="auto"/>
              <w:ind w:firstLine="0" w:firstLineChars="0"/>
              <w:jc w:val="center"/>
              <w:rPr>
                <w:rFonts w:ascii="宋体" w:hAnsi="宋体" w:eastAsia="宋体" w:cs="宋体"/>
                <w:color w:val="000000"/>
                <w:kern w:val="0"/>
                <w:sz w:val="22"/>
                <w:szCs w:val="22"/>
              </w:rPr>
            </w:pPr>
          </w:p>
        </w:tc>
        <w:tc>
          <w:tcPr>
            <w:tcW w:w="1000" w:type="pct"/>
            <w:tcBorders>
              <w:top w:val="nil"/>
              <w:left w:val="nil"/>
              <w:bottom w:val="double" w:color="auto" w:sz="6" w:space="0"/>
              <w:right w:val="double" w:color="auto" w:sz="6" w:space="0"/>
            </w:tcBorders>
            <w:shd w:val="clear" w:color="auto" w:fill="auto"/>
            <w:vAlign w:val="center"/>
          </w:tcPr>
          <w:p w14:paraId="21955928">
            <w:pPr>
              <w:widowControl/>
              <w:spacing w:line="240" w:lineRule="auto"/>
              <w:ind w:firstLine="0" w:firstLineChars="0"/>
              <w:jc w:val="center"/>
              <w:rPr>
                <w:rFonts w:ascii="宋体" w:hAnsi="宋体" w:eastAsia="宋体" w:cs="宋体"/>
                <w:color w:val="000000"/>
                <w:kern w:val="0"/>
                <w:sz w:val="22"/>
                <w:szCs w:val="22"/>
              </w:rPr>
            </w:pPr>
          </w:p>
        </w:tc>
        <w:tc>
          <w:tcPr>
            <w:tcW w:w="1000" w:type="pct"/>
            <w:tcBorders>
              <w:top w:val="nil"/>
              <w:left w:val="nil"/>
              <w:bottom w:val="double" w:color="auto" w:sz="6" w:space="0"/>
              <w:right w:val="double" w:color="auto" w:sz="6" w:space="0"/>
            </w:tcBorders>
            <w:shd w:val="clear" w:color="auto" w:fill="auto"/>
            <w:vAlign w:val="center"/>
          </w:tcPr>
          <w:p w14:paraId="0F6679FD">
            <w:pPr>
              <w:widowControl/>
              <w:spacing w:line="240" w:lineRule="auto"/>
              <w:ind w:firstLine="0" w:firstLineChars="0"/>
              <w:jc w:val="center"/>
              <w:rPr>
                <w:rFonts w:ascii="宋体" w:hAnsi="宋体" w:eastAsia="宋体" w:cs="宋体"/>
                <w:color w:val="000000"/>
                <w:kern w:val="0"/>
                <w:sz w:val="22"/>
                <w:szCs w:val="22"/>
              </w:rPr>
            </w:pPr>
          </w:p>
        </w:tc>
      </w:tr>
      <w:tr w14:paraId="7D35BBB9">
        <w:tblPrEx>
          <w:tblCellMar>
            <w:top w:w="0" w:type="dxa"/>
            <w:left w:w="108" w:type="dxa"/>
            <w:bottom w:w="0" w:type="dxa"/>
            <w:right w:w="108" w:type="dxa"/>
          </w:tblCellMar>
        </w:tblPrEx>
        <w:trPr>
          <w:trHeight w:val="510" w:hRule="atLeast"/>
        </w:trPr>
        <w:tc>
          <w:tcPr>
            <w:tcW w:w="1000" w:type="pct"/>
            <w:tcBorders>
              <w:top w:val="nil"/>
              <w:left w:val="double" w:color="auto" w:sz="6" w:space="0"/>
              <w:bottom w:val="double" w:color="auto" w:sz="6" w:space="0"/>
              <w:right w:val="double" w:color="auto" w:sz="6" w:space="0"/>
            </w:tcBorders>
            <w:shd w:val="clear" w:color="auto" w:fill="auto"/>
            <w:vAlign w:val="center"/>
          </w:tcPr>
          <w:p w14:paraId="5D153260">
            <w:pPr>
              <w:widowControl/>
              <w:spacing w:line="240" w:lineRule="auto"/>
              <w:ind w:firstLine="0" w:firstLineChars="0"/>
              <w:jc w:val="center"/>
              <w:rPr>
                <w:rFonts w:ascii="宋体" w:hAnsi="宋体" w:eastAsia="宋体" w:cs="宋体"/>
                <w:color w:val="000000"/>
                <w:kern w:val="0"/>
                <w:sz w:val="20"/>
              </w:rPr>
            </w:pPr>
            <w:r>
              <w:rPr>
                <w:rFonts w:hint="eastAsia" w:ascii="宋体" w:hAnsi="宋体" w:eastAsia="宋体" w:cs="宋体"/>
                <w:color w:val="000000"/>
                <w:kern w:val="0"/>
                <w:sz w:val="20"/>
              </w:rPr>
              <w:t>1</w:t>
            </w:r>
          </w:p>
        </w:tc>
        <w:tc>
          <w:tcPr>
            <w:tcW w:w="1000" w:type="pct"/>
            <w:tcBorders>
              <w:top w:val="nil"/>
              <w:left w:val="nil"/>
              <w:bottom w:val="double" w:color="auto" w:sz="6" w:space="0"/>
              <w:right w:val="double" w:color="auto" w:sz="6" w:space="0"/>
            </w:tcBorders>
            <w:shd w:val="clear" w:color="auto" w:fill="auto"/>
            <w:vAlign w:val="center"/>
          </w:tcPr>
          <w:p w14:paraId="75C80B44">
            <w:pPr>
              <w:widowControl/>
              <w:spacing w:line="240" w:lineRule="auto"/>
              <w:ind w:firstLine="0" w:firstLineChars="0"/>
              <w:jc w:val="center"/>
              <w:rPr>
                <w:rFonts w:ascii="宋体" w:hAnsi="宋体" w:eastAsia="宋体" w:cs="宋体"/>
                <w:color w:val="000000"/>
                <w:kern w:val="0"/>
                <w:sz w:val="20"/>
              </w:rPr>
            </w:pPr>
            <w:r>
              <w:rPr>
                <w:rFonts w:hint="eastAsia" w:ascii="宋体" w:hAnsi="宋体" w:eastAsia="宋体" w:cs="宋体"/>
                <w:color w:val="000000"/>
                <w:kern w:val="0"/>
                <w:sz w:val="20"/>
              </w:rPr>
              <w:t>其他临时工程费</w:t>
            </w:r>
          </w:p>
        </w:tc>
        <w:tc>
          <w:tcPr>
            <w:tcW w:w="1000" w:type="pct"/>
            <w:tcBorders>
              <w:top w:val="nil"/>
              <w:left w:val="nil"/>
              <w:bottom w:val="double" w:color="auto" w:sz="6" w:space="0"/>
              <w:right w:val="double" w:color="auto" w:sz="6" w:space="0"/>
            </w:tcBorders>
            <w:shd w:val="clear" w:color="auto" w:fill="auto"/>
            <w:vAlign w:val="center"/>
          </w:tcPr>
          <w:p w14:paraId="08552E3A">
            <w:pPr>
              <w:widowControl/>
              <w:spacing w:line="240" w:lineRule="auto"/>
              <w:ind w:firstLine="0" w:firstLineChars="0"/>
              <w:jc w:val="center"/>
              <w:rPr>
                <w:rFonts w:ascii="宋体" w:hAnsi="宋体" w:eastAsia="宋体" w:cs="宋体"/>
                <w:color w:val="000000"/>
                <w:kern w:val="0"/>
                <w:sz w:val="22"/>
                <w:szCs w:val="22"/>
              </w:rPr>
            </w:pPr>
          </w:p>
        </w:tc>
        <w:tc>
          <w:tcPr>
            <w:tcW w:w="1000" w:type="pct"/>
            <w:tcBorders>
              <w:top w:val="nil"/>
              <w:left w:val="nil"/>
              <w:bottom w:val="double" w:color="auto" w:sz="6" w:space="0"/>
              <w:right w:val="double" w:color="auto" w:sz="6" w:space="0"/>
            </w:tcBorders>
            <w:shd w:val="clear" w:color="auto" w:fill="auto"/>
            <w:vAlign w:val="center"/>
          </w:tcPr>
          <w:p w14:paraId="1F29B06C">
            <w:pPr>
              <w:widowControl/>
              <w:spacing w:line="240" w:lineRule="auto"/>
              <w:ind w:firstLine="0" w:firstLineChars="0"/>
              <w:jc w:val="center"/>
              <w:rPr>
                <w:rFonts w:ascii="宋体" w:hAnsi="宋体" w:eastAsia="宋体" w:cs="宋体"/>
                <w:color w:val="000000"/>
                <w:kern w:val="0"/>
                <w:sz w:val="22"/>
                <w:szCs w:val="22"/>
              </w:rPr>
            </w:pPr>
          </w:p>
        </w:tc>
        <w:tc>
          <w:tcPr>
            <w:tcW w:w="1000" w:type="pct"/>
            <w:tcBorders>
              <w:top w:val="nil"/>
              <w:left w:val="nil"/>
              <w:bottom w:val="double" w:color="auto" w:sz="6" w:space="0"/>
              <w:right w:val="double" w:color="auto" w:sz="6" w:space="0"/>
            </w:tcBorders>
            <w:shd w:val="clear" w:color="auto" w:fill="auto"/>
            <w:vAlign w:val="center"/>
          </w:tcPr>
          <w:p w14:paraId="7755FEA2">
            <w:pPr>
              <w:widowControl/>
              <w:spacing w:line="240" w:lineRule="auto"/>
              <w:ind w:firstLine="0" w:firstLineChars="0"/>
              <w:jc w:val="center"/>
              <w:rPr>
                <w:rFonts w:ascii="宋体" w:hAnsi="宋体" w:eastAsia="宋体" w:cs="宋体"/>
                <w:color w:val="000000"/>
                <w:kern w:val="0"/>
                <w:sz w:val="22"/>
                <w:szCs w:val="22"/>
              </w:rPr>
            </w:pPr>
          </w:p>
        </w:tc>
      </w:tr>
      <w:tr w14:paraId="4F381070">
        <w:tblPrEx>
          <w:tblCellMar>
            <w:top w:w="0" w:type="dxa"/>
            <w:left w:w="108" w:type="dxa"/>
            <w:bottom w:w="0" w:type="dxa"/>
            <w:right w:w="108" w:type="dxa"/>
          </w:tblCellMar>
        </w:tblPrEx>
        <w:trPr>
          <w:trHeight w:val="510" w:hRule="atLeast"/>
        </w:trPr>
        <w:tc>
          <w:tcPr>
            <w:tcW w:w="1000" w:type="pct"/>
            <w:tcBorders>
              <w:top w:val="nil"/>
              <w:left w:val="double" w:color="auto" w:sz="6" w:space="0"/>
              <w:bottom w:val="double" w:color="auto" w:sz="6" w:space="0"/>
              <w:right w:val="double" w:color="auto" w:sz="6" w:space="0"/>
            </w:tcBorders>
            <w:shd w:val="clear" w:color="auto" w:fill="auto"/>
            <w:vAlign w:val="center"/>
          </w:tcPr>
          <w:p w14:paraId="0135306F">
            <w:pPr>
              <w:widowControl/>
              <w:spacing w:line="240" w:lineRule="auto"/>
              <w:ind w:firstLine="0" w:firstLineChars="0"/>
              <w:jc w:val="center"/>
              <w:rPr>
                <w:rFonts w:ascii="宋体" w:hAnsi="宋体" w:eastAsia="宋体" w:cs="宋体"/>
                <w:b/>
                <w:bCs/>
                <w:color w:val="000000"/>
                <w:kern w:val="0"/>
                <w:sz w:val="20"/>
              </w:rPr>
            </w:pPr>
            <w:r>
              <w:rPr>
                <w:rFonts w:hint="eastAsia" w:ascii="宋体" w:hAnsi="宋体" w:eastAsia="宋体" w:cs="宋体"/>
                <w:b/>
                <w:bCs/>
                <w:color w:val="000000"/>
                <w:kern w:val="0"/>
                <w:sz w:val="20"/>
              </w:rPr>
              <w:t>五</w:t>
            </w:r>
          </w:p>
        </w:tc>
        <w:tc>
          <w:tcPr>
            <w:tcW w:w="1000" w:type="pct"/>
            <w:tcBorders>
              <w:top w:val="nil"/>
              <w:left w:val="nil"/>
              <w:bottom w:val="double" w:color="auto" w:sz="6" w:space="0"/>
              <w:right w:val="double" w:color="auto" w:sz="6" w:space="0"/>
            </w:tcBorders>
            <w:shd w:val="clear" w:color="auto" w:fill="auto"/>
            <w:vAlign w:val="center"/>
          </w:tcPr>
          <w:p w14:paraId="0FDFF5EC">
            <w:pPr>
              <w:widowControl/>
              <w:spacing w:line="240" w:lineRule="auto"/>
              <w:ind w:firstLine="0" w:firstLineChars="0"/>
              <w:jc w:val="center"/>
              <w:rPr>
                <w:rFonts w:ascii="宋体" w:hAnsi="宋体" w:eastAsia="宋体" w:cs="宋体"/>
                <w:b/>
                <w:bCs/>
                <w:color w:val="000000"/>
                <w:kern w:val="0"/>
                <w:sz w:val="20"/>
              </w:rPr>
            </w:pPr>
            <w:r>
              <w:rPr>
                <w:rFonts w:hint="eastAsia" w:ascii="宋体" w:hAnsi="宋体" w:eastAsia="宋体" w:cs="宋体"/>
                <w:b/>
                <w:bCs/>
                <w:color w:val="000000"/>
                <w:kern w:val="0"/>
                <w:sz w:val="20"/>
              </w:rPr>
              <w:t>第五部分 独立费用</w:t>
            </w:r>
          </w:p>
        </w:tc>
        <w:tc>
          <w:tcPr>
            <w:tcW w:w="1000" w:type="pct"/>
            <w:tcBorders>
              <w:top w:val="nil"/>
              <w:left w:val="nil"/>
              <w:bottom w:val="double" w:color="auto" w:sz="6" w:space="0"/>
              <w:right w:val="double" w:color="auto" w:sz="6" w:space="0"/>
            </w:tcBorders>
            <w:shd w:val="clear" w:color="auto" w:fill="auto"/>
            <w:vAlign w:val="center"/>
          </w:tcPr>
          <w:p w14:paraId="08CA866F">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16.25</w:t>
            </w:r>
          </w:p>
        </w:tc>
        <w:tc>
          <w:tcPr>
            <w:tcW w:w="1000" w:type="pct"/>
            <w:tcBorders>
              <w:top w:val="nil"/>
              <w:left w:val="nil"/>
              <w:bottom w:val="double" w:color="auto" w:sz="6" w:space="0"/>
              <w:right w:val="double" w:color="auto" w:sz="6" w:space="0"/>
            </w:tcBorders>
            <w:shd w:val="clear" w:color="auto" w:fill="auto"/>
            <w:vAlign w:val="center"/>
          </w:tcPr>
          <w:p w14:paraId="5BCB8629">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8.21</w:t>
            </w:r>
          </w:p>
        </w:tc>
        <w:tc>
          <w:tcPr>
            <w:tcW w:w="1000" w:type="pct"/>
            <w:tcBorders>
              <w:top w:val="nil"/>
              <w:left w:val="nil"/>
              <w:bottom w:val="double" w:color="auto" w:sz="6" w:space="0"/>
              <w:right w:val="double" w:color="auto" w:sz="6" w:space="0"/>
            </w:tcBorders>
            <w:shd w:val="clear" w:color="auto" w:fill="auto"/>
            <w:vAlign w:val="center"/>
          </w:tcPr>
          <w:p w14:paraId="5161B697">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-8.04</w:t>
            </w:r>
          </w:p>
        </w:tc>
      </w:tr>
      <w:tr w14:paraId="68A25600">
        <w:tblPrEx>
          <w:tblCellMar>
            <w:top w:w="0" w:type="dxa"/>
            <w:left w:w="108" w:type="dxa"/>
            <w:bottom w:w="0" w:type="dxa"/>
            <w:right w:w="108" w:type="dxa"/>
          </w:tblCellMar>
        </w:tblPrEx>
        <w:trPr>
          <w:trHeight w:val="510" w:hRule="atLeast"/>
        </w:trPr>
        <w:tc>
          <w:tcPr>
            <w:tcW w:w="1000" w:type="pct"/>
            <w:tcBorders>
              <w:top w:val="nil"/>
              <w:left w:val="double" w:color="auto" w:sz="6" w:space="0"/>
              <w:bottom w:val="double" w:color="auto" w:sz="6" w:space="0"/>
              <w:right w:val="double" w:color="auto" w:sz="6" w:space="0"/>
            </w:tcBorders>
            <w:shd w:val="clear" w:color="auto" w:fill="auto"/>
            <w:vAlign w:val="center"/>
          </w:tcPr>
          <w:p w14:paraId="46737126">
            <w:pPr>
              <w:widowControl/>
              <w:spacing w:line="240" w:lineRule="auto"/>
              <w:ind w:firstLine="0" w:firstLineChars="0"/>
              <w:jc w:val="center"/>
              <w:rPr>
                <w:rFonts w:ascii="宋体" w:hAnsi="宋体" w:eastAsia="宋体" w:cs="宋体"/>
                <w:color w:val="000000"/>
                <w:kern w:val="0"/>
                <w:sz w:val="20"/>
              </w:rPr>
            </w:pPr>
            <w:r>
              <w:rPr>
                <w:rFonts w:hint="eastAsia" w:ascii="宋体" w:hAnsi="宋体" w:eastAsia="宋体" w:cs="宋体"/>
                <w:color w:val="000000"/>
                <w:kern w:val="0"/>
                <w:sz w:val="20"/>
              </w:rPr>
              <w:t>1</w:t>
            </w:r>
          </w:p>
        </w:tc>
        <w:tc>
          <w:tcPr>
            <w:tcW w:w="1000" w:type="pct"/>
            <w:tcBorders>
              <w:top w:val="nil"/>
              <w:left w:val="nil"/>
              <w:bottom w:val="double" w:color="auto" w:sz="6" w:space="0"/>
              <w:right w:val="double" w:color="auto" w:sz="6" w:space="0"/>
            </w:tcBorders>
            <w:shd w:val="clear" w:color="auto" w:fill="auto"/>
            <w:vAlign w:val="center"/>
          </w:tcPr>
          <w:p w14:paraId="4958299E">
            <w:pPr>
              <w:widowControl/>
              <w:spacing w:line="240" w:lineRule="auto"/>
              <w:ind w:firstLine="0" w:firstLineChars="0"/>
              <w:jc w:val="center"/>
              <w:rPr>
                <w:rFonts w:ascii="宋体" w:hAnsi="宋体" w:eastAsia="宋体" w:cs="宋体"/>
                <w:color w:val="000000"/>
                <w:kern w:val="0"/>
                <w:sz w:val="20"/>
              </w:rPr>
            </w:pPr>
            <w:r>
              <w:rPr>
                <w:rFonts w:hint="eastAsia" w:ascii="宋体" w:hAnsi="宋体" w:eastAsia="宋体" w:cs="宋体"/>
                <w:color w:val="000000"/>
                <w:kern w:val="0"/>
                <w:sz w:val="20"/>
              </w:rPr>
              <w:t>建设单位管理费</w:t>
            </w:r>
          </w:p>
        </w:tc>
        <w:tc>
          <w:tcPr>
            <w:tcW w:w="1000" w:type="pct"/>
            <w:tcBorders>
              <w:top w:val="nil"/>
              <w:left w:val="nil"/>
              <w:bottom w:val="double" w:color="auto" w:sz="6" w:space="0"/>
              <w:right w:val="double" w:color="auto" w:sz="6" w:space="0"/>
            </w:tcBorders>
            <w:shd w:val="clear" w:color="auto" w:fill="auto"/>
            <w:vAlign w:val="center"/>
          </w:tcPr>
          <w:p w14:paraId="3F20E4A5">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0.21</w:t>
            </w:r>
          </w:p>
        </w:tc>
        <w:tc>
          <w:tcPr>
            <w:tcW w:w="1000" w:type="pct"/>
            <w:tcBorders>
              <w:top w:val="nil"/>
              <w:left w:val="nil"/>
              <w:bottom w:val="double" w:color="auto" w:sz="6" w:space="0"/>
              <w:right w:val="double" w:color="auto" w:sz="6" w:space="0"/>
            </w:tcBorders>
            <w:shd w:val="clear" w:color="auto" w:fill="auto"/>
            <w:vAlign w:val="center"/>
          </w:tcPr>
          <w:p w14:paraId="091EB165">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0.21</w:t>
            </w:r>
          </w:p>
        </w:tc>
        <w:tc>
          <w:tcPr>
            <w:tcW w:w="1000" w:type="pct"/>
            <w:tcBorders>
              <w:top w:val="nil"/>
              <w:left w:val="nil"/>
              <w:bottom w:val="double" w:color="auto" w:sz="6" w:space="0"/>
              <w:right w:val="double" w:color="auto" w:sz="6" w:space="0"/>
            </w:tcBorders>
            <w:shd w:val="clear" w:color="auto" w:fill="auto"/>
            <w:vAlign w:val="center"/>
          </w:tcPr>
          <w:p w14:paraId="30618D4C">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0</w:t>
            </w:r>
          </w:p>
        </w:tc>
      </w:tr>
      <w:tr w14:paraId="4AC03583">
        <w:tblPrEx>
          <w:tblCellMar>
            <w:top w:w="0" w:type="dxa"/>
            <w:left w:w="108" w:type="dxa"/>
            <w:bottom w:w="0" w:type="dxa"/>
            <w:right w:w="108" w:type="dxa"/>
          </w:tblCellMar>
        </w:tblPrEx>
        <w:trPr>
          <w:trHeight w:val="510" w:hRule="atLeast"/>
        </w:trPr>
        <w:tc>
          <w:tcPr>
            <w:tcW w:w="1000" w:type="pct"/>
            <w:tcBorders>
              <w:top w:val="nil"/>
              <w:left w:val="double" w:color="auto" w:sz="6" w:space="0"/>
              <w:bottom w:val="double" w:color="auto" w:sz="6" w:space="0"/>
              <w:right w:val="double" w:color="auto" w:sz="6" w:space="0"/>
            </w:tcBorders>
            <w:shd w:val="clear" w:color="auto" w:fill="auto"/>
            <w:vAlign w:val="center"/>
          </w:tcPr>
          <w:p w14:paraId="09B34388">
            <w:pPr>
              <w:widowControl/>
              <w:spacing w:line="240" w:lineRule="auto"/>
              <w:ind w:firstLine="0" w:firstLineChars="0"/>
              <w:jc w:val="center"/>
              <w:rPr>
                <w:rFonts w:ascii="宋体" w:hAnsi="宋体" w:eastAsia="宋体" w:cs="宋体"/>
                <w:color w:val="000000"/>
                <w:kern w:val="0"/>
                <w:sz w:val="20"/>
              </w:rPr>
            </w:pPr>
            <w:r>
              <w:rPr>
                <w:rFonts w:hint="eastAsia" w:ascii="宋体" w:hAnsi="宋体" w:eastAsia="宋体" w:cs="宋体"/>
                <w:color w:val="000000"/>
                <w:kern w:val="0"/>
                <w:sz w:val="20"/>
              </w:rPr>
              <w:t>2</w:t>
            </w:r>
          </w:p>
        </w:tc>
        <w:tc>
          <w:tcPr>
            <w:tcW w:w="1000" w:type="pct"/>
            <w:tcBorders>
              <w:top w:val="nil"/>
              <w:left w:val="nil"/>
              <w:bottom w:val="double" w:color="auto" w:sz="6" w:space="0"/>
              <w:right w:val="double" w:color="auto" w:sz="6" w:space="0"/>
            </w:tcBorders>
            <w:shd w:val="clear" w:color="auto" w:fill="auto"/>
            <w:vAlign w:val="center"/>
          </w:tcPr>
          <w:p w14:paraId="15865665">
            <w:pPr>
              <w:widowControl/>
              <w:spacing w:line="240" w:lineRule="auto"/>
              <w:ind w:firstLine="0" w:firstLineChars="0"/>
              <w:jc w:val="center"/>
              <w:rPr>
                <w:rFonts w:ascii="宋体" w:hAnsi="宋体" w:eastAsia="宋体" w:cs="宋体"/>
                <w:color w:val="000000"/>
                <w:kern w:val="0"/>
                <w:sz w:val="20"/>
              </w:rPr>
            </w:pPr>
            <w:r>
              <w:rPr>
                <w:rFonts w:hint="eastAsia" w:ascii="宋体" w:hAnsi="宋体" w:eastAsia="宋体" w:cs="宋体"/>
                <w:color w:val="000000"/>
                <w:kern w:val="0"/>
                <w:sz w:val="20"/>
              </w:rPr>
              <w:t>经济技术咨询费</w:t>
            </w:r>
          </w:p>
        </w:tc>
        <w:tc>
          <w:tcPr>
            <w:tcW w:w="1000" w:type="pct"/>
            <w:tcBorders>
              <w:top w:val="nil"/>
              <w:left w:val="nil"/>
              <w:bottom w:val="double" w:color="auto" w:sz="6" w:space="0"/>
              <w:right w:val="double" w:color="auto" w:sz="6" w:space="0"/>
            </w:tcBorders>
            <w:shd w:val="clear" w:color="auto" w:fill="auto"/>
            <w:vAlign w:val="center"/>
          </w:tcPr>
          <w:p w14:paraId="52AE68C0">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8.04</w:t>
            </w:r>
          </w:p>
        </w:tc>
        <w:tc>
          <w:tcPr>
            <w:tcW w:w="1000" w:type="pct"/>
            <w:tcBorders>
              <w:top w:val="nil"/>
              <w:left w:val="nil"/>
              <w:bottom w:val="double" w:color="auto" w:sz="6" w:space="0"/>
              <w:right w:val="double" w:color="auto" w:sz="6" w:space="0"/>
            </w:tcBorders>
            <w:shd w:val="clear" w:color="auto" w:fill="auto"/>
            <w:vAlign w:val="center"/>
          </w:tcPr>
          <w:p w14:paraId="5599CCD4">
            <w:pPr>
              <w:widowControl/>
              <w:spacing w:line="240" w:lineRule="auto"/>
              <w:ind w:firstLine="0" w:firstLineChars="0"/>
              <w:jc w:val="center"/>
              <w:rPr>
                <w:rFonts w:ascii="宋体" w:hAnsi="宋体" w:eastAsia="宋体" w:cs="宋体"/>
                <w:color w:val="000000"/>
                <w:kern w:val="0"/>
                <w:sz w:val="22"/>
                <w:szCs w:val="22"/>
              </w:rPr>
            </w:pPr>
          </w:p>
        </w:tc>
        <w:tc>
          <w:tcPr>
            <w:tcW w:w="1000" w:type="pct"/>
            <w:tcBorders>
              <w:top w:val="nil"/>
              <w:left w:val="nil"/>
              <w:bottom w:val="double" w:color="auto" w:sz="6" w:space="0"/>
              <w:right w:val="double" w:color="auto" w:sz="6" w:space="0"/>
            </w:tcBorders>
            <w:shd w:val="clear" w:color="auto" w:fill="auto"/>
            <w:vAlign w:val="center"/>
          </w:tcPr>
          <w:p w14:paraId="6A9C7456">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-8.04</w:t>
            </w:r>
          </w:p>
        </w:tc>
      </w:tr>
      <w:tr w14:paraId="152F87CC">
        <w:tblPrEx>
          <w:tblCellMar>
            <w:top w:w="0" w:type="dxa"/>
            <w:left w:w="108" w:type="dxa"/>
            <w:bottom w:w="0" w:type="dxa"/>
            <w:right w:w="108" w:type="dxa"/>
          </w:tblCellMar>
        </w:tblPrEx>
        <w:trPr>
          <w:trHeight w:val="750" w:hRule="atLeast"/>
        </w:trPr>
        <w:tc>
          <w:tcPr>
            <w:tcW w:w="1000" w:type="pct"/>
            <w:tcBorders>
              <w:top w:val="nil"/>
              <w:left w:val="double" w:color="auto" w:sz="6" w:space="0"/>
              <w:bottom w:val="double" w:color="auto" w:sz="6" w:space="0"/>
              <w:right w:val="double" w:color="auto" w:sz="6" w:space="0"/>
            </w:tcBorders>
            <w:shd w:val="clear" w:color="auto" w:fill="auto"/>
            <w:vAlign w:val="center"/>
          </w:tcPr>
          <w:p w14:paraId="60BE7A86">
            <w:pPr>
              <w:widowControl/>
              <w:spacing w:line="240" w:lineRule="auto"/>
              <w:ind w:firstLine="0" w:firstLineChars="0"/>
              <w:jc w:val="center"/>
              <w:rPr>
                <w:rFonts w:ascii="宋体" w:hAnsi="宋体" w:eastAsia="宋体" w:cs="宋体"/>
                <w:color w:val="000000"/>
                <w:kern w:val="0"/>
                <w:sz w:val="20"/>
              </w:rPr>
            </w:pPr>
            <w:r>
              <w:rPr>
                <w:rFonts w:hint="eastAsia" w:ascii="宋体" w:hAnsi="宋体" w:eastAsia="宋体" w:cs="宋体"/>
                <w:color w:val="000000"/>
                <w:kern w:val="0"/>
                <w:sz w:val="20"/>
              </w:rPr>
              <w:t>3</w:t>
            </w:r>
          </w:p>
        </w:tc>
        <w:tc>
          <w:tcPr>
            <w:tcW w:w="1000" w:type="pct"/>
            <w:tcBorders>
              <w:top w:val="nil"/>
              <w:left w:val="nil"/>
              <w:bottom w:val="double" w:color="auto" w:sz="6" w:space="0"/>
              <w:right w:val="double" w:color="auto" w:sz="6" w:space="0"/>
            </w:tcBorders>
            <w:shd w:val="clear" w:color="auto" w:fill="auto"/>
            <w:vAlign w:val="center"/>
          </w:tcPr>
          <w:p w14:paraId="0D821739">
            <w:pPr>
              <w:widowControl/>
              <w:spacing w:line="240" w:lineRule="auto"/>
              <w:ind w:firstLine="0" w:firstLineChars="0"/>
              <w:jc w:val="center"/>
              <w:rPr>
                <w:rFonts w:ascii="宋体" w:hAnsi="宋体" w:eastAsia="宋体" w:cs="宋体"/>
                <w:color w:val="000000"/>
                <w:kern w:val="0"/>
                <w:sz w:val="20"/>
              </w:rPr>
            </w:pPr>
            <w:r>
              <w:rPr>
                <w:rFonts w:hint="eastAsia" w:ascii="宋体" w:hAnsi="宋体" w:eastAsia="宋体" w:cs="宋体"/>
                <w:color w:val="000000"/>
                <w:kern w:val="0"/>
                <w:sz w:val="20"/>
              </w:rPr>
              <w:t>水土保持设施验报告咨询费</w:t>
            </w:r>
          </w:p>
        </w:tc>
        <w:tc>
          <w:tcPr>
            <w:tcW w:w="1000" w:type="pct"/>
            <w:tcBorders>
              <w:top w:val="nil"/>
              <w:left w:val="nil"/>
              <w:bottom w:val="double" w:color="auto" w:sz="6" w:space="0"/>
              <w:right w:val="double" w:color="auto" w:sz="6" w:space="0"/>
            </w:tcBorders>
            <w:shd w:val="clear" w:color="auto" w:fill="auto"/>
            <w:vAlign w:val="center"/>
          </w:tcPr>
          <w:p w14:paraId="1F625B8D">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8</w:t>
            </w:r>
          </w:p>
        </w:tc>
        <w:tc>
          <w:tcPr>
            <w:tcW w:w="1000" w:type="pct"/>
            <w:tcBorders>
              <w:top w:val="nil"/>
              <w:left w:val="nil"/>
              <w:bottom w:val="double" w:color="auto" w:sz="6" w:space="0"/>
              <w:right w:val="double" w:color="auto" w:sz="6" w:space="0"/>
            </w:tcBorders>
            <w:shd w:val="clear" w:color="auto" w:fill="auto"/>
            <w:vAlign w:val="center"/>
          </w:tcPr>
          <w:p w14:paraId="56B8720D">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8</w:t>
            </w:r>
          </w:p>
        </w:tc>
        <w:tc>
          <w:tcPr>
            <w:tcW w:w="1000" w:type="pct"/>
            <w:tcBorders>
              <w:top w:val="nil"/>
              <w:left w:val="nil"/>
              <w:bottom w:val="double" w:color="auto" w:sz="6" w:space="0"/>
              <w:right w:val="double" w:color="auto" w:sz="6" w:space="0"/>
            </w:tcBorders>
            <w:shd w:val="clear" w:color="auto" w:fill="auto"/>
            <w:vAlign w:val="center"/>
          </w:tcPr>
          <w:p w14:paraId="1D41D5D3">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0</w:t>
            </w:r>
          </w:p>
        </w:tc>
      </w:tr>
      <w:tr w14:paraId="3230E4AB">
        <w:tblPrEx>
          <w:tblCellMar>
            <w:top w:w="0" w:type="dxa"/>
            <w:left w:w="108" w:type="dxa"/>
            <w:bottom w:w="0" w:type="dxa"/>
            <w:right w:w="108" w:type="dxa"/>
          </w:tblCellMar>
        </w:tblPrEx>
        <w:trPr>
          <w:trHeight w:val="510" w:hRule="atLeast"/>
        </w:trPr>
        <w:tc>
          <w:tcPr>
            <w:tcW w:w="1000" w:type="pct"/>
            <w:tcBorders>
              <w:top w:val="nil"/>
              <w:left w:val="double" w:color="auto" w:sz="6" w:space="0"/>
              <w:bottom w:val="double" w:color="auto" w:sz="6" w:space="0"/>
              <w:right w:val="double" w:color="auto" w:sz="6" w:space="0"/>
            </w:tcBorders>
            <w:shd w:val="clear" w:color="auto" w:fill="auto"/>
            <w:vAlign w:val="center"/>
          </w:tcPr>
          <w:p w14:paraId="03CF4A02">
            <w:pPr>
              <w:widowControl/>
              <w:spacing w:line="240" w:lineRule="auto"/>
              <w:ind w:firstLine="0" w:firstLineChars="0"/>
              <w:jc w:val="center"/>
              <w:rPr>
                <w:rFonts w:ascii="宋体" w:hAnsi="宋体" w:eastAsia="宋体" w:cs="宋体"/>
                <w:b/>
                <w:bCs/>
                <w:color w:val="000000"/>
                <w:kern w:val="0"/>
                <w:sz w:val="20"/>
              </w:rPr>
            </w:pPr>
            <w:r>
              <w:rPr>
                <w:rFonts w:hint="eastAsia" w:ascii="宋体" w:hAnsi="宋体" w:eastAsia="宋体" w:cs="宋体"/>
                <w:b/>
                <w:bCs/>
                <w:color w:val="000000"/>
                <w:kern w:val="0"/>
                <w:sz w:val="20"/>
              </w:rPr>
              <w:t>I</w:t>
            </w:r>
          </w:p>
        </w:tc>
        <w:tc>
          <w:tcPr>
            <w:tcW w:w="1000" w:type="pct"/>
            <w:tcBorders>
              <w:top w:val="nil"/>
              <w:left w:val="nil"/>
              <w:bottom w:val="double" w:color="auto" w:sz="6" w:space="0"/>
              <w:right w:val="double" w:color="auto" w:sz="6" w:space="0"/>
            </w:tcBorders>
            <w:shd w:val="clear" w:color="auto" w:fill="auto"/>
            <w:vAlign w:val="center"/>
          </w:tcPr>
          <w:p w14:paraId="1350A544">
            <w:pPr>
              <w:widowControl/>
              <w:spacing w:line="240" w:lineRule="auto"/>
              <w:ind w:firstLine="0" w:firstLineChars="0"/>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一至五部分合计</w:t>
            </w:r>
          </w:p>
        </w:tc>
        <w:tc>
          <w:tcPr>
            <w:tcW w:w="1000" w:type="pct"/>
            <w:tcBorders>
              <w:top w:val="nil"/>
              <w:left w:val="nil"/>
              <w:bottom w:val="double" w:color="auto" w:sz="6" w:space="0"/>
              <w:right w:val="double" w:color="auto" w:sz="6" w:space="0"/>
            </w:tcBorders>
            <w:shd w:val="clear" w:color="auto" w:fill="auto"/>
            <w:vAlign w:val="center"/>
          </w:tcPr>
          <w:p w14:paraId="51DD0E07">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23.25</w:t>
            </w:r>
          </w:p>
        </w:tc>
        <w:tc>
          <w:tcPr>
            <w:tcW w:w="1000" w:type="pct"/>
            <w:tcBorders>
              <w:top w:val="nil"/>
              <w:left w:val="nil"/>
              <w:bottom w:val="double" w:color="auto" w:sz="6" w:space="0"/>
              <w:right w:val="double" w:color="auto" w:sz="6" w:space="0"/>
            </w:tcBorders>
            <w:shd w:val="clear" w:color="auto" w:fill="auto"/>
            <w:vAlign w:val="center"/>
          </w:tcPr>
          <w:p w14:paraId="4FD8E705">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15.21</w:t>
            </w:r>
          </w:p>
        </w:tc>
        <w:tc>
          <w:tcPr>
            <w:tcW w:w="1000" w:type="pct"/>
            <w:tcBorders>
              <w:top w:val="nil"/>
              <w:left w:val="nil"/>
              <w:bottom w:val="double" w:color="auto" w:sz="6" w:space="0"/>
              <w:right w:val="double" w:color="auto" w:sz="6" w:space="0"/>
            </w:tcBorders>
            <w:shd w:val="clear" w:color="auto" w:fill="auto"/>
            <w:vAlign w:val="center"/>
          </w:tcPr>
          <w:p w14:paraId="3E36E83A">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-8.04</w:t>
            </w:r>
          </w:p>
        </w:tc>
      </w:tr>
      <w:tr w14:paraId="08FAE8FC">
        <w:tblPrEx>
          <w:tblCellMar>
            <w:top w:w="0" w:type="dxa"/>
            <w:left w:w="108" w:type="dxa"/>
            <w:bottom w:w="0" w:type="dxa"/>
            <w:right w:w="108" w:type="dxa"/>
          </w:tblCellMar>
        </w:tblPrEx>
        <w:trPr>
          <w:trHeight w:val="510" w:hRule="atLeast"/>
        </w:trPr>
        <w:tc>
          <w:tcPr>
            <w:tcW w:w="1000" w:type="pct"/>
            <w:tcBorders>
              <w:top w:val="nil"/>
              <w:left w:val="double" w:color="auto" w:sz="6" w:space="0"/>
              <w:bottom w:val="double" w:color="auto" w:sz="6" w:space="0"/>
              <w:right w:val="double" w:color="auto" w:sz="6" w:space="0"/>
            </w:tcBorders>
            <w:shd w:val="clear" w:color="auto" w:fill="auto"/>
            <w:vAlign w:val="center"/>
          </w:tcPr>
          <w:p w14:paraId="6ED8BC5A">
            <w:pPr>
              <w:widowControl/>
              <w:spacing w:line="240" w:lineRule="auto"/>
              <w:ind w:firstLine="0" w:firstLineChars="0"/>
              <w:jc w:val="center"/>
              <w:rPr>
                <w:rFonts w:ascii="宋体" w:hAnsi="宋体" w:eastAsia="宋体" w:cs="宋体"/>
                <w:b/>
                <w:bCs/>
                <w:color w:val="000000"/>
                <w:kern w:val="0"/>
                <w:sz w:val="20"/>
              </w:rPr>
            </w:pPr>
            <w:r>
              <w:rPr>
                <w:rFonts w:hint="eastAsia" w:ascii="宋体" w:hAnsi="宋体" w:eastAsia="宋体" w:cs="宋体"/>
                <w:b/>
                <w:bCs/>
                <w:color w:val="000000"/>
                <w:kern w:val="0"/>
                <w:sz w:val="20"/>
              </w:rPr>
              <w:t>II</w:t>
            </w:r>
          </w:p>
        </w:tc>
        <w:tc>
          <w:tcPr>
            <w:tcW w:w="1000" w:type="pct"/>
            <w:tcBorders>
              <w:top w:val="nil"/>
              <w:left w:val="nil"/>
              <w:bottom w:val="double" w:color="auto" w:sz="6" w:space="0"/>
              <w:right w:val="double" w:color="auto" w:sz="6" w:space="0"/>
            </w:tcBorders>
            <w:shd w:val="clear" w:color="auto" w:fill="auto"/>
            <w:vAlign w:val="center"/>
          </w:tcPr>
          <w:p w14:paraId="04EECB05">
            <w:pPr>
              <w:widowControl/>
              <w:spacing w:line="240" w:lineRule="auto"/>
              <w:ind w:firstLine="0" w:firstLineChars="0"/>
              <w:jc w:val="center"/>
              <w:rPr>
                <w:rFonts w:ascii="宋体" w:hAnsi="宋体" w:eastAsia="宋体" w:cs="宋体"/>
                <w:b/>
                <w:bCs/>
                <w:color w:val="000000"/>
                <w:kern w:val="0"/>
                <w:sz w:val="20"/>
              </w:rPr>
            </w:pPr>
            <w:r>
              <w:rPr>
                <w:rFonts w:hint="eastAsia" w:ascii="宋体" w:hAnsi="宋体" w:eastAsia="宋体" w:cs="宋体"/>
                <w:b/>
                <w:bCs/>
                <w:color w:val="000000"/>
                <w:kern w:val="0"/>
                <w:sz w:val="20"/>
              </w:rPr>
              <w:t>基本预备费</w:t>
            </w:r>
          </w:p>
        </w:tc>
        <w:tc>
          <w:tcPr>
            <w:tcW w:w="1000" w:type="pct"/>
            <w:tcBorders>
              <w:top w:val="nil"/>
              <w:left w:val="nil"/>
              <w:bottom w:val="double" w:color="auto" w:sz="6" w:space="0"/>
              <w:right w:val="double" w:color="auto" w:sz="6" w:space="0"/>
            </w:tcBorders>
            <w:shd w:val="clear" w:color="auto" w:fill="auto"/>
            <w:vAlign w:val="center"/>
          </w:tcPr>
          <w:p w14:paraId="27417315">
            <w:pPr>
              <w:widowControl/>
              <w:spacing w:line="240" w:lineRule="auto"/>
              <w:ind w:firstLine="0" w:firstLineChars="0"/>
              <w:jc w:val="center"/>
              <w:rPr>
                <w:rFonts w:ascii="宋体" w:hAnsi="宋体" w:eastAsia="宋体" w:cs="宋体"/>
                <w:color w:val="000000"/>
                <w:kern w:val="0"/>
                <w:sz w:val="22"/>
                <w:szCs w:val="22"/>
              </w:rPr>
            </w:pPr>
          </w:p>
        </w:tc>
        <w:tc>
          <w:tcPr>
            <w:tcW w:w="1000" w:type="pct"/>
            <w:tcBorders>
              <w:top w:val="nil"/>
              <w:left w:val="nil"/>
              <w:bottom w:val="double" w:color="auto" w:sz="6" w:space="0"/>
              <w:right w:val="double" w:color="auto" w:sz="6" w:space="0"/>
            </w:tcBorders>
            <w:shd w:val="clear" w:color="auto" w:fill="auto"/>
            <w:vAlign w:val="center"/>
          </w:tcPr>
          <w:p w14:paraId="53BBE4E1">
            <w:pPr>
              <w:widowControl/>
              <w:spacing w:line="240" w:lineRule="auto"/>
              <w:ind w:firstLine="0" w:firstLineChars="0"/>
              <w:jc w:val="center"/>
              <w:rPr>
                <w:rFonts w:ascii="宋体" w:hAnsi="宋体" w:eastAsia="宋体" w:cs="宋体"/>
                <w:color w:val="000000"/>
                <w:kern w:val="0"/>
                <w:sz w:val="22"/>
                <w:szCs w:val="22"/>
              </w:rPr>
            </w:pPr>
          </w:p>
        </w:tc>
        <w:tc>
          <w:tcPr>
            <w:tcW w:w="1000" w:type="pct"/>
            <w:tcBorders>
              <w:top w:val="nil"/>
              <w:left w:val="nil"/>
              <w:bottom w:val="double" w:color="auto" w:sz="6" w:space="0"/>
              <w:right w:val="double" w:color="auto" w:sz="6" w:space="0"/>
            </w:tcBorders>
            <w:shd w:val="clear" w:color="auto" w:fill="auto"/>
            <w:vAlign w:val="center"/>
          </w:tcPr>
          <w:p w14:paraId="09157958">
            <w:pPr>
              <w:widowControl/>
              <w:spacing w:line="240" w:lineRule="auto"/>
              <w:ind w:firstLine="0" w:firstLineChars="0"/>
              <w:jc w:val="center"/>
              <w:rPr>
                <w:rFonts w:ascii="宋体" w:hAnsi="宋体" w:eastAsia="宋体" w:cs="宋体"/>
                <w:color w:val="000000"/>
                <w:kern w:val="0"/>
                <w:sz w:val="22"/>
                <w:szCs w:val="22"/>
              </w:rPr>
            </w:pPr>
          </w:p>
        </w:tc>
      </w:tr>
      <w:tr w14:paraId="3C8E04EA">
        <w:tblPrEx>
          <w:tblCellMar>
            <w:top w:w="0" w:type="dxa"/>
            <w:left w:w="108" w:type="dxa"/>
            <w:bottom w:w="0" w:type="dxa"/>
            <w:right w:w="108" w:type="dxa"/>
          </w:tblCellMar>
        </w:tblPrEx>
        <w:trPr>
          <w:trHeight w:val="510" w:hRule="atLeast"/>
        </w:trPr>
        <w:tc>
          <w:tcPr>
            <w:tcW w:w="1000" w:type="pct"/>
            <w:tcBorders>
              <w:top w:val="nil"/>
              <w:left w:val="double" w:color="auto" w:sz="6" w:space="0"/>
              <w:bottom w:val="double" w:color="auto" w:sz="6" w:space="0"/>
              <w:right w:val="double" w:color="auto" w:sz="6" w:space="0"/>
            </w:tcBorders>
            <w:shd w:val="clear" w:color="auto" w:fill="auto"/>
            <w:vAlign w:val="center"/>
          </w:tcPr>
          <w:p w14:paraId="4B4429BB">
            <w:pPr>
              <w:widowControl/>
              <w:spacing w:line="240" w:lineRule="auto"/>
              <w:ind w:firstLine="0" w:firstLineChars="0"/>
              <w:jc w:val="center"/>
              <w:rPr>
                <w:rFonts w:ascii="宋体" w:hAnsi="宋体" w:eastAsia="宋体" w:cs="宋体"/>
                <w:b/>
                <w:bCs/>
                <w:color w:val="000000"/>
                <w:kern w:val="0"/>
                <w:sz w:val="20"/>
              </w:rPr>
            </w:pPr>
            <w:r>
              <w:rPr>
                <w:rFonts w:hint="eastAsia" w:ascii="宋体" w:hAnsi="宋体" w:eastAsia="宋体" w:cs="宋体"/>
                <w:b/>
                <w:bCs/>
                <w:color w:val="000000"/>
                <w:kern w:val="0"/>
                <w:sz w:val="20"/>
              </w:rPr>
              <w:t>III</w:t>
            </w:r>
          </w:p>
        </w:tc>
        <w:tc>
          <w:tcPr>
            <w:tcW w:w="1000" w:type="pct"/>
            <w:tcBorders>
              <w:top w:val="nil"/>
              <w:left w:val="nil"/>
              <w:bottom w:val="double" w:color="auto" w:sz="6" w:space="0"/>
              <w:right w:val="double" w:color="auto" w:sz="6" w:space="0"/>
            </w:tcBorders>
            <w:shd w:val="clear" w:color="auto" w:fill="auto"/>
            <w:vAlign w:val="center"/>
          </w:tcPr>
          <w:p w14:paraId="5FB47728">
            <w:pPr>
              <w:widowControl/>
              <w:spacing w:line="240" w:lineRule="auto"/>
              <w:ind w:firstLine="0" w:firstLineChars="0"/>
              <w:jc w:val="center"/>
              <w:rPr>
                <w:rFonts w:ascii="宋体" w:hAnsi="宋体" w:eastAsia="宋体" w:cs="宋体"/>
                <w:b/>
                <w:bCs/>
                <w:color w:val="000000"/>
                <w:kern w:val="0"/>
                <w:sz w:val="20"/>
              </w:rPr>
            </w:pPr>
            <w:r>
              <w:rPr>
                <w:rFonts w:hint="eastAsia" w:ascii="宋体" w:hAnsi="宋体" w:eastAsia="宋体" w:cs="宋体"/>
                <w:b/>
                <w:bCs/>
                <w:color w:val="000000"/>
                <w:kern w:val="0"/>
                <w:sz w:val="20"/>
              </w:rPr>
              <w:t>价差预备费</w:t>
            </w:r>
          </w:p>
        </w:tc>
        <w:tc>
          <w:tcPr>
            <w:tcW w:w="1000" w:type="pct"/>
            <w:tcBorders>
              <w:top w:val="nil"/>
              <w:left w:val="nil"/>
              <w:bottom w:val="double" w:color="auto" w:sz="6" w:space="0"/>
              <w:right w:val="double" w:color="auto" w:sz="6" w:space="0"/>
            </w:tcBorders>
            <w:shd w:val="clear" w:color="auto" w:fill="auto"/>
            <w:vAlign w:val="center"/>
          </w:tcPr>
          <w:p w14:paraId="359D0EC1">
            <w:pPr>
              <w:widowControl/>
              <w:spacing w:line="240" w:lineRule="auto"/>
              <w:ind w:firstLine="0" w:firstLineChars="0"/>
              <w:jc w:val="center"/>
              <w:rPr>
                <w:rFonts w:ascii="宋体" w:hAnsi="宋体" w:eastAsia="宋体" w:cs="宋体"/>
                <w:color w:val="000000"/>
                <w:kern w:val="0"/>
                <w:sz w:val="22"/>
                <w:szCs w:val="22"/>
              </w:rPr>
            </w:pPr>
          </w:p>
        </w:tc>
        <w:tc>
          <w:tcPr>
            <w:tcW w:w="1000" w:type="pct"/>
            <w:tcBorders>
              <w:top w:val="nil"/>
              <w:left w:val="nil"/>
              <w:bottom w:val="double" w:color="auto" w:sz="6" w:space="0"/>
              <w:right w:val="double" w:color="auto" w:sz="6" w:space="0"/>
            </w:tcBorders>
            <w:shd w:val="clear" w:color="auto" w:fill="auto"/>
            <w:vAlign w:val="center"/>
          </w:tcPr>
          <w:p w14:paraId="03229192">
            <w:pPr>
              <w:widowControl/>
              <w:spacing w:line="240" w:lineRule="auto"/>
              <w:ind w:firstLine="0" w:firstLineChars="0"/>
              <w:jc w:val="center"/>
              <w:rPr>
                <w:rFonts w:ascii="宋体" w:hAnsi="宋体" w:eastAsia="宋体" w:cs="宋体"/>
                <w:color w:val="000000"/>
                <w:kern w:val="0"/>
                <w:sz w:val="22"/>
                <w:szCs w:val="22"/>
              </w:rPr>
            </w:pPr>
          </w:p>
        </w:tc>
        <w:tc>
          <w:tcPr>
            <w:tcW w:w="1000" w:type="pct"/>
            <w:tcBorders>
              <w:top w:val="nil"/>
              <w:left w:val="nil"/>
              <w:bottom w:val="double" w:color="auto" w:sz="6" w:space="0"/>
              <w:right w:val="double" w:color="auto" w:sz="6" w:space="0"/>
            </w:tcBorders>
            <w:shd w:val="clear" w:color="auto" w:fill="auto"/>
            <w:vAlign w:val="center"/>
          </w:tcPr>
          <w:p w14:paraId="3EDB8916">
            <w:pPr>
              <w:widowControl/>
              <w:spacing w:line="240" w:lineRule="auto"/>
              <w:ind w:firstLine="0" w:firstLineChars="0"/>
              <w:jc w:val="center"/>
              <w:rPr>
                <w:rFonts w:ascii="宋体" w:hAnsi="宋体" w:eastAsia="宋体" w:cs="宋体"/>
                <w:color w:val="000000"/>
                <w:kern w:val="0"/>
                <w:sz w:val="22"/>
                <w:szCs w:val="22"/>
              </w:rPr>
            </w:pPr>
          </w:p>
        </w:tc>
      </w:tr>
      <w:tr w14:paraId="5240E2F1">
        <w:tblPrEx>
          <w:tblCellMar>
            <w:top w:w="0" w:type="dxa"/>
            <w:left w:w="108" w:type="dxa"/>
            <w:bottom w:w="0" w:type="dxa"/>
            <w:right w:w="108" w:type="dxa"/>
          </w:tblCellMar>
        </w:tblPrEx>
        <w:trPr>
          <w:trHeight w:val="750" w:hRule="atLeast"/>
        </w:trPr>
        <w:tc>
          <w:tcPr>
            <w:tcW w:w="1000" w:type="pct"/>
            <w:tcBorders>
              <w:top w:val="nil"/>
              <w:left w:val="double" w:color="auto" w:sz="6" w:space="0"/>
              <w:bottom w:val="double" w:color="auto" w:sz="6" w:space="0"/>
              <w:right w:val="double" w:color="auto" w:sz="6" w:space="0"/>
            </w:tcBorders>
            <w:shd w:val="clear" w:color="auto" w:fill="auto"/>
            <w:vAlign w:val="center"/>
          </w:tcPr>
          <w:p w14:paraId="482436B2">
            <w:pPr>
              <w:widowControl/>
              <w:spacing w:line="240" w:lineRule="auto"/>
              <w:ind w:firstLine="0" w:firstLineChars="0"/>
              <w:jc w:val="center"/>
              <w:rPr>
                <w:rFonts w:ascii="宋体" w:hAnsi="宋体" w:eastAsia="宋体" w:cs="宋体"/>
                <w:b/>
                <w:bCs/>
                <w:color w:val="000000"/>
                <w:kern w:val="0"/>
                <w:sz w:val="20"/>
              </w:rPr>
            </w:pPr>
            <w:r>
              <w:rPr>
                <w:rFonts w:hint="eastAsia" w:ascii="宋体" w:hAnsi="宋体" w:eastAsia="宋体" w:cs="宋体"/>
                <w:b/>
                <w:bCs/>
                <w:color w:val="000000"/>
                <w:kern w:val="0"/>
                <w:sz w:val="20"/>
              </w:rPr>
              <w:t>IV</w:t>
            </w:r>
          </w:p>
        </w:tc>
        <w:tc>
          <w:tcPr>
            <w:tcW w:w="1000" w:type="pct"/>
            <w:tcBorders>
              <w:top w:val="nil"/>
              <w:left w:val="nil"/>
              <w:bottom w:val="double" w:color="auto" w:sz="6" w:space="0"/>
              <w:right w:val="double" w:color="auto" w:sz="6" w:space="0"/>
            </w:tcBorders>
            <w:shd w:val="clear" w:color="auto" w:fill="auto"/>
            <w:vAlign w:val="center"/>
          </w:tcPr>
          <w:p w14:paraId="3E4961CF">
            <w:pPr>
              <w:widowControl/>
              <w:spacing w:line="240" w:lineRule="auto"/>
              <w:ind w:firstLine="0" w:firstLineChars="0"/>
              <w:jc w:val="center"/>
              <w:rPr>
                <w:rFonts w:ascii="宋体" w:hAnsi="宋体" w:eastAsia="宋体" w:cs="宋体"/>
                <w:b/>
                <w:bCs/>
                <w:color w:val="000000"/>
                <w:kern w:val="0"/>
                <w:sz w:val="20"/>
              </w:rPr>
            </w:pPr>
            <w:r>
              <w:rPr>
                <w:rFonts w:hint="eastAsia" w:ascii="宋体" w:hAnsi="宋体" w:eastAsia="宋体" w:cs="宋体"/>
                <w:b/>
                <w:bCs/>
                <w:color w:val="000000"/>
                <w:kern w:val="0"/>
                <w:sz w:val="20"/>
              </w:rPr>
              <w:t>水土保持设施补偿费</w:t>
            </w:r>
          </w:p>
        </w:tc>
        <w:tc>
          <w:tcPr>
            <w:tcW w:w="1000" w:type="pct"/>
            <w:tcBorders>
              <w:top w:val="nil"/>
              <w:left w:val="nil"/>
              <w:bottom w:val="double" w:color="auto" w:sz="6" w:space="0"/>
              <w:right w:val="double" w:color="auto" w:sz="6" w:space="0"/>
            </w:tcBorders>
            <w:shd w:val="clear" w:color="auto" w:fill="auto"/>
            <w:vAlign w:val="center"/>
          </w:tcPr>
          <w:p w14:paraId="6E033495">
            <w:pPr>
              <w:widowControl/>
              <w:spacing w:line="240" w:lineRule="auto"/>
              <w:ind w:firstLine="0" w:firstLineChars="0"/>
              <w:jc w:val="center"/>
              <w:rPr>
                <w:rFonts w:ascii="宋体" w:hAnsi="宋体" w:eastAsia="宋体" w:cs="宋体"/>
                <w:color w:val="000000"/>
                <w:kern w:val="0"/>
                <w:sz w:val="22"/>
                <w:szCs w:val="22"/>
              </w:rPr>
            </w:pPr>
          </w:p>
        </w:tc>
        <w:tc>
          <w:tcPr>
            <w:tcW w:w="1000" w:type="pct"/>
            <w:tcBorders>
              <w:top w:val="nil"/>
              <w:left w:val="nil"/>
              <w:bottom w:val="double" w:color="auto" w:sz="6" w:space="0"/>
              <w:right w:val="double" w:color="auto" w:sz="6" w:space="0"/>
            </w:tcBorders>
            <w:shd w:val="clear" w:color="auto" w:fill="auto"/>
            <w:vAlign w:val="center"/>
          </w:tcPr>
          <w:p w14:paraId="7CE19F14">
            <w:pPr>
              <w:widowControl/>
              <w:spacing w:line="240" w:lineRule="auto"/>
              <w:ind w:firstLine="0" w:firstLineChars="0"/>
              <w:jc w:val="center"/>
              <w:rPr>
                <w:rFonts w:ascii="宋体" w:hAnsi="宋体" w:eastAsia="宋体" w:cs="宋体"/>
                <w:color w:val="000000"/>
                <w:kern w:val="0"/>
                <w:sz w:val="22"/>
                <w:szCs w:val="22"/>
              </w:rPr>
            </w:pPr>
          </w:p>
        </w:tc>
        <w:tc>
          <w:tcPr>
            <w:tcW w:w="1000" w:type="pct"/>
            <w:tcBorders>
              <w:top w:val="nil"/>
              <w:left w:val="nil"/>
              <w:bottom w:val="double" w:color="auto" w:sz="6" w:space="0"/>
              <w:right w:val="double" w:color="auto" w:sz="6" w:space="0"/>
            </w:tcBorders>
            <w:shd w:val="clear" w:color="auto" w:fill="auto"/>
            <w:vAlign w:val="center"/>
          </w:tcPr>
          <w:p w14:paraId="4A6E59CE">
            <w:pPr>
              <w:widowControl/>
              <w:spacing w:line="240" w:lineRule="auto"/>
              <w:ind w:firstLine="0" w:firstLineChars="0"/>
              <w:jc w:val="center"/>
              <w:rPr>
                <w:rFonts w:ascii="宋体" w:hAnsi="宋体" w:eastAsia="宋体" w:cs="宋体"/>
                <w:color w:val="000000"/>
                <w:kern w:val="0"/>
                <w:sz w:val="22"/>
                <w:szCs w:val="22"/>
              </w:rPr>
            </w:pPr>
          </w:p>
        </w:tc>
      </w:tr>
      <w:tr w14:paraId="7EF33E8F">
        <w:tblPrEx>
          <w:tblCellMar>
            <w:top w:w="0" w:type="dxa"/>
            <w:left w:w="108" w:type="dxa"/>
            <w:bottom w:w="0" w:type="dxa"/>
            <w:right w:w="108" w:type="dxa"/>
          </w:tblCellMar>
        </w:tblPrEx>
        <w:trPr>
          <w:trHeight w:val="300" w:hRule="atLeast"/>
        </w:trPr>
        <w:tc>
          <w:tcPr>
            <w:tcW w:w="2000" w:type="pct"/>
            <w:gridSpan w:val="2"/>
            <w:tcBorders>
              <w:top w:val="double" w:color="auto" w:sz="6" w:space="0"/>
              <w:left w:val="double" w:color="auto" w:sz="6" w:space="0"/>
              <w:bottom w:val="double" w:color="auto" w:sz="6" w:space="0"/>
              <w:right w:val="double" w:color="auto" w:sz="6" w:space="0"/>
            </w:tcBorders>
            <w:shd w:val="clear" w:color="auto" w:fill="auto"/>
            <w:vAlign w:val="center"/>
          </w:tcPr>
          <w:p w14:paraId="56D03588">
            <w:pPr>
              <w:widowControl/>
              <w:spacing w:line="240" w:lineRule="auto"/>
              <w:ind w:firstLine="0" w:firstLineChars="0"/>
              <w:jc w:val="center"/>
              <w:rPr>
                <w:rFonts w:ascii="宋体" w:hAnsi="宋体" w:eastAsia="宋体" w:cs="宋体"/>
                <w:b/>
                <w:bCs/>
                <w:color w:val="000000"/>
                <w:kern w:val="0"/>
                <w:sz w:val="20"/>
              </w:rPr>
            </w:pPr>
            <w:r>
              <w:rPr>
                <w:rFonts w:hint="eastAsia" w:ascii="宋体" w:hAnsi="宋体" w:eastAsia="宋体" w:cs="宋体"/>
                <w:b/>
                <w:bCs/>
                <w:color w:val="000000"/>
                <w:kern w:val="0"/>
                <w:sz w:val="20"/>
              </w:rPr>
              <w:t>新增水土保持总投资(I+II+III+IV)</w:t>
            </w:r>
          </w:p>
        </w:tc>
        <w:tc>
          <w:tcPr>
            <w:tcW w:w="1000" w:type="pct"/>
            <w:tcBorders>
              <w:top w:val="nil"/>
              <w:left w:val="nil"/>
              <w:bottom w:val="double" w:color="auto" w:sz="6" w:space="0"/>
              <w:right w:val="double" w:color="auto" w:sz="6" w:space="0"/>
            </w:tcBorders>
            <w:shd w:val="clear" w:color="auto" w:fill="auto"/>
            <w:vAlign w:val="center"/>
          </w:tcPr>
          <w:p w14:paraId="5EAE900C">
            <w:pPr>
              <w:widowControl/>
              <w:spacing w:line="240" w:lineRule="auto"/>
              <w:ind w:firstLine="0" w:firstLineChars="0"/>
              <w:jc w:val="center"/>
              <w:rPr>
                <w:rFonts w:ascii="宋体" w:hAnsi="宋体" w:eastAsia="宋体" w:cs="宋体"/>
                <w:color w:val="000000"/>
                <w:kern w:val="0"/>
                <w:sz w:val="22"/>
                <w:szCs w:val="22"/>
              </w:rPr>
            </w:pPr>
          </w:p>
        </w:tc>
        <w:tc>
          <w:tcPr>
            <w:tcW w:w="1000" w:type="pct"/>
            <w:tcBorders>
              <w:top w:val="nil"/>
              <w:left w:val="nil"/>
              <w:bottom w:val="double" w:color="auto" w:sz="6" w:space="0"/>
              <w:right w:val="double" w:color="auto" w:sz="6" w:space="0"/>
            </w:tcBorders>
            <w:shd w:val="clear" w:color="auto" w:fill="auto"/>
            <w:vAlign w:val="center"/>
          </w:tcPr>
          <w:p w14:paraId="0D5B9C75">
            <w:pPr>
              <w:widowControl/>
              <w:spacing w:line="240" w:lineRule="auto"/>
              <w:ind w:firstLine="0" w:firstLineChars="0"/>
              <w:jc w:val="center"/>
              <w:rPr>
                <w:rFonts w:ascii="宋体" w:hAnsi="宋体" w:eastAsia="宋体" w:cs="宋体"/>
                <w:color w:val="000000"/>
                <w:kern w:val="0"/>
                <w:sz w:val="22"/>
                <w:szCs w:val="22"/>
              </w:rPr>
            </w:pPr>
          </w:p>
        </w:tc>
        <w:tc>
          <w:tcPr>
            <w:tcW w:w="1000" w:type="pct"/>
            <w:tcBorders>
              <w:top w:val="nil"/>
              <w:left w:val="nil"/>
              <w:bottom w:val="double" w:color="auto" w:sz="6" w:space="0"/>
              <w:right w:val="double" w:color="auto" w:sz="6" w:space="0"/>
            </w:tcBorders>
            <w:shd w:val="clear" w:color="auto" w:fill="auto"/>
            <w:vAlign w:val="center"/>
          </w:tcPr>
          <w:p w14:paraId="36C560E1">
            <w:pPr>
              <w:widowControl/>
              <w:spacing w:line="240" w:lineRule="auto"/>
              <w:ind w:firstLine="0" w:firstLineChars="0"/>
              <w:jc w:val="center"/>
              <w:rPr>
                <w:rFonts w:ascii="宋体" w:hAnsi="宋体" w:eastAsia="宋体" w:cs="宋体"/>
                <w:color w:val="000000"/>
                <w:kern w:val="0"/>
                <w:sz w:val="22"/>
                <w:szCs w:val="22"/>
              </w:rPr>
            </w:pPr>
          </w:p>
        </w:tc>
      </w:tr>
      <w:tr w14:paraId="02746793">
        <w:tblPrEx>
          <w:tblCellMar>
            <w:top w:w="0" w:type="dxa"/>
            <w:left w:w="108" w:type="dxa"/>
            <w:bottom w:w="0" w:type="dxa"/>
            <w:right w:w="108" w:type="dxa"/>
          </w:tblCellMar>
        </w:tblPrEx>
        <w:trPr>
          <w:trHeight w:val="300" w:hRule="atLeast"/>
        </w:trPr>
        <w:tc>
          <w:tcPr>
            <w:tcW w:w="2000" w:type="pct"/>
            <w:gridSpan w:val="2"/>
            <w:tcBorders>
              <w:top w:val="double" w:color="auto" w:sz="6" w:space="0"/>
              <w:left w:val="double" w:color="auto" w:sz="6" w:space="0"/>
              <w:bottom w:val="double" w:color="auto" w:sz="6" w:space="0"/>
              <w:right w:val="double" w:color="auto" w:sz="6" w:space="0"/>
            </w:tcBorders>
            <w:shd w:val="clear" w:color="auto" w:fill="auto"/>
            <w:vAlign w:val="center"/>
          </w:tcPr>
          <w:p w14:paraId="65F1DFFD">
            <w:pPr>
              <w:widowControl/>
              <w:spacing w:line="240" w:lineRule="auto"/>
              <w:ind w:firstLine="0" w:firstLineChars="0"/>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主体已有水土保持总投资</w:t>
            </w:r>
          </w:p>
        </w:tc>
        <w:tc>
          <w:tcPr>
            <w:tcW w:w="1000" w:type="pct"/>
            <w:tcBorders>
              <w:top w:val="nil"/>
              <w:left w:val="nil"/>
              <w:bottom w:val="double" w:color="auto" w:sz="6" w:space="0"/>
              <w:right w:val="double" w:color="auto" w:sz="6" w:space="0"/>
            </w:tcBorders>
            <w:shd w:val="clear" w:color="auto" w:fill="auto"/>
            <w:vAlign w:val="center"/>
          </w:tcPr>
          <w:p w14:paraId="517493B0">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467.71</w:t>
            </w:r>
          </w:p>
        </w:tc>
        <w:tc>
          <w:tcPr>
            <w:tcW w:w="1000" w:type="pct"/>
            <w:tcBorders>
              <w:top w:val="nil"/>
              <w:left w:val="nil"/>
              <w:bottom w:val="double" w:color="auto" w:sz="6" w:space="0"/>
              <w:right w:val="double" w:color="auto" w:sz="6" w:space="0"/>
            </w:tcBorders>
            <w:shd w:val="clear" w:color="auto" w:fill="auto"/>
            <w:vAlign w:val="center"/>
          </w:tcPr>
          <w:p w14:paraId="671FC49F">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467.71</w:t>
            </w:r>
          </w:p>
        </w:tc>
        <w:tc>
          <w:tcPr>
            <w:tcW w:w="1000" w:type="pct"/>
            <w:tcBorders>
              <w:top w:val="nil"/>
              <w:left w:val="nil"/>
              <w:bottom w:val="double" w:color="auto" w:sz="6" w:space="0"/>
              <w:right w:val="double" w:color="auto" w:sz="6" w:space="0"/>
            </w:tcBorders>
            <w:shd w:val="clear" w:color="auto" w:fill="auto"/>
            <w:vAlign w:val="center"/>
          </w:tcPr>
          <w:p w14:paraId="4C95FA9C">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0</w:t>
            </w:r>
          </w:p>
        </w:tc>
      </w:tr>
      <w:tr w14:paraId="76DB2A79">
        <w:tblPrEx>
          <w:tblCellMar>
            <w:top w:w="0" w:type="dxa"/>
            <w:left w:w="108" w:type="dxa"/>
            <w:bottom w:w="0" w:type="dxa"/>
            <w:right w:w="108" w:type="dxa"/>
          </w:tblCellMar>
        </w:tblPrEx>
        <w:trPr>
          <w:trHeight w:val="300" w:hRule="atLeast"/>
        </w:trPr>
        <w:tc>
          <w:tcPr>
            <w:tcW w:w="2000" w:type="pct"/>
            <w:gridSpan w:val="2"/>
            <w:tcBorders>
              <w:top w:val="double" w:color="auto" w:sz="6" w:space="0"/>
              <w:left w:val="double" w:color="auto" w:sz="6" w:space="0"/>
              <w:bottom w:val="double" w:color="auto" w:sz="6" w:space="0"/>
              <w:right w:val="double" w:color="auto" w:sz="6" w:space="0"/>
            </w:tcBorders>
            <w:shd w:val="clear" w:color="auto" w:fill="auto"/>
            <w:vAlign w:val="center"/>
          </w:tcPr>
          <w:p w14:paraId="2C41D08D">
            <w:pPr>
              <w:widowControl/>
              <w:spacing w:line="240" w:lineRule="auto"/>
              <w:ind w:firstLine="0" w:firstLineChars="0"/>
              <w:jc w:val="center"/>
              <w:rPr>
                <w:rFonts w:ascii="宋体" w:hAnsi="宋体" w:eastAsia="宋体" w:cs="宋体"/>
                <w:b/>
                <w:bCs/>
                <w:color w:val="000000"/>
                <w:kern w:val="0"/>
                <w:sz w:val="20"/>
              </w:rPr>
            </w:pPr>
            <w:r>
              <w:rPr>
                <w:rFonts w:hint="eastAsia" w:ascii="宋体" w:hAnsi="宋体" w:eastAsia="宋体" w:cs="宋体"/>
                <w:b/>
                <w:bCs/>
                <w:color w:val="000000"/>
                <w:kern w:val="0"/>
                <w:sz w:val="20"/>
              </w:rPr>
              <w:t>总投资</w:t>
            </w:r>
          </w:p>
        </w:tc>
        <w:tc>
          <w:tcPr>
            <w:tcW w:w="1000" w:type="pct"/>
            <w:tcBorders>
              <w:top w:val="nil"/>
              <w:left w:val="nil"/>
              <w:bottom w:val="double" w:color="auto" w:sz="6" w:space="0"/>
              <w:right w:val="double" w:color="auto" w:sz="6" w:space="0"/>
            </w:tcBorders>
            <w:shd w:val="clear" w:color="auto" w:fill="auto"/>
            <w:vAlign w:val="center"/>
          </w:tcPr>
          <w:p w14:paraId="0014EABB">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490.96</w:t>
            </w:r>
          </w:p>
        </w:tc>
        <w:tc>
          <w:tcPr>
            <w:tcW w:w="1000" w:type="pct"/>
            <w:tcBorders>
              <w:top w:val="nil"/>
              <w:left w:val="nil"/>
              <w:bottom w:val="double" w:color="auto" w:sz="6" w:space="0"/>
              <w:right w:val="double" w:color="auto" w:sz="6" w:space="0"/>
            </w:tcBorders>
            <w:shd w:val="clear" w:color="auto" w:fill="auto"/>
            <w:vAlign w:val="center"/>
          </w:tcPr>
          <w:p w14:paraId="01382E68">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482.92</w:t>
            </w:r>
          </w:p>
        </w:tc>
        <w:tc>
          <w:tcPr>
            <w:tcW w:w="1000" w:type="pct"/>
            <w:tcBorders>
              <w:top w:val="nil"/>
              <w:left w:val="nil"/>
              <w:bottom w:val="double" w:color="auto" w:sz="6" w:space="0"/>
              <w:right w:val="double" w:color="auto" w:sz="6" w:space="0"/>
            </w:tcBorders>
            <w:shd w:val="clear" w:color="auto" w:fill="auto"/>
            <w:vAlign w:val="center"/>
          </w:tcPr>
          <w:p w14:paraId="64BDF7EC">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-8.04</w:t>
            </w:r>
          </w:p>
        </w:tc>
      </w:tr>
    </w:tbl>
    <w:p w14:paraId="115CC023"/>
    <w:p w14:paraId="18F1C7AB">
      <w:r>
        <w:t>投资变化的主要原因：</w:t>
      </w:r>
    </w:p>
    <w:p w14:paraId="4C356229">
      <w:r>
        <w:rPr>
          <w:rFonts w:hint="eastAsia"/>
        </w:rPr>
        <w:t>经济技术咨询费根据实际情况未发生，扣除该费用，其他费用与方案批复的一致，综上分析，</w:t>
      </w:r>
      <w:r>
        <w:t>实际完成水土保持总投资</w:t>
      </w:r>
      <w:r>
        <w:rPr>
          <w:rFonts w:hint="eastAsia"/>
        </w:rPr>
        <w:t>482.92</w:t>
      </w:r>
      <w:r>
        <w:t>万元，与水土保持方案的投资相比</w:t>
      </w:r>
      <w:r>
        <w:rPr>
          <w:rFonts w:hint="eastAsia"/>
        </w:rPr>
        <w:t>减少</w:t>
      </w:r>
      <w:r>
        <w:t>了</w:t>
      </w:r>
      <w:r>
        <w:rPr>
          <w:rFonts w:hint="eastAsia"/>
        </w:rPr>
        <w:t>8.04</w:t>
      </w:r>
      <w:r>
        <w:t>万元</w:t>
      </w:r>
      <w:r>
        <w:rPr>
          <w:rFonts w:hint="eastAsia"/>
        </w:rPr>
        <w:t>。</w:t>
      </w:r>
    </w:p>
    <w:bookmarkEnd w:id="2"/>
    <w:bookmarkEnd w:id="3"/>
    <w:bookmarkEnd w:id="4"/>
    <w:bookmarkEnd w:id="94"/>
    <w:bookmarkEnd w:id="95"/>
    <w:p w14:paraId="606A9BF9">
      <w:pPr>
        <w:pStyle w:val="2"/>
      </w:pPr>
      <w:bookmarkStart w:id="97" w:name="_Toc260820629"/>
      <w:bookmarkStart w:id="98" w:name="_Toc274662748"/>
      <w:bookmarkStart w:id="99" w:name="_Toc292361728"/>
      <w:bookmarkStart w:id="100" w:name="_Toc370111174"/>
      <w:r>
        <w:br w:type="page"/>
      </w:r>
      <w:bookmarkStart w:id="101" w:name="_Toc108445730"/>
      <w:r>
        <w:t>4 水土保持工程质量</w:t>
      </w:r>
      <w:bookmarkEnd w:id="97"/>
      <w:bookmarkEnd w:id="98"/>
      <w:bookmarkEnd w:id="99"/>
      <w:bookmarkEnd w:id="100"/>
      <w:bookmarkEnd w:id="101"/>
    </w:p>
    <w:p w14:paraId="17ADC420">
      <w:pPr>
        <w:pStyle w:val="3"/>
        <w:rPr>
          <w:rFonts w:eastAsia="宋体"/>
        </w:rPr>
      </w:pPr>
      <w:bookmarkStart w:id="102" w:name="_Toc142706419"/>
      <w:bookmarkStart w:id="103" w:name="_Toc199823214"/>
      <w:bookmarkStart w:id="104" w:name="_Toc292361729"/>
      <w:bookmarkStart w:id="105" w:name="_Toc249753926"/>
      <w:bookmarkStart w:id="106" w:name="_Toc370111175"/>
      <w:bookmarkStart w:id="107" w:name="_Toc260820630"/>
      <w:bookmarkStart w:id="108" w:name="_Toc274662749"/>
      <w:bookmarkStart w:id="109" w:name="_Toc108445731"/>
      <w:r>
        <w:rPr>
          <w:rFonts w:eastAsia="宋体"/>
        </w:rPr>
        <w:t>4.1 质量管理</w:t>
      </w:r>
      <w:bookmarkEnd w:id="102"/>
      <w:bookmarkEnd w:id="103"/>
      <w:r>
        <w:rPr>
          <w:rFonts w:eastAsia="宋体"/>
        </w:rPr>
        <w:t>体系</w:t>
      </w:r>
      <w:bookmarkEnd w:id="104"/>
      <w:bookmarkEnd w:id="105"/>
      <w:bookmarkEnd w:id="106"/>
      <w:bookmarkEnd w:id="107"/>
      <w:bookmarkEnd w:id="108"/>
      <w:bookmarkEnd w:id="109"/>
    </w:p>
    <w:p w14:paraId="746C2897">
      <w:pPr>
        <w:pStyle w:val="4"/>
      </w:pPr>
      <w:r>
        <w:t>4.1.1 管理体系和管理制度</w:t>
      </w:r>
    </w:p>
    <w:p w14:paraId="340FA3AC">
      <w:bookmarkStart w:id="110" w:name="_Toc199823215"/>
      <w:bookmarkStart w:id="111" w:name="_Toc260820631"/>
      <w:bookmarkStart w:id="112" w:name="_Toc142706420"/>
      <w:bookmarkStart w:id="113" w:name="_Toc249753927"/>
      <w:r>
        <w:t>兴宁市亲水公园一区工程项目建设过程中，实行了项目法人责任制、招标投标制、工程监理制和合同管理制，水土保持工程的建设与管理也纳入了整个工程建设管理体系中。</w:t>
      </w:r>
    </w:p>
    <w:p w14:paraId="0DCE8E67">
      <w:r>
        <w:t>工程建设中执行《建筑法》、《合同法》、《招投标法》等有关法律、法规。贯彻国家《建设工程质量管理条例》、《建设工程勘察设计管理条例》和《工程建设标准强制性条文》以及《关于特大安全事故行政追究的规定》。工程建设执行项目法人制、招投标制、工程监理制、质量监督制和第三方无损检测。在建设单位统一指导下，所有工程进行招标，择优选择施工队伍；委托具有丰富监理经验的监理公司对本工程进行全程监理，在工程开工前办理工程质量监督手续，确保工程质量处于受控状态。同时委托主体监理单位一并开展水土保持监理工作，因此水土保持工程措施基本也处于监管状态。</w:t>
      </w:r>
    </w:p>
    <w:p w14:paraId="4F0047AB">
      <w:pPr>
        <w:pStyle w:val="4"/>
      </w:pPr>
      <w:r>
        <w:t>4.1.2 建设单位建设管理体系</w:t>
      </w:r>
    </w:p>
    <w:p w14:paraId="7C475F95">
      <w:r>
        <w:t>建设单位成立了项目办公室，由公司总经理担任项目办主任，下设管理部、财务部、营业部、生产部等多个管理部门。同时，聘请了成立了工程安全生产专家组、施工质量专家组、项目办法律顾问。</w:t>
      </w:r>
    </w:p>
    <w:p w14:paraId="5456489C">
      <w:r>
        <w:t>建立健全了质量保证体系、质量管理制度，明确质量控制目标，落实质量管理责任，对监理单位和施工单位提出明确的质量要求。加强现场检查，项目办及各分部人员按照工程建设进度，定期现场检查各水保措施的落实情况，发现问题及时纠正。采取严格的质量管理措施，来规范并转化施工和监理行为。</w:t>
      </w:r>
    </w:p>
    <w:p w14:paraId="251F6D92">
      <w:r>
        <w:t>奖优罚劣，强化质量管理。凡不符合质量要求的工程项目必须停工整改，对承包人处以经济处罚；加大现场检查和抽查力度，杜绝质量事故，消灭质量隐患。对质量问题的处理绝不手软，规定凡不符合质量要求的工程项目必须停工整改，并对施工单位处以经济处罚；如质量问题涉及监理管理不周和监理失职的，对现场监理并罚处理。</w:t>
      </w:r>
    </w:p>
    <w:p w14:paraId="1F15BA32">
      <w:r>
        <w:t>树立质量样板工程，提高整体质量。根据施工各阶段进行的情况，评选实体质量和外观质量较好的项目树为样板工程，使施工质量得到了整体的提高。</w:t>
      </w:r>
    </w:p>
    <w:p w14:paraId="02A57353">
      <w:r>
        <w:t>严抓监理管理，确保监理工作质量。充分发挥监理工程师第一线全过程全方位监管的积极作用。同时对监理工程师的工作情况进行监督，并在各总监办之间开展竞争、交流、评比。</w:t>
      </w:r>
    </w:p>
    <w:p w14:paraId="2091DB0D">
      <w:pPr>
        <w:pStyle w:val="4"/>
      </w:pPr>
      <w:r>
        <w:t>4.1.3 监理单位质量管理体系</w:t>
      </w:r>
    </w:p>
    <w:p w14:paraId="7A548CEC">
      <w:r>
        <w:t>主体及水保监理单位能够严格履行监理合同并监督施工合同的实施；做到了事前监理，采取有效的事前措施，把质量问题消除于萌芽状态；所有工程未经承包人自检的拒绝检查；对承包人试验人员所进行的试验检测工作进行旁站；认真审查承包人所报的施工组织设计和技术措施，对于一般工序进行巡检或抽检，对于关键工序坚持跟班旁站；加强对进场材料的检验工作，监督检查施工单位对进场材料进行了妥善管理；明确工序质量责任制，明确分工，责任到人。此外，对施工单位的质量管理体系和计量体系建立情况进行审查，复查施工单位实验室资质，跟踪检查施工单位质保体系运行情况。对承包商技术检验、施工图纸会审、分项分部工程质量检查验评及隐蔽工程检查验收、施工质量事故分析、停复工指令等各项工作按程序进行，保证了质量体系的正常运作。</w:t>
      </w:r>
    </w:p>
    <w:p w14:paraId="05F36D79">
      <w:pPr>
        <w:pStyle w:val="4"/>
      </w:pPr>
      <w:r>
        <w:t>4.1.4 施工单位质量管理体系</w:t>
      </w:r>
    </w:p>
    <w:p w14:paraId="4236E330">
      <w:r>
        <w:t>项目经理部到工程施工队实行领导责任制，质量目标层层分解，终身责任，有专职质检工程师对整个工程进行全方位施工检测，同时施工队设质检员，工班有专人兼职质检工作，施工中坚持自检，互检，交接检制度，一级保一级，抓好施工生产全过程的质量管理。</w:t>
      </w:r>
    </w:p>
    <w:p w14:paraId="4DD71902">
      <w:r>
        <w:t>明确各部门职责，建立奖罚制度。发现质量隐患或质量事故，对当事责任人及部门进行处罚；对坚持把好质量关的有关人员进行表彰；从严格技术把关入手，抓好施工生产全过程的质量管理，做到“六不施工，三不交接”。</w:t>
      </w:r>
    </w:p>
    <w:p w14:paraId="0A8527D5">
      <w:r>
        <w:t>通过建设、监理和施工单位的质量管理文件等规章制度的建设和实施，为保证水土保持工程的顺利开展和质量管理奠定了坚实的基础。</w:t>
      </w:r>
    </w:p>
    <w:p w14:paraId="3EFAEF37">
      <w:pPr>
        <w:pStyle w:val="3"/>
        <w:rPr>
          <w:rFonts w:eastAsia="宋体"/>
        </w:rPr>
      </w:pPr>
      <w:bookmarkStart w:id="114" w:name="_Toc274662750"/>
      <w:bookmarkStart w:id="115" w:name="_Toc292361730"/>
      <w:bookmarkStart w:id="116" w:name="_Toc370111176"/>
      <w:bookmarkStart w:id="117" w:name="_Toc108445732"/>
      <w:r>
        <w:rPr>
          <w:rFonts w:eastAsia="宋体"/>
        </w:rPr>
        <w:t xml:space="preserve">4.2 </w:t>
      </w:r>
      <w:bookmarkEnd w:id="110"/>
      <w:bookmarkEnd w:id="111"/>
      <w:bookmarkEnd w:id="112"/>
      <w:bookmarkEnd w:id="113"/>
      <w:bookmarkEnd w:id="114"/>
      <w:bookmarkEnd w:id="115"/>
      <w:bookmarkEnd w:id="116"/>
      <w:r>
        <w:rPr>
          <w:rFonts w:eastAsia="宋体"/>
        </w:rPr>
        <w:t>各防治分区水土保持工程质量评定</w:t>
      </w:r>
      <w:bookmarkEnd w:id="117"/>
    </w:p>
    <w:p w14:paraId="2726E086">
      <w:pPr>
        <w:pStyle w:val="4"/>
        <w:rPr>
          <w:rFonts w:eastAsia="仿宋"/>
        </w:rPr>
      </w:pPr>
      <w:r>
        <w:t>4.2.1 项目划分及结果</w:t>
      </w:r>
    </w:p>
    <w:p w14:paraId="28BCDF02">
      <w:r>
        <w:t>本工程水土保持工程划分由监理主持。兴宁市亲水公园一区工程项目水土保持设施项目划分结果详见表4-1。</w:t>
      </w:r>
    </w:p>
    <w:p w14:paraId="2138C86D">
      <w:pPr>
        <w:widowControl/>
        <w:spacing w:line="240" w:lineRule="auto"/>
        <w:ind w:firstLine="0" w:firstLineChars="0"/>
        <w:jc w:val="left"/>
        <w:rPr>
          <w:b/>
        </w:rPr>
      </w:pPr>
      <w:r>
        <w:rPr>
          <w:b/>
        </w:rPr>
        <w:br w:type="page"/>
      </w:r>
      <w:r>
        <w:rPr>
          <w:b/>
        </w:rPr>
        <w:t xml:space="preserve">表4-1                   </w:t>
      </w:r>
      <w:r>
        <w:rPr>
          <w:rFonts w:hint="eastAsia"/>
          <w:b/>
        </w:rPr>
        <w:t xml:space="preserve"> </w:t>
      </w:r>
      <w:r>
        <w:rPr>
          <w:b/>
        </w:rPr>
        <w:t xml:space="preserve"> 水土保持设施项目划分表</w:t>
      </w:r>
    </w:p>
    <w:tbl>
      <w:tblPr>
        <w:tblStyle w:val="33"/>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1"/>
        <w:gridCol w:w="2322"/>
        <w:gridCol w:w="2322"/>
      </w:tblGrid>
      <w:tr w14:paraId="38B0A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2321" w:type="dxa"/>
            <w:vAlign w:val="center"/>
          </w:tcPr>
          <w:p w14:paraId="5B87E722">
            <w:pPr>
              <w:pStyle w:val="12"/>
              <w:tabs>
                <w:tab w:val="left" w:pos="0"/>
              </w:tabs>
              <w:adjustRightInd w:val="0"/>
              <w:snapToGrid w:val="0"/>
              <w:spacing w:after="0" w:line="240" w:lineRule="auto"/>
              <w:ind w:left="0" w:leftChars="0" w:firstLine="0" w:firstLineChars="0"/>
              <w:jc w:val="center"/>
              <w:rPr>
                <w:b/>
                <w:sz w:val="21"/>
                <w:szCs w:val="21"/>
              </w:rPr>
            </w:pPr>
            <w:bookmarkStart w:id="118" w:name="_Toc300587456"/>
            <w:bookmarkStart w:id="119" w:name="_Toc330470412"/>
            <w:bookmarkStart w:id="120" w:name="_Toc370111177"/>
            <w:bookmarkStart w:id="121" w:name="_Toc332029034"/>
            <w:bookmarkStart w:id="122" w:name="_Toc330474876"/>
            <w:r>
              <w:rPr>
                <w:rFonts w:hint="eastAsia"/>
                <w:b/>
                <w:sz w:val="21"/>
                <w:szCs w:val="21"/>
              </w:rPr>
              <w:t>单位</w:t>
            </w:r>
            <w:r>
              <w:rPr>
                <w:b/>
                <w:sz w:val="21"/>
                <w:szCs w:val="21"/>
              </w:rPr>
              <w:t>工程名称</w:t>
            </w:r>
          </w:p>
        </w:tc>
        <w:tc>
          <w:tcPr>
            <w:tcW w:w="2321" w:type="dxa"/>
            <w:vAlign w:val="center"/>
          </w:tcPr>
          <w:p w14:paraId="27459B56">
            <w:pPr>
              <w:pStyle w:val="12"/>
              <w:tabs>
                <w:tab w:val="left" w:pos="0"/>
              </w:tabs>
              <w:adjustRightInd w:val="0"/>
              <w:snapToGrid w:val="0"/>
              <w:spacing w:after="0" w:line="240" w:lineRule="auto"/>
              <w:ind w:left="0" w:leftChars="0" w:firstLine="0" w:firstLineChars="0"/>
              <w:jc w:val="center"/>
              <w:rPr>
                <w:b/>
                <w:sz w:val="21"/>
                <w:szCs w:val="21"/>
              </w:rPr>
            </w:pPr>
            <w:r>
              <w:rPr>
                <w:rFonts w:hint="eastAsia"/>
                <w:b/>
                <w:sz w:val="21"/>
                <w:szCs w:val="21"/>
              </w:rPr>
              <w:t>分部</w:t>
            </w:r>
            <w:r>
              <w:rPr>
                <w:b/>
                <w:sz w:val="21"/>
                <w:szCs w:val="21"/>
              </w:rPr>
              <w:t>工程名称</w:t>
            </w:r>
          </w:p>
        </w:tc>
        <w:tc>
          <w:tcPr>
            <w:tcW w:w="2322" w:type="dxa"/>
            <w:vAlign w:val="center"/>
          </w:tcPr>
          <w:p w14:paraId="64CD4531">
            <w:pPr>
              <w:pStyle w:val="12"/>
              <w:tabs>
                <w:tab w:val="left" w:pos="0"/>
              </w:tabs>
              <w:adjustRightInd w:val="0"/>
              <w:snapToGrid w:val="0"/>
              <w:spacing w:after="0" w:line="240" w:lineRule="auto"/>
              <w:ind w:left="0" w:leftChars="0" w:firstLine="0" w:firstLineChars="0"/>
              <w:jc w:val="center"/>
              <w:rPr>
                <w:b/>
                <w:sz w:val="21"/>
                <w:szCs w:val="21"/>
              </w:rPr>
            </w:pPr>
            <w:r>
              <w:rPr>
                <w:b/>
                <w:sz w:val="21"/>
                <w:szCs w:val="21"/>
              </w:rPr>
              <w:t>分</w:t>
            </w:r>
            <w:r>
              <w:rPr>
                <w:rFonts w:hint="eastAsia"/>
                <w:b/>
                <w:sz w:val="21"/>
                <w:szCs w:val="21"/>
              </w:rPr>
              <w:t>部</w:t>
            </w:r>
            <w:r>
              <w:rPr>
                <w:b/>
                <w:sz w:val="21"/>
                <w:szCs w:val="21"/>
              </w:rPr>
              <w:t>工程数量</w:t>
            </w:r>
          </w:p>
        </w:tc>
        <w:tc>
          <w:tcPr>
            <w:tcW w:w="2322" w:type="dxa"/>
            <w:vAlign w:val="center"/>
          </w:tcPr>
          <w:p w14:paraId="57D4017D">
            <w:pPr>
              <w:pStyle w:val="12"/>
              <w:tabs>
                <w:tab w:val="left" w:pos="0"/>
              </w:tabs>
              <w:adjustRightInd w:val="0"/>
              <w:snapToGrid w:val="0"/>
              <w:spacing w:after="0" w:line="240" w:lineRule="auto"/>
              <w:ind w:left="0" w:leftChars="0" w:firstLine="0" w:firstLineChars="0"/>
              <w:jc w:val="center"/>
              <w:rPr>
                <w:b/>
                <w:sz w:val="21"/>
                <w:szCs w:val="21"/>
              </w:rPr>
            </w:pPr>
            <w:r>
              <w:rPr>
                <w:b/>
                <w:sz w:val="21"/>
                <w:szCs w:val="21"/>
              </w:rPr>
              <w:t>单</w:t>
            </w:r>
            <w:r>
              <w:rPr>
                <w:rFonts w:hint="eastAsia"/>
                <w:b/>
                <w:sz w:val="21"/>
                <w:szCs w:val="21"/>
              </w:rPr>
              <w:t>元</w:t>
            </w:r>
            <w:r>
              <w:rPr>
                <w:b/>
                <w:sz w:val="21"/>
                <w:szCs w:val="21"/>
              </w:rPr>
              <w:t>工程数量</w:t>
            </w:r>
          </w:p>
        </w:tc>
      </w:tr>
      <w:tr w14:paraId="42A1E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2321" w:type="dxa"/>
            <w:vAlign w:val="center"/>
          </w:tcPr>
          <w:p w14:paraId="0C9EB727">
            <w:pPr>
              <w:pStyle w:val="12"/>
              <w:tabs>
                <w:tab w:val="left" w:pos="0"/>
              </w:tabs>
              <w:adjustRightInd w:val="0"/>
              <w:snapToGrid w:val="0"/>
              <w:spacing w:after="0" w:line="240" w:lineRule="auto"/>
              <w:ind w:left="0" w:leftChars="0" w:firstLine="0" w:firstLineChars="0"/>
              <w:jc w:val="center"/>
              <w:rPr>
                <w:sz w:val="21"/>
                <w:szCs w:val="21"/>
              </w:rPr>
            </w:pPr>
            <w:r>
              <w:rPr>
                <w:rFonts w:hint="eastAsia"/>
                <w:sz w:val="21"/>
                <w:szCs w:val="21"/>
              </w:rPr>
              <w:t>防洪排导工程</w:t>
            </w:r>
          </w:p>
        </w:tc>
        <w:tc>
          <w:tcPr>
            <w:tcW w:w="2321" w:type="dxa"/>
            <w:vAlign w:val="center"/>
          </w:tcPr>
          <w:p w14:paraId="7FB5859D">
            <w:pPr>
              <w:spacing w:line="240" w:lineRule="auto"/>
              <w:ind w:firstLine="0" w:firstLineChars="0"/>
              <w:jc w:val="center"/>
              <w:rPr>
                <w:rFonts w:eastAsia="仿宋"/>
                <w:sz w:val="21"/>
                <w:szCs w:val="21"/>
              </w:rPr>
            </w:pPr>
            <w:r>
              <w:rPr>
                <w:rFonts w:hint="eastAsia"/>
                <w:sz w:val="21"/>
                <w:szCs w:val="21"/>
              </w:rPr>
              <w:t>排洪导流设施</w:t>
            </w:r>
          </w:p>
        </w:tc>
        <w:tc>
          <w:tcPr>
            <w:tcW w:w="2322" w:type="dxa"/>
            <w:vAlign w:val="center"/>
          </w:tcPr>
          <w:p w14:paraId="2AD45B1C">
            <w:pPr>
              <w:pStyle w:val="12"/>
              <w:tabs>
                <w:tab w:val="left" w:pos="0"/>
              </w:tabs>
              <w:adjustRightInd w:val="0"/>
              <w:snapToGrid w:val="0"/>
              <w:spacing w:after="0" w:line="240" w:lineRule="auto"/>
              <w:ind w:left="0" w:leftChars="0" w:firstLine="0" w:firstLineChars="0"/>
              <w:jc w:val="center"/>
              <w:rPr>
                <w:sz w:val="21"/>
                <w:szCs w:val="21"/>
              </w:rPr>
            </w:pPr>
            <w:r>
              <w:rPr>
                <w:sz w:val="21"/>
                <w:szCs w:val="21"/>
              </w:rPr>
              <w:t>1</w:t>
            </w:r>
          </w:p>
        </w:tc>
        <w:tc>
          <w:tcPr>
            <w:tcW w:w="2322" w:type="dxa"/>
            <w:vAlign w:val="center"/>
          </w:tcPr>
          <w:p w14:paraId="4F1ED25D">
            <w:pPr>
              <w:pStyle w:val="12"/>
              <w:tabs>
                <w:tab w:val="left" w:pos="0"/>
              </w:tabs>
              <w:adjustRightInd w:val="0"/>
              <w:snapToGrid w:val="0"/>
              <w:spacing w:after="0" w:line="240" w:lineRule="auto"/>
              <w:ind w:left="0" w:leftChars="0" w:firstLine="0" w:firstLineChars="0"/>
              <w:jc w:val="center"/>
              <w:rPr>
                <w:sz w:val="21"/>
                <w:szCs w:val="21"/>
              </w:rPr>
            </w:pPr>
            <w:r>
              <w:rPr>
                <w:rFonts w:hint="eastAsia"/>
                <w:sz w:val="21"/>
                <w:szCs w:val="21"/>
              </w:rPr>
              <w:t>11</w:t>
            </w:r>
          </w:p>
        </w:tc>
      </w:tr>
      <w:tr w14:paraId="50DA5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2321" w:type="dxa"/>
            <w:vAlign w:val="center"/>
          </w:tcPr>
          <w:p w14:paraId="4A40B935">
            <w:pPr>
              <w:widowControl/>
              <w:spacing w:line="240" w:lineRule="auto"/>
              <w:ind w:firstLine="0" w:firstLineChars="0"/>
              <w:jc w:val="center"/>
              <w:rPr>
                <w:kern w:val="0"/>
                <w:sz w:val="21"/>
                <w:szCs w:val="21"/>
              </w:rPr>
            </w:pPr>
            <w:r>
              <w:rPr>
                <w:rFonts w:hint="eastAsia"/>
                <w:kern w:val="0"/>
                <w:sz w:val="21"/>
                <w:szCs w:val="21"/>
              </w:rPr>
              <w:t>园林绿化工程</w:t>
            </w:r>
          </w:p>
        </w:tc>
        <w:tc>
          <w:tcPr>
            <w:tcW w:w="2321" w:type="dxa"/>
            <w:vAlign w:val="center"/>
          </w:tcPr>
          <w:p w14:paraId="7505E6DF">
            <w:pPr>
              <w:spacing w:line="240" w:lineRule="auto"/>
              <w:ind w:firstLine="0" w:firstLineChars="0"/>
              <w:jc w:val="center"/>
              <w:rPr>
                <w:sz w:val="21"/>
                <w:szCs w:val="21"/>
              </w:rPr>
            </w:pPr>
            <w:r>
              <w:rPr>
                <w:rFonts w:hint="eastAsia"/>
                <w:sz w:val="21"/>
                <w:szCs w:val="21"/>
              </w:rPr>
              <w:t>线网状植被</w:t>
            </w:r>
          </w:p>
        </w:tc>
        <w:tc>
          <w:tcPr>
            <w:tcW w:w="2322" w:type="dxa"/>
            <w:vAlign w:val="center"/>
          </w:tcPr>
          <w:p w14:paraId="10D59374">
            <w:pPr>
              <w:pStyle w:val="12"/>
              <w:tabs>
                <w:tab w:val="left" w:pos="0"/>
              </w:tabs>
              <w:adjustRightInd w:val="0"/>
              <w:snapToGrid w:val="0"/>
              <w:spacing w:after="0" w:line="240" w:lineRule="auto"/>
              <w:ind w:left="0" w:leftChars="0" w:firstLine="0" w:firstLineChars="0"/>
              <w:jc w:val="center"/>
              <w:rPr>
                <w:sz w:val="21"/>
                <w:szCs w:val="21"/>
              </w:rPr>
            </w:pPr>
            <w:r>
              <w:rPr>
                <w:rFonts w:hint="eastAsia"/>
                <w:sz w:val="21"/>
                <w:szCs w:val="21"/>
              </w:rPr>
              <w:t>1</w:t>
            </w:r>
          </w:p>
        </w:tc>
        <w:tc>
          <w:tcPr>
            <w:tcW w:w="2322" w:type="dxa"/>
            <w:vAlign w:val="center"/>
          </w:tcPr>
          <w:p w14:paraId="4173573E">
            <w:pPr>
              <w:pStyle w:val="12"/>
              <w:tabs>
                <w:tab w:val="left" w:pos="0"/>
              </w:tabs>
              <w:adjustRightInd w:val="0"/>
              <w:snapToGrid w:val="0"/>
              <w:spacing w:after="0" w:line="240" w:lineRule="auto"/>
              <w:ind w:left="0" w:leftChars="0" w:firstLine="0" w:firstLineChars="0"/>
              <w:jc w:val="center"/>
              <w:rPr>
                <w:sz w:val="21"/>
                <w:szCs w:val="21"/>
              </w:rPr>
            </w:pPr>
            <w:r>
              <w:rPr>
                <w:rFonts w:hint="eastAsia"/>
                <w:sz w:val="21"/>
                <w:szCs w:val="21"/>
              </w:rPr>
              <w:t>9</w:t>
            </w:r>
          </w:p>
        </w:tc>
      </w:tr>
      <w:tr w14:paraId="47506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4642" w:type="dxa"/>
            <w:gridSpan w:val="2"/>
            <w:vAlign w:val="center"/>
          </w:tcPr>
          <w:p w14:paraId="7905EAFD">
            <w:pPr>
              <w:pStyle w:val="12"/>
              <w:tabs>
                <w:tab w:val="left" w:pos="0"/>
              </w:tabs>
              <w:adjustRightInd w:val="0"/>
              <w:snapToGrid w:val="0"/>
              <w:spacing w:after="0" w:line="240" w:lineRule="auto"/>
              <w:ind w:left="0" w:leftChars="0" w:firstLine="0" w:firstLineChars="0"/>
              <w:jc w:val="center"/>
              <w:rPr>
                <w:sz w:val="21"/>
                <w:szCs w:val="21"/>
              </w:rPr>
            </w:pPr>
            <w:r>
              <w:rPr>
                <w:sz w:val="21"/>
                <w:szCs w:val="21"/>
              </w:rPr>
              <w:t>合计</w:t>
            </w:r>
          </w:p>
        </w:tc>
        <w:tc>
          <w:tcPr>
            <w:tcW w:w="2322" w:type="dxa"/>
            <w:vAlign w:val="center"/>
          </w:tcPr>
          <w:p w14:paraId="18AC2FD6">
            <w:pPr>
              <w:pStyle w:val="12"/>
              <w:tabs>
                <w:tab w:val="left" w:pos="0"/>
              </w:tabs>
              <w:adjustRightInd w:val="0"/>
              <w:snapToGrid w:val="0"/>
              <w:spacing w:after="0" w:line="240" w:lineRule="auto"/>
              <w:ind w:left="0" w:leftChars="0" w:firstLine="0" w:firstLineChars="0"/>
              <w:jc w:val="center"/>
              <w:rPr>
                <w:sz w:val="21"/>
                <w:szCs w:val="21"/>
              </w:rPr>
            </w:pPr>
            <w:r>
              <w:rPr>
                <w:rFonts w:hint="eastAsia"/>
                <w:sz w:val="21"/>
                <w:szCs w:val="21"/>
              </w:rPr>
              <w:t>2</w:t>
            </w:r>
          </w:p>
        </w:tc>
        <w:tc>
          <w:tcPr>
            <w:tcW w:w="2322" w:type="dxa"/>
            <w:vAlign w:val="center"/>
          </w:tcPr>
          <w:p w14:paraId="08A2FDF8">
            <w:pPr>
              <w:pStyle w:val="12"/>
              <w:tabs>
                <w:tab w:val="left" w:pos="0"/>
              </w:tabs>
              <w:adjustRightInd w:val="0"/>
              <w:snapToGrid w:val="0"/>
              <w:spacing w:after="0" w:line="240" w:lineRule="auto"/>
              <w:ind w:left="0" w:leftChars="0" w:firstLine="0" w:firstLineChars="0"/>
              <w:jc w:val="center"/>
              <w:rPr>
                <w:sz w:val="21"/>
                <w:szCs w:val="21"/>
              </w:rPr>
            </w:pPr>
            <w:r>
              <w:rPr>
                <w:rFonts w:hint="eastAsia"/>
                <w:sz w:val="21"/>
                <w:szCs w:val="21"/>
              </w:rPr>
              <w:t>20</w:t>
            </w:r>
          </w:p>
        </w:tc>
      </w:tr>
    </w:tbl>
    <w:p w14:paraId="1E2C7221">
      <w:pPr>
        <w:rPr>
          <w:rFonts w:eastAsia="仿宋"/>
        </w:rPr>
      </w:pPr>
      <w:r>
        <w:t>本工程水土保持措施划分为</w:t>
      </w:r>
      <w:r>
        <w:rPr>
          <w:rFonts w:hint="eastAsia"/>
        </w:rPr>
        <w:t>2</w:t>
      </w:r>
      <w:r>
        <w:t>个分</w:t>
      </w:r>
      <w:r>
        <w:rPr>
          <w:rFonts w:hint="eastAsia"/>
        </w:rPr>
        <w:t>部</w:t>
      </w:r>
      <w:r>
        <w:t>工程，</w:t>
      </w:r>
      <w:r>
        <w:rPr>
          <w:rFonts w:hint="eastAsia"/>
        </w:rPr>
        <w:t>20</w:t>
      </w:r>
      <w:r>
        <w:t>个单元工程。</w:t>
      </w:r>
    </w:p>
    <w:p w14:paraId="12C78885">
      <w:pPr>
        <w:pStyle w:val="4"/>
        <w:rPr>
          <w:rFonts w:eastAsia="仿宋"/>
        </w:rPr>
      </w:pPr>
      <w:r>
        <w:t xml:space="preserve">4.2.2 </w:t>
      </w:r>
      <w:bookmarkEnd w:id="118"/>
      <w:bookmarkEnd w:id="119"/>
      <w:bookmarkEnd w:id="120"/>
      <w:bookmarkEnd w:id="121"/>
      <w:bookmarkEnd w:id="122"/>
      <w:r>
        <w:t>各防治分区工程质量评定</w:t>
      </w:r>
    </w:p>
    <w:p w14:paraId="28FE315F">
      <w:r>
        <w:t>1、工程措施质量评定</w:t>
      </w:r>
    </w:p>
    <w:p w14:paraId="3B542C2E">
      <w:r>
        <w:t>本次水土保持工程措施（工程质量）的技术验收采用查阅自检成果数据和现场抽查等方式，工程质量评定以分部工程评定为基础，其评定等级分为优良、合格和不合格等三个级别。单元工程质量由施工单位质检部门组织评定，监理单位复核；分部工程质量评定是在施工单位质检部门自评的基础上，由监理单位复核，报质量监督机构审查核定；单位工程质量评定在施工单位自评的基础上由监理单位复核，报质量监督机构核定。</w:t>
      </w:r>
    </w:p>
    <w:p w14:paraId="7ED9A44D">
      <w:r>
        <w:t>验收项目组认为，建设单位根据工程实际情况实施了</w:t>
      </w:r>
      <w:r>
        <w:rPr>
          <w:rFonts w:hint="eastAsia"/>
        </w:rPr>
        <w:t>污水管、排水管、检查井</w:t>
      </w:r>
      <w:r>
        <w:t>等措施，对施工过程中扰动和破坏区域进行了较全面的治理，检查评定结果为分部工程全部合格，合格率为100%。验收结果见表4-2。</w:t>
      </w:r>
    </w:p>
    <w:p w14:paraId="1E11FAD7">
      <w:pPr>
        <w:widowControl/>
        <w:spacing w:line="240" w:lineRule="auto"/>
        <w:ind w:firstLine="0" w:firstLineChars="0"/>
        <w:jc w:val="left"/>
        <w:rPr>
          <w:b/>
        </w:rPr>
      </w:pPr>
      <w:r>
        <w:rPr>
          <w:b/>
        </w:rPr>
        <w:t xml:space="preserve">表4-2  </w:t>
      </w:r>
      <w:r>
        <w:rPr>
          <w:rFonts w:hint="eastAsia"/>
          <w:b/>
        </w:rPr>
        <w:t xml:space="preserve">              </w:t>
      </w:r>
      <w:r>
        <w:rPr>
          <w:b/>
        </w:rPr>
        <w:t>水土保持工程措施质量评定汇总表</w:t>
      </w:r>
    </w:p>
    <w:tbl>
      <w:tblPr>
        <w:tblStyle w:val="32"/>
        <w:tblW w:w="92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1559"/>
        <w:gridCol w:w="1149"/>
        <w:gridCol w:w="1110"/>
        <w:gridCol w:w="1110"/>
        <w:gridCol w:w="1111"/>
        <w:gridCol w:w="1110"/>
      </w:tblGrid>
      <w:tr w14:paraId="41224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2093" w:type="dxa"/>
            <w:vAlign w:val="center"/>
          </w:tcPr>
          <w:p w14:paraId="465BBA18">
            <w:pPr>
              <w:widowControl/>
              <w:adjustRightInd w:val="0"/>
              <w:snapToGrid w:val="0"/>
              <w:spacing w:line="240" w:lineRule="auto"/>
              <w:ind w:firstLine="0" w:firstLineChars="0"/>
              <w:jc w:val="center"/>
              <w:rPr>
                <w:rFonts w:eastAsia="仿宋"/>
                <w:b/>
                <w:kern w:val="0"/>
                <w:sz w:val="21"/>
                <w:szCs w:val="21"/>
              </w:rPr>
            </w:pPr>
            <w:r>
              <w:rPr>
                <w:rFonts w:hint="eastAsia" w:eastAsia="仿宋"/>
                <w:b/>
                <w:kern w:val="0"/>
                <w:sz w:val="21"/>
                <w:szCs w:val="21"/>
              </w:rPr>
              <w:t>单位</w:t>
            </w:r>
            <w:r>
              <w:rPr>
                <w:rFonts w:eastAsia="仿宋"/>
                <w:b/>
                <w:kern w:val="0"/>
                <w:sz w:val="21"/>
                <w:szCs w:val="21"/>
              </w:rPr>
              <w:t>工程</w:t>
            </w:r>
          </w:p>
        </w:tc>
        <w:tc>
          <w:tcPr>
            <w:tcW w:w="1559" w:type="dxa"/>
            <w:vAlign w:val="center"/>
          </w:tcPr>
          <w:p w14:paraId="7DC070C7">
            <w:pPr>
              <w:widowControl/>
              <w:adjustRightInd w:val="0"/>
              <w:snapToGrid w:val="0"/>
              <w:spacing w:line="240" w:lineRule="auto"/>
              <w:ind w:firstLine="0" w:firstLineChars="0"/>
              <w:jc w:val="center"/>
              <w:rPr>
                <w:rFonts w:eastAsia="仿宋"/>
                <w:b/>
                <w:kern w:val="0"/>
                <w:sz w:val="21"/>
                <w:szCs w:val="21"/>
              </w:rPr>
            </w:pPr>
            <w:r>
              <w:rPr>
                <w:rFonts w:hint="eastAsia" w:eastAsia="仿宋"/>
                <w:b/>
                <w:kern w:val="0"/>
                <w:sz w:val="21"/>
                <w:szCs w:val="21"/>
              </w:rPr>
              <w:t>分部</w:t>
            </w:r>
            <w:r>
              <w:rPr>
                <w:rFonts w:eastAsia="仿宋"/>
                <w:b/>
                <w:kern w:val="0"/>
                <w:sz w:val="21"/>
                <w:szCs w:val="21"/>
              </w:rPr>
              <w:t>工程</w:t>
            </w:r>
          </w:p>
        </w:tc>
        <w:tc>
          <w:tcPr>
            <w:tcW w:w="1149" w:type="dxa"/>
            <w:vAlign w:val="center"/>
          </w:tcPr>
          <w:p w14:paraId="038CA985">
            <w:pPr>
              <w:widowControl/>
              <w:adjustRightInd w:val="0"/>
              <w:snapToGrid w:val="0"/>
              <w:spacing w:line="240" w:lineRule="auto"/>
              <w:ind w:firstLine="0" w:firstLineChars="0"/>
              <w:jc w:val="center"/>
              <w:rPr>
                <w:rFonts w:eastAsia="仿宋"/>
                <w:b/>
                <w:kern w:val="0"/>
                <w:sz w:val="21"/>
                <w:szCs w:val="21"/>
              </w:rPr>
            </w:pPr>
            <w:r>
              <w:rPr>
                <w:rFonts w:eastAsia="仿宋"/>
                <w:b/>
                <w:kern w:val="0"/>
                <w:sz w:val="21"/>
                <w:szCs w:val="21"/>
              </w:rPr>
              <w:t>单元工程（个）</w:t>
            </w:r>
          </w:p>
        </w:tc>
        <w:tc>
          <w:tcPr>
            <w:tcW w:w="1110" w:type="dxa"/>
            <w:vAlign w:val="center"/>
          </w:tcPr>
          <w:p w14:paraId="0D12357B">
            <w:pPr>
              <w:widowControl/>
              <w:adjustRightInd w:val="0"/>
              <w:snapToGrid w:val="0"/>
              <w:spacing w:line="240" w:lineRule="auto"/>
              <w:ind w:firstLine="0" w:firstLineChars="0"/>
              <w:jc w:val="center"/>
              <w:rPr>
                <w:rFonts w:eastAsia="仿宋"/>
                <w:b/>
                <w:kern w:val="0"/>
                <w:sz w:val="21"/>
                <w:szCs w:val="21"/>
              </w:rPr>
            </w:pPr>
            <w:r>
              <w:rPr>
                <w:rFonts w:eastAsia="仿宋"/>
                <w:b/>
                <w:kern w:val="0"/>
                <w:sz w:val="21"/>
                <w:szCs w:val="21"/>
              </w:rPr>
              <w:t>抽检数（个）</w:t>
            </w:r>
          </w:p>
        </w:tc>
        <w:tc>
          <w:tcPr>
            <w:tcW w:w="1110" w:type="dxa"/>
            <w:vAlign w:val="center"/>
          </w:tcPr>
          <w:p w14:paraId="41C78165">
            <w:pPr>
              <w:widowControl/>
              <w:adjustRightInd w:val="0"/>
              <w:snapToGrid w:val="0"/>
              <w:spacing w:line="240" w:lineRule="auto"/>
              <w:ind w:firstLine="0" w:firstLineChars="0"/>
              <w:jc w:val="center"/>
              <w:rPr>
                <w:rFonts w:eastAsia="仿宋"/>
                <w:b/>
                <w:kern w:val="0"/>
                <w:sz w:val="21"/>
                <w:szCs w:val="21"/>
              </w:rPr>
            </w:pPr>
            <w:r>
              <w:rPr>
                <w:rFonts w:eastAsia="仿宋"/>
                <w:b/>
                <w:kern w:val="0"/>
                <w:sz w:val="21"/>
                <w:szCs w:val="21"/>
              </w:rPr>
              <w:t>抽检率（%）</w:t>
            </w:r>
          </w:p>
        </w:tc>
        <w:tc>
          <w:tcPr>
            <w:tcW w:w="1111" w:type="dxa"/>
            <w:vAlign w:val="center"/>
          </w:tcPr>
          <w:p w14:paraId="7470F414">
            <w:pPr>
              <w:widowControl/>
              <w:adjustRightInd w:val="0"/>
              <w:snapToGrid w:val="0"/>
              <w:spacing w:line="240" w:lineRule="auto"/>
              <w:ind w:firstLine="0" w:firstLineChars="0"/>
              <w:jc w:val="center"/>
              <w:rPr>
                <w:rFonts w:eastAsia="仿宋"/>
                <w:b/>
                <w:kern w:val="0"/>
                <w:sz w:val="21"/>
                <w:szCs w:val="21"/>
              </w:rPr>
            </w:pPr>
            <w:r>
              <w:rPr>
                <w:rFonts w:eastAsia="仿宋"/>
                <w:b/>
                <w:kern w:val="0"/>
                <w:sz w:val="21"/>
                <w:szCs w:val="21"/>
              </w:rPr>
              <w:t>合格（个）</w:t>
            </w:r>
          </w:p>
        </w:tc>
        <w:tc>
          <w:tcPr>
            <w:tcW w:w="1110" w:type="dxa"/>
            <w:vAlign w:val="center"/>
          </w:tcPr>
          <w:p w14:paraId="70D8E917">
            <w:pPr>
              <w:widowControl/>
              <w:adjustRightInd w:val="0"/>
              <w:snapToGrid w:val="0"/>
              <w:spacing w:line="240" w:lineRule="auto"/>
              <w:ind w:firstLine="0" w:firstLineChars="0"/>
              <w:jc w:val="center"/>
              <w:rPr>
                <w:rFonts w:eastAsia="仿宋"/>
                <w:b/>
                <w:kern w:val="0"/>
                <w:sz w:val="21"/>
                <w:szCs w:val="21"/>
              </w:rPr>
            </w:pPr>
            <w:r>
              <w:rPr>
                <w:rFonts w:eastAsia="仿宋"/>
                <w:b/>
                <w:kern w:val="0"/>
                <w:sz w:val="21"/>
                <w:szCs w:val="21"/>
              </w:rPr>
              <w:t>合格率（%）</w:t>
            </w:r>
          </w:p>
        </w:tc>
      </w:tr>
      <w:tr w14:paraId="25247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2093" w:type="dxa"/>
            <w:vAlign w:val="center"/>
          </w:tcPr>
          <w:p w14:paraId="3D312EB2">
            <w:pPr>
              <w:pStyle w:val="12"/>
              <w:tabs>
                <w:tab w:val="left" w:pos="0"/>
              </w:tabs>
              <w:adjustRightInd w:val="0"/>
              <w:snapToGrid w:val="0"/>
              <w:spacing w:after="0" w:line="240" w:lineRule="auto"/>
              <w:ind w:left="0" w:leftChars="0" w:firstLine="0" w:firstLineChars="0"/>
              <w:jc w:val="center"/>
              <w:rPr>
                <w:sz w:val="21"/>
                <w:szCs w:val="21"/>
              </w:rPr>
            </w:pPr>
            <w:r>
              <w:rPr>
                <w:rFonts w:hint="eastAsia"/>
                <w:sz w:val="21"/>
                <w:szCs w:val="21"/>
              </w:rPr>
              <w:t>防洪排导工程</w:t>
            </w:r>
          </w:p>
        </w:tc>
        <w:tc>
          <w:tcPr>
            <w:tcW w:w="1559" w:type="dxa"/>
            <w:vAlign w:val="center"/>
          </w:tcPr>
          <w:p w14:paraId="0A4D9E9D">
            <w:pPr>
              <w:spacing w:line="240" w:lineRule="auto"/>
              <w:ind w:firstLine="0" w:firstLineChars="0"/>
              <w:jc w:val="center"/>
              <w:rPr>
                <w:rFonts w:eastAsia="仿宋"/>
                <w:sz w:val="21"/>
                <w:szCs w:val="21"/>
              </w:rPr>
            </w:pPr>
            <w:r>
              <w:rPr>
                <w:rFonts w:hint="eastAsia"/>
                <w:sz w:val="21"/>
                <w:szCs w:val="21"/>
              </w:rPr>
              <w:t>排洪导流设施</w:t>
            </w:r>
          </w:p>
        </w:tc>
        <w:tc>
          <w:tcPr>
            <w:tcW w:w="1149" w:type="dxa"/>
            <w:vAlign w:val="center"/>
          </w:tcPr>
          <w:p w14:paraId="459D911E">
            <w:pPr>
              <w:widowControl/>
              <w:adjustRightInd w:val="0"/>
              <w:snapToGrid w:val="0"/>
              <w:spacing w:line="240" w:lineRule="auto"/>
              <w:ind w:firstLine="0" w:firstLineChars="0"/>
              <w:jc w:val="center"/>
              <w:rPr>
                <w:rFonts w:eastAsia="仿宋"/>
                <w:kern w:val="0"/>
                <w:sz w:val="21"/>
                <w:szCs w:val="21"/>
              </w:rPr>
            </w:pPr>
            <w:r>
              <w:rPr>
                <w:rFonts w:hint="eastAsia"/>
                <w:kern w:val="0"/>
                <w:sz w:val="21"/>
                <w:szCs w:val="21"/>
              </w:rPr>
              <w:t>11</w:t>
            </w:r>
          </w:p>
        </w:tc>
        <w:tc>
          <w:tcPr>
            <w:tcW w:w="1110" w:type="dxa"/>
            <w:vAlign w:val="center"/>
          </w:tcPr>
          <w:p w14:paraId="5F55262F">
            <w:pPr>
              <w:widowControl/>
              <w:adjustRightInd w:val="0"/>
              <w:snapToGrid w:val="0"/>
              <w:spacing w:line="240" w:lineRule="auto"/>
              <w:ind w:firstLine="0" w:firstLineChars="0"/>
              <w:jc w:val="center"/>
              <w:rPr>
                <w:rFonts w:eastAsia="仿宋"/>
                <w:kern w:val="0"/>
                <w:sz w:val="21"/>
                <w:szCs w:val="21"/>
              </w:rPr>
            </w:pPr>
            <w:r>
              <w:rPr>
                <w:rFonts w:hint="eastAsia"/>
                <w:kern w:val="0"/>
                <w:sz w:val="21"/>
                <w:szCs w:val="21"/>
              </w:rPr>
              <w:t>11</w:t>
            </w:r>
          </w:p>
        </w:tc>
        <w:tc>
          <w:tcPr>
            <w:tcW w:w="1110" w:type="dxa"/>
            <w:vAlign w:val="center"/>
          </w:tcPr>
          <w:p w14:paraId="4D784331">
            <w:pPr>
              <w:widowControl/>
              <w:adjustRightInd w:val="0"/>
              <w:snapToGrid w:val="0"/>
              <w:spacing w:line="240" w:lineRule="auto"/>
              <w:ind w:firstLine="0" w:firstLineChars="0"/>
              <w:jc w:val="center"/>
              <w:rPr>
                <w:rFonts w:eastAsia="仿宋"/>
                <w:kern w:val="0"/>
                <w:sz w:val="21"/>
                <w:szCs w:val="21"/>
              </w:rPr>
            </w:pPr>
            <w:r>
              <w:rPr>
                <w:kern w:val="0"/>
                <w:sz w:val="21"/>
                <w:szCs w:val="21"/>
              </w:rPr>
              <w:t>100</w:t>
            </w:r>
          </w:p>
        </w:tc>
        <w:tc>
          <w:tcPr>
            <w:tcW w:w="1111" w:type="dxa"/>
            <w:vAlign w:val="center"/>
          </w:tcPr>
          <w:p w14:paraId="65D0281B">
            <w:pPr>
              <w:widowControl/>
              <w:adjustRightInd w:val="0"/>
              <w:snapToGrid w:val="0"/>
              <w:spacing w:line="240" w:lineRule="auto"/>
              <w:ind w:firstLine="0" w:firstLineChars="0"/>
              <w:jc w:val="center"/>
              <w:rPr>
                <w:rFonts w:eastAsia="仿宋"/>
                <w:kern w:val="0"/>
                <w:sz w:val="21"/>
                <w:szCs w:val="21"/>
              </w:rPr>
            </w:pPr>
            <w:r>
              <w:rPr>
                <w:rFonts w:hint="eastAsia"/>
                <w:kern w:val="0"/>
                <w:sz w:val="21"/>
                <w:szCs w:val="21"/>
              </w:rPr>
              <w:t>11</w:t>
            </w:r>
          </w:p>
        </w:tc>
        <w:tc>
          <w:tcPr>
            <w:tcW w:w="1110" w:type="dxa"/>
            <w:vAlign w:val="center"/>
          </w:tcPr>
          <w:p w14:paraId="2D5F2642">
            <w:pPr>
              <w:widowControl/>
              <w:adjustRightInd w:val="0"/>
              <w:snapToGrid w:val="0"/>
              <w:spacing w:line="240" w:lineRule="auto"/>
              <w:ind w:firstLine="0" w:firstLineChars="0"/>
              <w:jc w:val="center"/>
              <w:rPr>
                <w:rFonts w:eastAsia="仿宋"/>
                <w:kern w:val="0"/>
                <w:sz w:val="21"/>
                <w:szCs w:val="21"/>
              </w:rPr>
            </w:pPr>
            <w:r>
              <w:rPr>
                <w:rFonts w:eastAsia="仿宋"/>
                <w:kern w:val="0"/>
                <w:sz w:val="21"/>
                <w:szCs w:val="21"/>
              </w:rPr>
              <w:t>100</w:t>
            </w:r>
          </w:p>
        </w:tc>
      </w:tr>
    </w:tbl>
    <w:p w14:paraId="0538BD48">
      <w:r>
        <w:t>2、植物措施质量评定</w:t>
      </w:r>
    </w:p>
    <w:p w14:paraId="3D542E1B">
      <w:r>
        <w:t>根据现场检查</w:t>
      </w:r>
      <w:r>
        <w:rPr>
          <w:rFonts w:hint="eastAsia"/>
        </w:rPr>
        <w:t>及资料查阅</w:t>
      </w:r>
      <w:r>
        <w:t>，植物措施组对项目区进行抽样核实植物措施面积，植物措施面积核实范围100%。据抽样调查结果，项目验收组认为植物措施面积属实。项目验收组共详细调查了植物措施约</w:t>
      </w:r>
      <w:r>
        <w:rPr>
          <w:rFonts w:hint="eastAsia"/>
        </w:rPr>
        <w:t>4.09</w:t>
      </w:r>
      <w:r>
        <w:t>hm</w:t>
      </w:r>
      <w:r>
        <w:rPr>
          <w:vertAlign w:val="superscript"/>
        </w:rPr>
        <w:t>2</w:t>
      </w:r>
      <w:r>
        <w:t>，各调查区绿化及植被恢复效果较好，林木成活率、草地成活率达到99%以上。具体评定结果见表4-3。</w:t>
      </w:r>
    </w:p>
    <w:p w14:paraId="7B6DA39A">
      <w:pPr>
        <w:widowControl/>
        <w:spacing w:line="240" w:lineRule="auto"/>
        <w:ind w:firstLine="0" w:firstLineChars="0"/>
        <w:jc w:val="left"/>
        <w:rPr>
          <w:b/>
        </w:rPr>
      </w:pPr>
      <w:r>
        <w:rPr>
          <w:b/>
        </w:rPr>
        <w:t>表4-3</w:t>
      </w:r>
      <w:r>
        <w:rPr>
          <w:rFonts w:hint="eastAsia"/>
          <w:b/>
        </w:rPr>
        <w:t xml:space="preserve">                </w:t>
      </w:r>
      <w:r>
        <w:rPr>
          <w:b/>
        </w:rPr>
        <w:t>水土保持植物措施质量评定汇总表</w:t>
      </w:r>
    </w:p>
    <w:tbl>
      <w:tblPr>
        <w:tblStyle w:val="32"/>
        <w:tblW w:w="92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1556"/>
        <w:gridCol w:w="1154"/>
        <w:gridCol w:w="1110"/>
        <w:gridCol w:w="1110"/>
        <w:gridCol w:w="1109"/>
        <w:gridCol w:w="1110"/>
      </w:tblGrid>
      <w:tr w14:paraId="5EFB3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2093" w:type="dxa"/>
            <w:vAlign w:val="center"/>
          </w:tcPr>
          <w:p w14:paraId="38FC54EB">
            <w:pPr>
              <w:widowControl/>
              <w:adjustRightInd w:val="0"/>
              <w:snapToGrid w:val="0"/>
              <w:spacing w:line="240" w:lineRule="auto"/>
              <w:ind w:firstLine="0" w:firstLineChars="0"/>
              <w:jc w:val="center"/>
              <w:rPr>
                <w:rFonts w:eastAsia="仿宋"/>
                <w:b/>
                <w:kern w:val="0"/>
                <w:sz w:val="21"/>
                <w:szCs w:val="21"/>
              </w:rPr>
            </w:pPr>
            <w:r>
              <w:rPr>
                <w:rFonts w:hint="eastAsia" w:eastAsia="仿宋"/>
                <w:b/>
                <w:kern w:val="0"/>
                <w:sz w:val="21"/>
                <w:szCs w:val="21"/>
              </w:rPr>
              <w:t>单位</w:t>
            </w:r>
            <w:r>
              <w:rPr>
                <w:rFonts w:eastAsia="仿宋"/>
                <w:b/>
                <w:kern w:val="0"/>
                <w:sz w:val="21"/>
                <w:szCs w:val="21"/>
              </w:rPr>
              <w:t>工程</w:t>
            </w:r>
          </w:p>
        </w:tc>
        <w:tc>
          <w:tcPr>
            <w:tcW w:w="1556" w:type="dxa"/>
            <w:vAlign w:val="center"/>
          </w:tcPr>
          <w:p w14:paraId="2042F0BE">
            <w:pPr>
              <w:widowControl/>
              <w:adjustRightInd w:val="0"/>
              <w:snapToGrid w:val="0"/>
              <w:spacing w:line="240" w:lineRule="auto"/>
              <w:ind w:firstLine="0" w:firstLineChars="0"/>
              <w:jc w:val="center"/>
              <w:rPr>
                <w:rFonts w:eastAsia="仿宋"/>
                <w:b/>
                <w:kern w:val="0"/>
                <w:sz w:val="21"/>
                <w:szCs w:val="21"/>
              </w:rPr>
            </w:pPr>
            <w:r>
              <w:rPr>
                <w:rFonts w:hint="eastAsia" w:eastAsia="仿宋"/>
                <w:b/>
                <w:kern w:val="0"/>
                <w:sz w:val="21"/>
                <w:szCs w:val="21"/>
              </w:rPr>
              <w:t>分部</w:t>
            </w:r>
            <w:r>
              <w:rPr>
                <w:rFonts w:eastAsia="仿宋"/>
                <w:b/>
                <w:kern w:val="0"/>
                <w:sz w:val="21"/>
                <w:szCs w:val="21"/>
              </w:rPr>
              <w:t>工程</w:t>
            </w:r>
          </w:p>
        </w:tc>
        <w:tc>
          <w:tcPr>
            <w:tcW w:w="1154" w:type="dxa"/>
            <w:vAlign w:val="center"/>
          </w:tcPr>
          <w:p w14:paraId="7D31FB83">
            <w:pPr>
              <w:widowControl/>
              <w:spacing w:line="240" w:lineRule="auto"/>
              <w:ind w:firstLine="0" w:firstLineChars="0"/>
              <w:jc w:val="center"/>
              <w:rPr>
                <w:rFonts w:eastAsia="仿宋"/>
                <w:b/>
                <w:kern w:val="0"/>
                <w:sz w:val="21"/>
                <w:szCs w:val="21"/>
              </w:rPr>
            </w:pPr>
            <w:r>
              <w:rPr>
                <w:rFonts w:eastAsia="仿宋"/>
                <w:b/>
                <w:kern w:val="0"/>
                <w:sz w:val="21"/>
                <w:szCs w:val="21"/>
              </w:rPr>
              <w:t>单元工程（个）</w:t>
            </w:r>
          </w:p>
        </w:tc>
        <w:tc>
          <w:tcPr>
            <w:tcW w:w="1110" w:type="dxa"/>
            <w:vAlign w:val="center"/>
          </w:tcPr>
          <w:p w14:paraId="7439AF81">
            <w:pPr>
              <w:widowControl/>
              <w:spacing w:line="240" w:lineRule="auto"/>
              <w:ind w:firstLine="0" w:firstLineChars="0"/>
              <w:jc w:val="center"/>
              <w:rPr>
                <w:rFonts w:eastAsia="仿宋"/>
                <w:b/>
                <w:kern w:val="0"/>
                <w:sz w:val="21"/>
                <w:szCs w:val="21"/>
              </w:rPr>
            </w:pPr>
            <w:r>
              <w:rPr>
                <w:rFonts w:eastAsia="仿宋"/>
                <w:b/>
                <w:kern w:val="0"/>
                <w:sz w:val="21"/>
                <w:szCs w:val="21"/>
              </w:rPr>
              <w:t>抽检数（个）</w:t>
            </w:r>
          </w:p>
        </w:tc>
        <w:tc>
          <w:tcPr>
            <w:tcW w:w="1110" w:type="dxa"/>
            <w:vAlign w:val="center"/>
          </w:tcPr>
          <w:p w14:paraId="3793526A">
            <w:pPr>
              <w:widowControl/>
              <w:spacing w:line="240" w:lineRule="auto"/>
              <w:ind w:firstLine="0" w:firstLineChars="0"/>
              <w:jc w:val="center"/>
              <w:rPr>
                <w:rFonts w:eastAsia="仿宋"/>
                <w:b/>
                <w:kern w:val="0"/>
                <w:sz w:val="21"/>
                <w:szCs w:val="21"/>
              </w:rPr>
            </w:pPr>
            <w:r>
              <w:rPr>
                <w:rFonts w:eastAsia="仿宋"/>
                <w:b/>
                <w:kern w:val="0"/>
                <w:sz w:val="21"/>
                <w:szCs w:val="21"/>
              </w:rPr>
              <w:t>抽检率（%）</w:t>
            </w:r>
          </w:p>
        </w:tc>
        <w:tc>
          <w:tcPr>
            <w:tcW w:w="1109" w:type="dxa"/>
            <w:vAlign w:val="center"/>
          </w:tcPr>
          <w:p w14:paraId="01404A1C">
            <w:pPr>
              <w:widowControl/>
              <w:spacing w:line="240" w:lineRule="auto"/>
              <w:ind w:firstLine="0" w:firstLineChars="0"/>
              <w:jc w:val="center"/>
              <w:rPr>
                <w:rFonts w:eastAsia="仿宋"/>
                <w:b/>
                <w:kern w:val="0"/>
                <w:sz w:val="21"/>
                <w:szCs w:val="21"/>
              </w:rPr>
            </w:pPr>
            <w:r>
              <w:rPr>
                <w:rFonts w:eastAsia="仿宋"/>
                <w:b/>
                <w:kern w:val="0"/>
                <w:sz w:val="21"/>
                <w:szCs w:val="21"/>
              </w:rPr>
              <w:t>合格（个）</w:t>
            </w:r>
          </w:p>
        </w:tc>
        <w:tc>
          <w:tcPr>
            <w:tcW w:w="1110" w:type="dxa"/>
            <w:vAlign w:val="center"/>
          </w:tcPr>
          <w:p w14:paraId="55367F88">
            <w:pPr>
              <w:widowControl/>
              <w:spacing w:line="240" w:lineRule="auto"/>
              <w:ind w:firstLine="0" w:firstLineChars="0"/>
              <w:jc w:val="center"/>
              <w:rPr>
                <w:rFonts w:eastAsia="仿宋"/>
                <w:b/>
                <w:kern w:val="0"/>
                <w:sz w:val="21"/>
                <w:szCs w:val="21"/>
              </w:rPr>
            </w:pPr>
            <w:r>
              <w:rPr>
                <w:rFonts w:eastAsia="仿宋"/>
                <w:b/>
                <w:kern w:val="0"/>
                <w:sz w:val="21"/>
                <w:szCs w:val="21"/>
              </w:rPr>
              <w:t>合格率（%）</w:t>
            </w:r>
          </w:p>
        </w:tc>
      </w:tr>
      <w:tr w14:paraId="459F5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2093" w:type="dxa"/>
            <w:vAlign w:val="center"/>
          </w:tcPr>
          <w:p w14:paraId="1CA98ABD">
            <w:pPr>
              <w:widowControl/>
              <w:spacing w:line="240" w:lineRule="auto"/>
              <w:ind w:firstLine="0" w:firstLineChars="0"/>
              <w:jc w:val="center"/>
              <w:rPr>
                <w:kern w:val="0"/>
                <w:sz w:val="21"/>
                <w:szCs w:val="21"/>
              </w:rPr>
            </w:pPr>
            <w:r>
              <w:rPr>
                <w:rFonts w:hint="eastAsia"/>
                <w:kern w:val="0"/>
                <w:sz w:val="21"/>
                <w:szCs w:val="21"/>
              </w:rPr>
              <w:t>园林绿化工程</w:t>
            </w:r>
          </w:p>
        </w:tc>
        <w:tc>
          <w:tcPr>
            <w:tcW w:w="1556" w:type="dxa"/>
            <w:vAlign w:val="center"/>
          </w:tcPr>
          <w:p w14:paraId="1271390A">
            <w:pPr>
              <w:spacing w:line="240" w:lineRule="auto"/>
              <w:ind w:firstLine="0" w:firstLineChars="0"/>
              <w:jc w:val="center"/>
              <w:rPr>
                <w:sz w:val="21"/>
                <w:szCs w:val="21"/>
              </w:rPr>
            </w:pPr>
            <w:r>
              <w:rPr>
                <w:rFonts w:hint="eastAsia"/>
                <w:sz w:val="21"/>
                <w:szCs w:val="21"/>
              </w:rPr>
              <w:t>线网状植被</w:t>
            </w:r>
          </w:p>
        </w:tc>
        <w:tc>
          <w:tcPr>
            <w:tcW w:w="1154" w:type="dxa"/>
            <w:vAlign w:val="center"/>
          </w:tcPr>
          <w:p w14:paraId="49A55A38">
            <w:pPr>
              <w:widowControl/>
              <w:adjustRightInd w:val="0"/>
              <w:snapToGrid w:val="0"/>
              <w:spacing w:line="240" w:lineRule="auto"/>
              <w:ind w:firstLine="0" w:firstLineChars="0"/>
              <w:jc w:val="center"/>
              <w:rPr>
                <w:kern w:val="0"/>
                <w:sz w:val="21"/>
                <w:szCs w:val="21"/>
              </w:rPr>
            </w:pPr>
            <w:r>
              <w:rPr>
                <w:rFonts w:hint="eastAsia"/>
                <w:kern w:val="0"/>
                <w:sz w:val="21"/>
                <w:szCs w:val="21"/>
              </w:rPr>
              <w:t>9</w:t>
            </w:r>
          </w:p>
        </w:tc>
        <w:tc>
          <w:tcPr>
            <w:tcW w:w="1110" w:type="dxa"/>
            <w:vAlign w:val="center"/>
          </w:tcPr>
          <w:p w14:paraId="4EADBFCD">
            <w:pPr>
              <w:widowControl/>
              <w:adjustRightInd w:val="0"/>
              <w:snapToGrid w:val="0"/>
              <w:spacing w:line="240" w:lineRule="auto"/>
              <w:ind w:firstLine="0" w:firstLineChars="0"/>
              <w:jc w:val="center"/>
              <w:rPr>
                <w:kern w:val="0"/>
                <w:sz w:val="21"/>
                <w:szCs w:val="21"/>
              </w:rPr>
            </w:pPr>
            <w:r>
              <w:rPr>
                <w:rFonts w:hint="eastAsia"/>
                <w:kern w:val="0"/>
                <w:sz w:val="21"/>
                <w:szCs w:val="21"/>
              </w:rPr>
              <w:t>9</w:t>
            </w:r>
          </w:p>
        </w:tc>
        <w:tc>
          <w:tcPr>
            <w:tcW w:w="1110" w:type="dxa"/>
            <w:vAlign w:val="center"/>
          </w:tcPr>
          <w:p w14:paraId="7E9656EB">
            <w:pPr>
              <w:widowControl/>
              <w:adjustRightInd w:val="0"/>
              <w:snapToGrid w:val="0"/>
              <w:spacing w:line="240" w:lineRule="auto"/>
              <w:ind w:firstLine="0" w:firstLineChars="0"/>
              <w:jc w:val="center"/>
              <w:rPr>
                <w:kern w:val="0"/>
                <w:sz w:val="21"/>
                <w:szCs w:val="21"/>
              </w:rPr>
            </w:pPr>
            <w:r>
              <w:rPr>
                <w:kern w:val="0"/>
                <w:sz w:val="21"/>
                <w:szCs w:val="21"/>
              </w:rPr>
              <w:t>100</w:t>
            </w:r>
          </w:p>
        </w:tc>
        <w:tc>
          <w:tcPr>
            <w:tcW w:w="1109" w:type="dxa"/>
            <w:vAlign w:val="center"/>
          </w:tcPr>
          <w:p w14:paraId="765B7ADD">
            <w:pPr>
              <w:widowControl/>
              <w:adjustRightInd w:val="0"/>
              <w:snapToGrid w:val="0"/>
              <w:spacing w:line="240" w:lineRule="auto"/>
              <w:ind w:firstLine="0" w:firstLineChars="0"/>
              <w:jc w:val="center"/>
              <w:rPr>
                <w:kern w:val="0"/>
                <w:sz w:val="21"/>
                <w:szCs w:val="21"/>
              </w:rPr>
            </w:pPr>
            <w:r>
              <w:rPr>
                <w:rFonts w:hint="eastAsia"/>
                <w:kern w:val="0"/>
                <w:sz w:val="21"/>
                <w:szCs w:val="21"/>
              </w:rPr>
              <w:t>9</w:t>
            </w:r>
          </w:p>
        </w:tc>
        <w:tc>
          <w:tcPr>
            <w:tcW w:w="1110" w:type="dxa"/>
            <w:vAlign w:val="center"/>
          </w:tcPr>
          <w:p w14:paraId="5673537F">
            <w:pPr>
              <w:widowControl/>
              <w:adjustRightInd w:val="0"/>
              <w:snapToGrid w:val="0"/>
              <w:spacing w:line="240" w:lineRule="auto"/>
              <w:ind w:firstLine="0" w:firstLineChars="0"/>
              <w:jc w:val="center"/>
              <w:rPr>
                <w:rFonts w:eastAsia="仿宋"/>
                <w:kern w:val="0"/>
                <w:sz w:val="21"/>
                <w:szCs w:val="21"/>
              </w:rPr>
            </w:pPr>
            <w:r>
              <w:rPr>
                <w:rFonts w:eastAsia="仿宋"/>
                <w:kern w:val="0"/>
                <w:sz w:val="21"/>
                <w:szCs w:val="21"/>
              </w:rPr>
              <w:t>100</w:t>
            </w:r>
          </w:p>
        </w:tc>
      </w:tr>
    </w:tbl>
    <w:p w14:paraId="66C4B3A8">
      <w:pPr>
        <w:pStyle w:val="3"/>
        <w:rPr>
          <w:rFonts w:eastAsia="宋体"/>
        </w:rPr>
      </w:pPr>
      <w:bookmarkStart w:id="123" w:name="_Toc108445733"/>
      <w:r>
        <w:rPr>
          <w:rFonts w:eastAsia="宋体"/>
        </w:rPr>
        <w:t>4.3 弃渣场稳定性评估</w:t>
      </w:r>
      <w:bookmarkEnd w:id="123"/>
    </w:p>
    <w:p w14:paraId="2420942A">
      <w:r>
        <w:t>本工程</w:t>
      </w:r>
      <w:r>
        <w:rPr>
          <w:rFonts w:hint="eastAsia"/>
        </w:rPr>
        <w:t>不自设弃渣场，</w:t>
      </w:r>
      <w:r>
        <w:t>项目不涉及弃渣场及其稳定性评估。</w:t>
      </w:r>
    </w:p>
    <w:p w14:paraId="2533F54F">
      <w:pPr>
        <w:pStyle w:val="3"/>
        <w:rPr>
          <w:rFonts w:eastAsia="宋体"/>
        </w:rPr>
      </w:pPr>
      <w:bookmarkStart w:id="124" w:name="_Toc108445734"/>
      <w:r>
        <w:rPr>
          <w:rFonts w:eastAsia="宋体"/>
        </w:rPr>
        <w:t>4.4 总体质量评价</w:t>
      </w:r>
      <w:bookmarkEnd w:id="124"/>
    </w:p>
    <w:p w14:paraId="201FE563">
      <w:r>
        <w:t>根据以上调查结果，验收项目组认为：兴宁市亲水公园一区工程项目在建设过程中，基本按照批复的水土保持方案和有关法律法规要求开展了水土流失防治工作，根据水土保持方案和工程实际情况，对项目区施工造成土地扰动区域进行了全面的治理</w:t>
      </w:r>
      <w:r>
        <w:rPr>
          <w:rFonts w:hint="eastAsia"/>
        </w:rPr>
        <w:t>，按照已批复的水土保持方案进行了措施布设，防治效果良好，</w:t>
      </w:r>
      <w:r>
        <w:t>基本</w:t>
      </w:r>
      <w:r>
        <w:rPr>
          <w:rFonts w:hint="eastAsia"/>
        </w:rPr>
        <w:t>满足水土保持需求</w:t>
      </w:r>
      <w:r>
        <w:t>。</w:t>
      </w:r>
    </w:p>
    <w:p w14:paraId="45E6382C">
      <w:r>
        <w:t>该项目实施的水土保持</w:t>
      </w:r>
      <w:r>
        <w:rPr>
          <w:rFonts w:hint="eastAsia"/>
        </w:rPr>
        <w:t>各</w:t>
      </w:r>
      <w:r>
        <w:t>措施布局合理，满足设计要求；完成的措施质量和数量基本符合设计要求，较好地落实了水土保持方案中的措施任务，</w:t>
      </w:r>
      <w:r>
        <w:rPr>
          <w:rFonts w:hint="eastAsia"/>
        </w:rPr>
        <w:t>陆域场内基本绿化硬化，不存在裸露地表，</w:t>
      </w:r>
      <w:r>
        <w:t>有效地控制了开发建设中的水土流失，满足水土保持设施竣工验收条件。</w:t>
      </w:r>
    </w:p>
    <w:bookmarkEnd w:id="5"/>
    <w:p w14:paraId="19B2CC87">
      <w:pPr>
        <w:pStyle w:val="2"/>
      </w:pPr>
      <w:bookmarkStart w:id="125" w:name="_Toc185841977"/>
      <w:bookmarkStart w:id="126" w:name="_Toc223798192"/>
      <w:bookmarkStart w:id="127" w:name="_Toc184045758"/>
      <w:r>
        <w:br w:type="page"/>
      </w:r>
      <w:bookmarkStart w:id="128" w:name="_Toc108445735"/>
      <w:r>
        <w:t>5 工程初期运行及水土保持效果</w:t>
      </w:r>
      <w:bookmarkEnd w:id="128"/>
    </w:p>
    <w:p w14:paraId="69D7BE2C">
      <w:pPr>
        <w:pStyle w:val="3"/>
        <w:rPr>
          <w:rFonts w:eastAsia="宋体"/>
        </w:rPr>
      </w:pPr>
      <w:bookmarkStart w:id="129" w:name="_Toc108445736"/>
      <w:r>
        <w:rPr>
          <w:rFonts w:eastAsia="宋体"/>
        </w:rPr>
        <w:t>5.1 初期运行情况</w:t>
      </w:r>
      <w:bookmarkEnd w:id="129"/>
    </w:p>
    <w:p w14:paraId="6CB97276">
      <w:bookmarkStart w:id="130" w:name="_Toc199823225"/>
      <w:r>
        <w:rPr>
          <w:rFonts w:hint="eastAsia"/>
        </w:rPr>
        <w:t>本</w:t>
      </w:r>
      <w:r>
        <w:t>工程</w:t>
      </w:r>
      <w:r>
        <w:rPr>
          <w:bCs/>
        </w:rPr>
        <w:t>工程</w:t>
      </w:r>
      <w:r>
        <w:rPr>
          <w:rFonts w:hint="eastAsia"/>
          <w:bCs/>
        </w:rPr>
        <w:t>实际动工时间为2019年9月3日，2020年11月30日完工</w:t>
      </w:r>
      <w:r>
        <w:rPr>
          <w:rFonts w:hint="eastAsia"/>
        </w:rPr>
        <w:t>，</w:t>
      </w:r>
      <w:r>
        <w:t>20</w:t>
      </w:r>
      <w:r>
        <w:rPr>
          <w:rFonts w:hint="eastAsia"/>
        </w:rPr>
        <w:t>20</w:t>
      </w:r>
      <w:r>
        <w:t>年</w:t>
      </w:r>
      <w:r>
        <w:rPr>
          <w:rFonts w:hint="eastAsia"/>
        </w:rPr>
        <w:t>12</w:t>
      </w:r>
      <w:r>
        <w:t>月进入试运行期，区内</w:t>
      </w:r>
      <w:r>
        <w:rPr>
          <w:rFonts w:hint="eastAsia"/>
        </w:rPr>
        <w:t>占地</w:t>
      </w:r>
      <w:r>
        <w:t>全部为</w:t>
      </w:r>
      <w:r>
        <w:rPr>
          <w:rFonts w:hint="eastAsia"/>
        </w:rPr>
        <w:t>绿化及</w:t>
      </w:r>
      <w:r>
        <w:t>硬化面，建成后的项目区水土流失得到了有效的控制，各分区的水土流失强度均已明显下降，到目前为止，未发生重大水土流失事件。</w:t>
      </w:r>
    </w:p>
    <w:p w14:paraId="4664AE66">
      <w:pPr>
        <w:pStyle w:val="3"/>
        <w:rPr>
          <w:rFonts w:eastAsia="宋体"/>
        </w:rPr>
      </w:pPr>
      <w:bookmarkStart w:id="131" w:name="_Toc108445737"/>
      <w:r>
        <w:rPr>
          <w:rFonts w:eastAsia="宋体"/>
        </w:rPr>
        <w:t>5.2 水土保持效果</w:t>
      </w:r>
      <w:bookmarkEnd w:id="131"/>
    </w:p>
    <w:p w14:paraId="1E777300">
      <w:pPr>
        <w:pStyle w:val="4"/>
      </w:pPr>
      <w:r>
        <w:t>5.2.1 水土流失治理</w:t>
      </w:r>
    </w:p>
    <w:p w14:paraId="26E03AAF">
      <w:bookmarkStart w:id="132" w:name="_Toc370111199"/>
      <w:bookmarkStart w:id="133" w:name="_Toc330470434"/>
      <w:bookmarkStart w:id="134" w:name="_Toc330474898"/>
      <w:bookmarkStart w:id="135" w:name="_Toc300587478"/>
      <w:bookmarkStart w:id="136" w:name="_Toc332029056"/>
      <w:r>
        <w:t xml:space="preserve">1、 </w:t>
      </w:r>
      <w:bookmarkEnd w:id="132"/>
      <w:bookmarkEnd w:id="133"/>
      <w:bookmarkEnd w:id="134"/>
      <w:bookmarkEnd w:id="135"/>
      <w:bookmarkEnd w:id="136"/>
      <w:r>
        <w:rPr>
          <w:rFonts w:hint="eastAsia"/>
        </w:rPr>
        <w:t>水土流失治理度</w:t>
      </w:r>
    </w:p>
    <w:p w14:paraId="5CA6255C">
      <w:bookmarkStart w:id="137" w:name="_Toc300587479"/>
      <w:r>
        <w:rPr>
          <w:rFonts w:hint="eastAsia"/>
        </w:rPr>
        <w:t>指项目建设区内水土流失治理达标面积占水土流失总面积的百分比，其中水土流失面积包括因项目建设活动导致或诱发的水土流失面积，以及建设区内尚未达到容许土壤流失量的未扰动地表面积，不含水域、硬化及建筑物占地；水土流失防治面积指对水土流失区域采取水土保持措施，并使土壤流失量达到容许土壤流失或以下的面积。</w:t>
      </w:r>
    </w:p>
    <w:p w14:paraId="2ED4ADF8">
      <w:r>
        <w:t>经调查核实，本项目水土流失面积</w:t>
      </w:r>
      <w:r>
        <w:rPr>
          <w:rFonts w:hint="eastAsia"/>
        </w:rPr>
        <w:t>4.09</w:t>
      </w:r>
      <w:r>
        <w:t>hm</w:t>
      </w:r>
      <w:r>
        <w:rPr>
          <w:vertAlign w:val="superscript"/>
        </w:rPr>
        <w:t>2</w:t>
      </w:r>
      <w:r>
        <w:t>，</w:t>
      </w:r>
      <w:r>
        <w:rPr>
          <w:rFonts w:hint="eastAsia"/>
        </w:rPr>
        <w:t>治理达标</w:t>
      </w:r>
      <w:r>
        <w:t>面积为</w:t>
      </w:r>
      <w:r>
        <w:rPr>
          <w:rFonts w:hint="eastAsia"/>
        </w:rPr>
        <w:t>4.09</w:t>
      </w:r>
      <w:r>
        <w:t>hm</w:t>
      </w:r>
      <w:r>
        <w:rPr>
          <w:vertAlign w:val="superscript"/>
        </w:rPr>
        <w:t>2</w:t>
      </w:r>
      <w:r>
        <w:t>，水土流失总治理度为100%。各分区扰动土地整治率详见表5-1。</w:t>
      </w:r>
    </w:p>
    <w:p w14:paraId="7CC929BD">
      <w:pPr>
        <w:spacing w:line="240" w:lineRule="auto"/>
        <w:ind w:firstLine="0" w:firstLineChars="0"/>
        <w:rPr>
          <w:b/>
        </w:rPr>
      </w:pPr>
      <w:r>
        <w:rPr>
          <w:b/>
        </w:rPr>
        <w:t xml:space="preserve">表5-1  </w:t>
      </w:r>
      <w:r>
        <w:rPr>
          <w:rFonts w:hint="eastAsia"/>
          <w:b/>
        </w:rPr>
        <w:t xml:space="preserve">                </w:t>
      </w:r>
      <w:r>
        <w:rPr>
          <w:b/>
        </w:rPr>
        <w:t>各防治分区扰</w:t>
      </w:r>
      <w:r>
        <w:rPr>
          <w:rFonts w:hint="eastAsia"/>
          <w:b/>
        </w:rPr>
        <w:t>水土流失治理度</w:t>
      </w:r>
      <w:r>
        <w:rPr>
          <w:b/>
        </w:rPr>
        <w:t>计算结果</w:t>
      </w:r>
    </w:p>
    <w:tbl>
      <w:tblPr>
        <w:tblStyle w:val="3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594"/>
        <w:gridCol w:w="2372"/>
        <w:gridCol w:w="2372"/>
        <w:gridCol w:w="1948"/>
      </w:tblGrid>
      <w:tr w14:paraId="3911AE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7" w:hRule="atLeast"/>
          <w:jc w:val="center"/>
        </w:trPr>
        <w:tc>
          <w:tcPr>
            <w:tcW w:w="2594" w:type="dxa"/>
            <w:vAlign w:val="center"/>
          </w:tcPr>
          <w:p w14:paraId="36A33BD4">
            <w:pPr>
              <w:widowControl/>
              <w:jc w:val="center"/>
              <w:rPr>
                <w:kern w:val="0"/>
                <w:szCs w:val="21"/>
              </w:rPr>
            </w:pPr>
            <w:bookmarkStart w:id="138" w:name="_Toc330470435"/>
            <w:bookmarkStart w:id="139" w:name="_Toc370111200"/>
            <w:bookmarkStart w:id="140" w:name="_Toc330474899"/>
            <w:bookmarkStart w:id="141" w:name="_Toc332029057"/>
            <w:r>
              <w:rPr>
                <w:kern w:val="0"/>
                <w:szCs w:val="21"/>
              </w:rPr>
              <w:t>防治分区</w:t>
            </w:r>
          </w:p>
        </w:tc>
        <w:tc>
          <w:tcPr>
            <w:tcW w:w="2372" w:type="dxa"/>
            <w:vAlign w:val="center"/>
          </w:tcPr>
          <w:p w14:paraId="3A6406F6">
            <w:pPr>
              <w:widowControl/>
              <w:jc w:val="center"/>
              <w:rPr>
                <w:kern w:val="0"/>
                <w:szCs w:val="21"/>
              </w:rPr>
            </w:pPr>
            <w:r>
              <w:rPr>
                <w:kern w:val="0"/>
                <w:szCs w:val="21"/>
              </w:rPr>
              <w:t>水土流失面积（hm</w:t>
            </w:r>
            <w:r>
              <w:rPr>
                <w:kern w:val="0"/>
                <w:szCs w:val="21"/>
                <w:vertAlign w:val="superscript"/>
              </w:rPr>
              <w:t>2</w:t>
            </w:r>
            <w:r>
              <w:rPr>
                <w:kern w:val="0"/>
                <w:szCs w:val="21"/>
              </w:rPr>
              <w:t>）</w:t>
            </w:r>
          </w:p>
        </w:tc>
        <w:tc>
          <w:tcPr>
            <w:tcW w:w="2372" w:type="dxa"/>
            <w:vAlign w:val="center"/>
          </w:tcPr>
          <w:p w14:paraId="112E8BDE">
            <w:pPr>
              <w:widowControl/>
              <w:jc w:val="center"/>
              <w:rPr>
                <w:kern w:val="0"/>
                <w:szCs w:val="21"/>
              </w:rPr>
            </w:pPr>
            <w:r>
              <w:rPr>
                <w:kern w:val="0"/>
                <w:szCs w:val="21"/>
              </w:rPr>
              <w:t>达标治理面积（hm</w:t>
            </w:r>
            <w:r>
              <w:rPr>
                <w:kern w:val="0"/>
                <w:szCs w:val="21"/>
                <w:vertAlign w:val="superscript"/>
              </w:rPr>
              <w:t>2</w:t>
            </w:r>
            <w:r>
              <w:rPr>
                <w:kern w:val="0"/>
                <w:szCs w:val="21"/>
              </w:rPr>
              <w:t>）</w:t>
            </w:r>
          </w:p>
        </w:tc>
        <w:tc>
          <w:tcPr>
            <w:tcW w:w="1948" w:type="dxa"/>
            <w:vAlign w:val="center"/>
          </w:tcPr>
          <w:p w14:paraId="4EA3D952">
            <w:pPr>
              <w:widowControl/>
              <w:jc w:val="center"/>
              <w:rPr>
                <w:kern w:val="0"/>
                <w:szCs w:val="21"/>
              </w:rPr>
            </w:pPr>
            <w:r>
              <w:rPr>
                <w:kern w:val="0"/>
                <w:szCs w:val="21"/>
              </w:rPr>
              <w:t>水土流失总治理度</w:t>
            </w:r>
          </w:p>
        </w:tc>
      </w:tr>
      <w:tr w14:paraId="7FF315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2594" w:type="dxa"/>
            <w:vAlign w:val="center"/>
          </w:tcPr>
          <w:p w14:paraId="6FBCA24A">
            <w:pPr>
              <w:widowControl/>
              <w:jc w:val="center"/>
              <w:rPr>
                <w:kern w:val="0"/>
                <w:szCs w:val="21"/>
              </w:rPr>
            </w:pPr>
            <w:r>
              <w:rPr>
                <w:rFonts w:hint="eastAsia"/>
                <w:kern w:val="0"/>
                <w:szCs w:val="21"/>
              </w:rPr>
              <w:t>绿化观赏区</w:t>
            </w:r>
          </w:p>
        </w:tc>
        <w:tc>
          <w:tcPr>
            <w:tcW w:w="2372" w:type="dxa"/>
            <w:vAlign w:val="center"/>
          </w:tcPr>
          <w:p w14:paraId="3F63B5EB">
            <w:pPr>
              <w:jc w:val="center"/>
              <w:rPr>
                <w:rFonts w:ascii="宋体" w:hAnsi="宋体" w:cs="宋体"/>
                <w:color w:val="000000"/>
                <w:szCs w:val="21"/>
              </w:rPr>
            </w:pPr>
            <w:r>
              <w:rPr>
                <w:rFonts w:hint="eastAsia" w:ascii="宋体" w:hAnsi="宋体" w:cs="宋体"/>
                <w:color w:val="000000"/>
                <w:szCs w:val="21"/>
              </w:rPr>
              <w:t>3.89</w:t>
            </w:r>
          </w:p>
        </w:tc>
        <w:tc>
          <w:tcPr>
            <w:tcW w:w="2372" w:type="dxa"/>
            <w:vAlign w:val="center"/>
          </w:tcPr>
          <w:p w14:paraId="26AC9EB7">
            <w:pPr>
              <w:jc w:val="center"/>
              <w:rPr>
                <w:rFonts w:ascii="宋体" w:hAnsi="宋体" w:cs="宋体"/>
                <w:color w:val="000000"/>
                <w:szCs w:val="21"/>
              </w:rPr>
            </w:pPr>
            <w:r>
              <w:rPr>
                <w:rFonts w:hint="eastAsia" w:ascii="宋体" w:hAnsi="宋体" w:cs="宋体"/>
                <w:color w:val="000000"/>
                <w:szCs w:val="21"/>
              </w:rPr>
              <w:t>3.89</w:t>
            </w:r>
          </w:p>
        </w:tc>
        <w:tc>
          <w:tcPr>
            <w:tcW w:w="1948" w:type="dxa"/>
            <w:vAlign w:val="center"/>
          </w:tcPr>
          <w:p w14:paraId="7E275219">
            <w:pPr>
              <w:widowControl/>
              <w:jc w:val="center"/>
              <w:rPr>
                <w:kern w:val="0"/>
                <w:szCs w:val="21"/>
              </w:rPr>
            </w:pPr>
            <w:r>
              <w:rPr>
                <w:rFonts w:hint="eastAsia"/>
                <w:kern w:val="0"/>
                <w:szCs w:val="21"/>
              </w:rPr>
              <w:t>100%</w:t>
            </w:r>
          </w:p>
        </w:tc>
      </w:tr>
      <w:tr w14:paraId="79F4F7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2594" w:type="dxa"/>
            <w:vAlign w:val="center"/>
          </w:tcPr>
          <w:p w14:paraId="01DA1731">
            <w:pPr>
              <w:widowControl/>
              <w:jc w:val="center"/>
              <w:rPr>
                <w:kern w:val="0"/>
                <w:szCs w:val="21"/>
              </w:rPr>
            </w:pPr>
            <w:r>
              <w:rPr>
                <w:rFonts w:hint="eastAsia"/>
                <w:kern w:val="0"/>
                <w:szCs w:val="21"/>
              </w:rPr>
              <w:t>河床区</w:t>
            </w:r>
          </w:p>
        </w:tc>
        <w:tc>
          <w:tcPr>
            <w:tcW w:w="2372" w:type="dxa"/>
            <w:vAlign w:val="center"/>
          </w:tcPr>
          <w:p w14:paraId="307A36CA">
            <w:pPr>
              <w:jc w:val="center"/>
              <w:rPr>
                <w:rFonts w:ascii="宋体" w:hAnsi="宋体" w:cs="宋体"/>
                <w:color w:val="000000"/>
                <w:szCs w:val="21"/>
              </w:rPr>
            </w:pPr>
            <w:r>
              <w:rPr>
                <w:rFonts w:hint="eastAsia" w:ascii="宋体" w:hAnsi="宋体" w:cs="宋体"/>
                <w:color w:val="000000"/>
                <w:szCs w:val="21"/>
              </w:rPr>
              <w:t>/</w:t>
            </w:r>
          </w:p>
        </w:tc>
        <w:tc>
          <w:tcPr>
            <w:tcW w:w="2372" w:type="dxa"/>
            <w:vAlign w:val="center"/>
          </w:tcPr>
          <w:p w14:paraId="01CB1EAE">
            <w:pPr>
              <w:jc w:val="center"/>
              <w:rPr>
                <w:rFonts w:ascii="宋体" w:hAnsi="宋体" w:cs="宋体"/>
                <w:color w:val="000000"/>
                <w:szCs w:val="21"/>
              </w:rPr>
            </w:pPr>
            <w:r>
              <w:rPr>
                <w:rFonts w:hint="eastAsia" w:ascii="宋体" w:hAnsi="宋体" w:cs="宋体"/>
                <w:color w:val="000000"/>
                <w:szCs w:val="21"/>
              </w:rPr>
              <w:t>/</w:t>
            </w:r>
          </w:p>
        </w:tc>
        <w:tc>
          <w:tcPr>
            <w:tcW w:w="1948" w:type="dxa"/>
            <w:vAlign w:val="center"/>
          </w:tcPr>
          <w:p w14:paraId="1B37B5C7">
            <w:pPr>
              <w:widowControl/>
              <w:jc w:val="center"/>
              <w:rPr>
                <w:kern w:val="0"/>
                <w:szCs w:val="21"/>
              </w:rPr>
            </w:pPr>
            <w:r>
              <w:rPr>
                <w:rFonts w:hint="eastAsia"/>
                <w:kern w:val="0"/>
                <w:szCs w:val="21"/>
              </w:rPr>
              <w:t>/</w:t>
            </w:r>
          </w:p>
        </w:tc>
      </w:tr>
      <w:tr w14:paraId="5C390D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2594" w:type="dxa"/>
            <w:vAlign w:val="center"/>
          </w:tcPr>
          <w:p w14:paraId="2DF88460">
            <w:pPr>
              <w:widowControl/>
              <w:jc w:val="center"/>
              <w:rPr>
                <w:kern w:val="0"/>
                <w:szCs w:val="21"/>
              </w:rPr>
            </w:pPr>
            <w:r>
              <w:rPr>
                <w:rFonts w:hint="eastAsia"/>
                <w:kern w:val="0"/>
                <w:szCs w:val="21"/>
              </w:rPr>
              <w:t>道路及广场区</w:t>
            </w:r>
          </w:p>
        </w:tc>
        <w:tc>
          <w:tcPr>
            <w:tcW w:w="2372" w:type="dxa"/>
            <w:vAlign w:val="center"/>
          </w:tcPr>
          <w:p w14:paraId="1717A2AE">
            <w:pPr>
              <w:jc w:val="center"/>
              <w:rPr>
                <w:color w:val="000000"/>
                <w:szCs w:val="21"/>
              </w:rPr>
            </w:pPr>
            <w:r>
              <w:rPr>
                <w:rFonts w:hint="eastAsia"/>
                <w:color w:val="000000"/>
                <w:szCs w:val="21"/>
              </w:rPr>
              <w:t>0.2</w:t>
            </w:r>
          </w:p>
        </w:tc>
        <w:tc>
          <w:tcPr>
            <w:tcW w:w="2372" w:type="dxa"/>
            <w:vAlign w:val="center"/>
          </w:tcPr>
          <w:p w14:paraId="30F8A656">
            <w:pPr>
              <w:jc w:val="center"/>
              <w:rPr>
                <w:color w:val="000000"/>
                <w:szCs w:val="21"/>
              </w:rPr>
            </w:pPr>
            <w:r>
              <w:rPr>
                <w:rFonts w:hint="eastAsia"/>
                <w:color w:val="000000"/>
                <w:szCs w:val="21"/>
              </w:rPr>
              <w:t>0.2</w:t>
            </w:r>
          </w:p>
        </w:tc>
        <w:tc>
          <w:tcPr>
            <w:tcW w:w="1948" w:type="dxa"/>
            <w:vAlign w:val="center"/>
          </w:tcPr>
          <w:p w14:paraId="3F154864">
            <w:pPr>
              <w:widowControl/>
              <w:jc w:val="center"/>
              <w:rPr>
                <w:kern w:val="0"/>
                <w:szCs w:val="21"/>
              </w:rPr>
            </w:pPr>
            <w:r>
              <w:rPr>
                <w:rFonts w:hint="eastAsia"/>
                <w:kern w:val="0"/>
                <w:szCs w:val="21"/>
              </w:rPr>
              <w:t>100%</w:t>
            </w:r>
          </w:p>
        </w:tc>
      </w:tr>
      <w:tr w14:paraId="7A58C9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2594" w:type="dxa"/>
            <w:vAlign w:val="center"/>
          </w:tcPr>
          <w:p w14:paraId="366D1B87">
            <w:pPr>
              <w:widowControl/>
              <w:ind w:firstLine="482"/>
              <w:jc w:val="center"/>
              <w:rPr>
                <w:b/>
                <w:kern w:val="0"/>
                <w:szCs w:val="21"/>
              </w:rPr>
            </w:pPr>
            <w:r>
              <w:rPr>
                <w:b/>
                <w:kern w:val="0"/>
                <w:szCs w:val="21"/>
              </w:rPr>
              <w:t>合计</w:t>
            </w:r>
          </w:p>
        </w:tc>
        <w:tc>
          <w:tcPr>
            <w:tcW w:w="2372" w:type="dxa"/>
            <w:vAlign w:val="center"/>
          </w:tcPr>
          <w:p w14:paraId="60D35398">
            <w:pPr>
              <w:ind w:firstLine="482"/>
              <w:jc w:val="center"/>
              <w:rPr>
                <w:rFonts w:ascii="宋体" w:hAnsi="宋体" w:cs="宋体"/>
                <w:b/>
                <w:color w:val="000000"/>
                <w:szCs w:val="21"/>
              </w:rPr>
            </w:pPr>
            <w:r>
              <w:rPr>
                <w:rFonts w:hint="eastAsia"/>
                <w:b/>
                <w:color w:val="000000"/>
                <w:szCs w:val="21"/>
              </w:rPr>
              <w:t>4.09</w:t>
            </w:r>
          </w:p>
        </w:tc>
        <w:tc>
          <w:tcPr>
            <w:tcW w:w="2372" w:type="dxa"/>
            <w:vAlign w:val="center"/>
          </w:tcPr>
          <w:p w14:paraId="64E76967">
            <w:pPr>
              <w:ind w:firstLine="482"/>
              <w:jc w:val="center"/>
              <w:rPr>
                <w:rFonts w:ascii="宋体" w:hAnsi="宋体" w:cs="宋体"/>
                <w:b/>
                <w:color w:val="000000"/>
                <w:szCs w:val="21"/>
              </w:rPr>
            </w:pPr>
            <w:r>
              <w:rPr>
                <w:rFonts w:hint="eastAsia"/>
                <w:b/>
                <w:color w:val="000000"/>
                <w:szCs w:val="21"/>
              </w:rPr>
              <w:t>4.09</w:t>
            </w:r>
          </w:p>
        </w:tc>
        <w:tc>
          <w:tcPr>
            <w:tcW w:w="1948" w:type="dxa"/>
            <w:vAlign w:val="center"/>
          </w:tcPr>
          <w:p w14:paraId="1826F76D">
            <w:pPr>
              <w:widowControl/>
              <w:ind w:firstLine="482"/>
              <w:jc w:val="center"/>
              <w:rPr>
                <w:b/>
                <w:kern w:val="0"/>
                <w:szCs w:val="21"/>
              </w:rPr>
            </w:pPr>
            <w:r>
              <w:rPr>
                <w:b/>
                <w:kern w:val="0"/>
                <w:szCs w:val="21"/>
              </w:rPr>
              <w:t>100%</w:t>
            </w:r>
          </w:p>
        </w:tc>
      </w:tr>
    </w:tbl>
    <w:p w14:paraId="148F8B19"/>
    <w:p w14:paraId="70036D73">
      <w:r>
        <w:t>2 、</w:t>
      </w:r>
      <w:bookmarkEnd w:id="137"/>
      <w:bookmarkEnd w:id="138"/>
      <w:bookmarkEnd w:id="139"/>
      <w:bookmarkEnd w:id="140"/>
      <w:bookmarkEnd w:id="141"/>
      <w:r>
        <w:rPr>
          <w:rFonts w:hint="eastAsia"/>
        </w:rPr>
        <w:t>土壤流失控制比</w:t>
      </w:r>
    </w:p>
    <w:p w14:paraId="05FE1493">
      <w:pPr>
        <w:rPr>
          <w:bCs/>
        </w:rPr>
      </w:pPr>
      <w:bookmarkStart w:id="142" w:name="_Toc300587480"/>
      <w:r>
        <w:t>土壤流失控制比是指项目建设区防治责任范围内的容许土壤流失量与治理后的平均土壤流失强度之比。项目区土壤容许流失量为</w:t>
      </w:r>
      <w:r>
        <w:rPr>
          <w:bCs/>
        </w:rPr>
        <w:t>500t/</w:t>
      </w:r>
      <w:r>
        <w:rPr>
          <w:rFonts w:hint="eastAsia"/>
          <w:bCs/>
        </w:rPr>
        <w:t>(</w:t>
      </w:r>
      <w:r>
        <w:rPr>
          <w:bCs/>
        </w:rPr>
        <w:t>km</w:t>
      </w:r>
      <w:r>
        <w:rPr>
          <w:bCs/>
          <w:vertAlign w:val="superscript"/>
        </w:rPr>
        <w:t>2</w:t>
      </w:r>
      <w:r>
        <w:rPr>
          <w:bCs/>
        </w:rPr>
        <w:t>.a</w:t>
      </w:r>
      <w:r>
        <w:rPr>
          <w:rFonts w:hint="eastAsia"/>
          <w:bCs/>
        </w:rPr>
        <w:t>)</w:t>
      </w:r>
      <w:r>
        <w:rPr>
          <w:bCs/>
        </w:rPr>
        <w:t>。通过巡查监测，项目</w:t>
      </w:r>
      <w:r>
        <w:t>区</w:t>
      </w:r>
      <w:r>
        <w:rPr>
          <w:bCs/>
        </w:rPr>
        <w:t>自然植被恢复期各防治分区都已经布设了完善的防护体系，治理措施到位，平均土壤流失强度已经达到微度。项目区自然植被恢复期平均土壤侵蚀模数为500t/</w:t>
      </w:r>
      <w:r>
        <w:rPr>
          <w:rFonts w:hint="eastAsia"/>
          <w:bCs/>
        </w:rPr>
        <w:t>(</w:t>
      </w:r>
      <w:r>
        <w:rPr>
          <w:bCs/>
        </w:rPr>
        <w:t>km</w:t>
      </w:r>
      <w:r>
        <w:rPr>
          <w:bCs/>
          <w:vertAlign w:val="superscript"/>
        </w:rPr>
        <w:t>2</w:t>
      </w:r>
      <w:r>
        <w:rPr>
          <w:bCs/>
        </w:rPr>
        <w:t>.a</w:t>
      </w:r>
      <w:r>
        <w:rPr>
          <w:rFonts w:hint="eastAsia"/>
          <w:bCs/>
        </w:rPr>
        <w:t>)</w:t>
      </w:r>
      <w:r>
        <w:rPr>
          <w:bCs/>
        </w:rPr>
        <w:t>以下，土壤流失控制比为1.0。</w:t>
      </w:r>
    </w:p>
    <w:p w14:paraId="670872A1">
      <w:bookmarkStart w:id="143" w:name="_Toc332029058"/>
      <w:bookmarkStart w:id="144" w:name="_Toc370111201"/>
      <w:bookmarkStart w:id="145" w:name="_Toc330474900"/>
      <w:bookmarkStart w:id="146" w:name="_Toc330470436"/>
      <w:r>
        <w:t>3 、</w:t>
      </w:r>
      <w:bookmarkEnd w:id="142"/>
      <w:bookmarkEnd w:id="143"/>
      <w:bookmarkEnd w:id="144"/>
      <w:bookmarkEnd w:id="145"/>
      <w:bookmarkEnd w:id="146"/>
      <w:r>
        <w:rPr>
          <w:rFonts w:hint="eastAsia"/>
        </w:rPr>
        <w:t>渣土防护率</w:t>
      </w:r>
    </w:p>
    <w:p w14:paraId="79391D69">
      <w:pPr>
        <w:rPr>
          <w:bCs/>
        </w:rPr>
      </w:pPr>
      <w:bookmarkStart w:id="147" w:name="_Toc300587481"/>
      <w:r>
        <w:rPr>
          <w:rFonts w:hint="eastAsia"/>
          <w:bCs/>
        </w:rPr>
        <w:t>指项目建设区内采取措施实际拦挡的弃土（石、渣）量占工程弃土（石、渣）总量的百分比，其中弃渣总量包括临时弃土弃渣量。本工程无永久弃方，考虑雨季施工的土壤流失量和运输过程的流失量，拦渣率可达到99</w:t>
      </w:r>
      <w:r>
        <w:rPr>
          <w:bCs/>
        </w:rPr>
        <w:t>%</w:t>
      </w:r>
      <w:r>
        <w:rPr>
          <w:rFonts w:hint="eastAsia"/>
          <w:bCs/>
        </w:rPr>
        <w:t>。</w:t>
      </w:r>
    </w:p>
    <w:p w14:paraId="390D21FA">
      <w:bookmarkStart w:id="148" w:name="_Toc370111202"/>
      <w:bookmarkStart w:id="149" w:name="_Toc330474901"/>
      <w:bookmarkStart w:id="150" w:name="_Toc332029059"/>
      <w:bookmarkStart w:id="151" w:name="_Toc330470437"/>
      <w:r>
        <w:t>4 、</w:t>
      </w:r>
      <w:bookmarkEnd w:id="147"/>
      <w:bookmarkEnd w:id="148"/>
      <w:bookmarkEnd w:id="149"/>
      <w:bookmarkEnd w:id="150"/>
      <w:bookmarkEnd w:id="151"/>
      <w:r>
        <w:rPr>
          <w:rFonts w:hint="eastAsia"/>
        </w:rPr>
        <w:t>表土保护</w:t>
      </w:r>
      <w:r>
        <w:t>率</w:t>
      </w:r>
    </w:p>
    <w:p w14:paraId="28224B74">
      <w:pPr>
        <w:rPr>
          <w:bCs/>
        </w:rPr>
      </w:pPr>
      <w:bookmarkStart w:id="152" w:name="_Toc292361741"/>
      <w:bookmarkStart w:id="153" w:name="_Toc274662759"/>
      <w:bookmarkStart w:id="154" w:name="_Toc249753936"/>
      <w:bookmarkStart w:id="155" w:name="_Toc260820640"/>
      <w:r>
        <w:rPr>
          <w:rFonts w:hint="eastAsia"/>
          <w:bCs/>
        </w:rPr>
        <w:t>表土剥离及回覆已经完成，现场未发现表土堆放，考虑雨季施工的</w:t>
      </w:r>
      <w:bookmarkStart w:id="203" w:name="_GoBack"/>
      <w:bookmarkEnd w:id="203"/>
      <w:r>
        <w:rPr>
          <w:rFonts w:hint="eastAsia"/>
          <w:bCs/>
        </w:rPr>
        <w:t>土壤流失量和运输过程的流失量，表土保护率可达到92</w:t>
      </w:r>
      <w:r>
        <w:rPr>
          <w:bCs/>
        </w:rPr>
        <w:t>%</w:t>
      </w:r>
      <w:r>
        <w:rPr>
          <w:rFonts w:hint="eastAsia"/>
          <w:bCs/>
        </w:rPr>
        <w:t>。</w:t>
      </w:r>
    </w:p>
    <w:bookmarkEnd w:id="152"/>
    <w:bookmarkEnd w:id="153"/>
    <w:bookmarkEnd w:id="154"/>
    <w:bookmarkEnd w:id="155"/>
    <w:p w14:paraId="6CE738F7">
      <w:pPr>
        <w:pStyle w:val="4"/>
      </w:pPr>
      <w:r>
        <w:t>5.2.2 生态环境和土地生产力恢复</w:t>
      </w:r>
    </w:p>
    <w:p w14:paraId="14723F25">
      <w:r>
        <w:t>项目</w:t>
      </w:r>
      <w:r>
        <w:rPr>
          <w:rFonts w:hint="eastAsia"/>
        </w:rPr>
        <w:t>已批复水土保持方案中布设了</w:t>
      </w:r>
      <w:r>
        <w:t>植物措施</w:t>
      </w:r>
      <w:r>
        <w:rPr>
          <w:rFonts w:hint="eastAsia"/>
        </w:rPr>
        <w:t>景观绿化4.09hm</w:t>
      </w:r>
      <w:r>
        <w:rPr>
          <w:rFonts w:hint="eastAsia"/>
          <w:vertAlign w:val="superscript"/>
        </w:rPr>
        <w:t>2</w:t>
      </w:r>
      <w:r>
        <w:rPr>
          <w:rFonts w:hint="eastAsia"/>
        </w:rPr>
        <w:t>，包括花卉、植草砖、乔灌木、竹类、攀缘植物等</w:t>
      </w:r>
      <w:r>
        <w:t>。</w:t>
      </w:r>
      <w:r>
        <w:rPr>
          <w:rFonts w:hint="eastAsia"/>
        </w:rPr>
        <w:t>项目实际施工过程中，实施绿化</w:t>
      </w:r>
      <w:r>
        <w:t>面积为</w:t>
      </w:r>
      <w:r>
        <w:rPr>
          <w:rFonts w:hint="eastAsia"/>
        </w:rPr>
        <w:t>1.03</w:t>
      </w:r>
      <w:r>
        <w:t>hm</w:t>
      </w:r>
      <w:r>
        <w:rPr>
          <w:vertAlign w:val="superscript"/>
        </w:rPr>
        <w:t>2</w:t>
      </w:r>
      <w:r>
        <w:t>，工程可绿化面积</w:t>
      </w:r>
      <w:r>
        <w:rPr>
          <w:rFonts w:hint="eastAsia"/>
        </w:rPr>
        <w:t>1.03</w:t>
      </w:r>
      <w:r>
        <w:t>hm</w:t>
      </w:r>
      <w:r>
        <w:rPr>
          <w:vertAlign w:val="superscript"/>
        </w:rPr>
        <w:t>2</w:t>
      </w:r>
      <w:r>
        <w:t>，林草植被恢复率</w:t>
      </w:r>
      <w:r>
        <w:rPr>
          <w:rFonts w:hint="eastAsia"/>
        </w:rPr>
        <w:t>为100%，</w:t>
      </w:r>
      <w:r>
        <w:t>林草覆盖率</w:t>
      </w:r>
      <w:r>
        <w:rPr>
          <w:rFonts w:hint="eastAsia"/>
        </w:rPr>
        <w:t>达43.7%</w:t>
      </w:r>
      <w:r>
        <w:t>。各分区林草植被恢复率及林草覆盖率情况见表5-3。</w:t>
      </w:r>
    </w:p>
    <w:p w14:paraId="53283661">
      <w:pPr>
        <w:spacing w:line="240" w:lineRule="auto"/>
        <w:ind w:firstLine="0" w:firstLineChars="0"/>
        <w:rPr>
          <w:b/>
        </w:rPr>
      </w:pPr>
      <w:r>
        <w:rPr>
          <w:b/>
        </w:rPr>
        <w:t xml:space="preserve">表5-3  </w:t>
      </w:r>
      <w:r>
        <w:rPr>
          <w:rFonts w:hint="eastAsia"/>
          <w:b/>
        </w:rPr>
        <w:t xml:space="preserve">                </w:t>
      </w:r>
      <w:r>
        <w:rPr>
          <w:b/>
        </w:rPr>
        <w:t>林草植被恢复率及林草覆盖率计算表</w:t>
      </w:r>
    </w:p>
    <w:tbl>
      <w:tblPr>
        <w:tblStyle w:val="32"/>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321"/>
        <w:gridCol w:w="2322"/>
        <w:gridCol w:w="2321"/>
        <w:gridCol w:w="2322"/>
      </w:tblGrid>
      <w:tr w14:paraId="1FE012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6" w:hRule="atLeast"/>
        </w:trPr>
        <w:tc>
          <w:tcPr>
            <w:tcW w:w="2321" w:type="dxa"/>
            <w:vAlign w:val="center"/>
          </w:tcPr>
          <w:p w14:paraId="07C01688">
            <w:pPr>
              <w:widowControl/>
              <w:jc w:val="center"/>
              <w:rPr>
                <w:kern w:val="0"/>
                <w:szCs w:val="21"/>
              </w:rPr>
            </w:pPr>
            <w:r>
              <w:rPr>
                <w:kern w:val="0"/>
                <w:szCs w:val="21"/>
              </w:rPr>
              <w:t>防治分区</w:t>
            </w:r>
          </w:p>
        </w:tc>
        <w:tc>
          <w:tcPr>
            <w:tcW w:w="2322" w:type="dxa"/>
            <w:vAlign w:val="center"/>
          </w:tcPr>
          <w:p w14:paraId="21F60A9C">
            <w:pPr>
              <w:widowControl/>
              <w:jc w:val="center"/>
              <w:rPr>
                <w:kern w:val="0"/>
                <w:szCs w:val="21"/>
              </w:rPr>
            </w:pPr>
            <w:r>
              <w:rPr>
                <w:kern w:val="0"/>
                <w:szCs w:val="21"/>
              </w:rPr>
              <w:t>项目建设区面积</w:t>
            </w:r>
            <w:r>
              <w:rPr>
                <w:rFonts w:hint="eastAsia"/>
                <w:kern w:val="0"/>
                <w:szCs w:val="21"/>
              </w:rPr>
              <w:t>（hm</w:t>
            </w:r>
            <w:r>
              <w:rPr>
                <w:rFonts w:hint="eastAsia"/>
                <w:kern w:val="0"/>
                <w:szCs w:val="21"/>
                <w:vertAlign w:val="superscript"/>
              </w:rPr>
              <w:t>2</w:t>
            </w:r>
            <w:r>
              <w:rPr>
                <w:rFonts w:hint="eastAsia"/>
                <w:kern w:val="0"/>
                <w:szCs w:val="21"/>
              </w:rPr>
              <w:t>）</w:t>
            </w:r>
          </w:p>
        </w:tc>
        <w:tc>
          <w:tcPr>
            <w:tcW w:w="2321" w:type="dxa"/>
            <w:vAlign w:val="center"/>
          </w:tcPr>
          <w:p w14:paraId="223148CD">
            <w:pPr>
              <w:widowControl/>
              <w:jc w:val="center"/>
              <w:rPr>
                <w:kern w:val="0"/>
                <w:szCs w:val="21"/>
              </w:rPr>
            </w:pPr>
            <w:r>
              <w:rPr>
                <w:kern w:val="0"/>
                <w:szCs w:val="21"/>
              </w:rPr>
              <w:t>植物措施面积</w:t>
            </w:r>
            <w:r>
              <w:rPr>
                <w:rFonts w:hint="eastAsia"/>
                <w:kern w:val="0"/>
                <w:szCs w:val="21"/>
              </w:rPr>
              <w:t>（hm</w:t>
            </w:r>
            <w:r>
              <w:rPr>
                <w:rFonts w:hint="eastAsia"/>
                <w:kern w:val="0"/>
                <w:szCs w:val="21"/>
                <w:vertAlign w:val="superscript"/>
              </w:rPr>
              <w:t>2</w:t>
            </w:r>
            <w:r>
              <w:rPr>
                <w:rFonts w:hint="eastAsia"/>
                <w:kern w:val="0"/>
                <w:szCs w:val="21"/>
              </w:rPr>
              <w:t>）</w:t>
            </w:r>
          </w:p>
        </w:tc>
        <w:tc>
          <w:tcPr>
            <w:tcW w:w="2322" w:type="dxa"/>
            <w:vAlign w:val="center"/>
          </w:tcPr>
          <w:p w14:paraId="77FB60B4">
            <w:pPr>
              <w:widowControl/>
              <w:jc w:val="center"/>
              <w:rPr>
                <w:kern w:val="0"/>
                <w:szCs w:val="21"/>
              </w:rPr>
            </w:pPr>
            <w:r>
              <w:rPr>
                <w:kern w:val="0"/>
                <w:szCs w:val="21"/>
              </w:rPr>
              <w:t>林草覆盖率</w:t>
            </w:r>
          </w:p>
        </w:tc>
      </w:tr>
      <w:tr w14:paraId="1F9C32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2321" w:type="dxa"/>
            <w:vAlign w:val="center"/>
          </w:tcPr>
          <w:p w14:paraId="6E533442">
            <w:pPr>
              <w:widowControl/>
              <w:jc w:val="center"/>
              <w:rPr>
                <w:kern w:val="0"/>
                <w:szCs w:val="21"/>
              </w:rPr>
            </w:pPr>
            <w:r>
              <w:rPr>
                <w:rFonts w:hint="eastAsia"/>
                <w:kern w:val="0"/>
                <w:szCs w:val="21"/>
              </w:rPr>
              <w:t>绿化观赏区</w:t>
            </w:r>
          </w:p>
        </w:tc>
        <w:tc>
          <w:tcPr>
            <w:tcW w:w="2322" w:type="dxa"/>
            <w:vAlign w:val="center"/>
          </w:tcPr>
          <w:p w14:paraId="000F9122">
            <w:pPr>
              <w:widowControl/>
              <w:jc w:val="center"/>
              <w:rPr>
                <w:kern w:val="0"/>
                <w:szCs w:val="21"/>
              </w:rPr>
            </w:pPr>
            <w:r>
              <w:rPr>
                <w:rFonts w:hint="eastAsia"/>
                <w:kern w:val="0"/>
                <w:szCs w:val="21"/>
              </w:rPr>
              <w:t>3.89</w:t>
            </w:r>
          </w:p>
        </w:tc>
        <w:tc>
          <w:tcPr>
            <w:tcW w:w="2321" w:type="dxa"/>
            <w:vAlign w:val="center"/>
          </w:tcPr>
          <w:p w14:paraId="59673C5D">
            <w:pPr>
              <w:widowControl/>
              <w:jc w:val="center"/>
              <w:rPr>
                <w:kern w:val="0"/>
                <w:szCs w:val="21"/>
              </w:rPr>
            </w:pPr>
            <w:r>
              <w:rPr>
                <w:rFonts w:hint="eastAsia"/>
                <w:kern w:val="0"/>
                <w:szCs w:val="21"/>
              </w:rPr>
              <w:t>3.89</w:t>
            </w:r>
          </w:p>
        </w:tc>
        <w:tc>
          <w:tcPr>
            <w:tcW w:w="2322" w:type="dxa"/>
            <w:vAlign w:val="center"/>
          </w:tcPr>
          <w:p w14:paraId="652483FD">
            <w:pPr>
              <w:widowControl/>
              <w:jc w:val="center"/>
              <w:rPr>
                <w:kern w:val="0"/>
                <w:szCs w:val="21"/>
              </w:rPr>
            </w:pPr>
            <w:r>
              <w:rPr>
                <w:rFonts w:hint="eastAsia"/>
                <w:kern w:val="0"/>
                <w:szCs w:val="21"/>
              </w:rPr>
              <w:t>——</w:t>
            </w:r>
          </w:p>
        </w:tc>
      </w:tr>
      <w:tr w14:paraId="7C8EDE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2321" w:type="dxa"/>
            <w:vAlign w:val="center"/>
          </w:tcPr>
          <w:p w14:paraId="54EA4D32">
            <w:pPr>
              <w:widowControl/>
              <w:jc w:val="center"/>
              <w:rPr>
                <w:kern w:val="0"/>
                <w:szCs w:val="21"/>
              </w:rPr>
            </w:pPr>
            <w:r>
              <w:rPr>
                <w:rFonts w:hint="eastAsia"/>
                <w:kern w:val="0"/>
                <w:szCs w:val="21"/>
              </w:rPr>
              <w:t>河床区</w:t>
            </w:r>
          </w:p>
        </w:tc>
        <w:tc>
          <w:tcPr>
            <w:tcW w:w="2322" w:type="dxa"/>
            <w:vAlign w:val="center"/>
          </w:tcPr>
          <w:p w14:paraId="5D10E7D6">
            <w:pPr>
              <w:widowControl/>
              <w:jc w:val="center"/>
              <w:rPr>
                <w:kern w:val="0"/>
                <w:szCs w:val="21"/>
              </w:rPr>
            </w:pPr>
            <w:r>
              <w:rPr>
                <w:rFonts w:hint="eastAsia"/>
                <w:kern w:val="0"/>
                <w:szCs w:val="21"/>
              </w:rPr>
              <w:t>0.49</w:t>
            </w:r>
          </w:p>
        </w:tc>
        <w:tc>
          <w:tcPr>
            <w:tcW w:w="2321" w:type="dxa"/>
            <w:vAlign w:val="center"/>
          </w:tcPr>
          <w:p w14:paraId="0773FF57">
            <w:pPr>
              <w:widowControl/>
              <w:jc w:val="center"/>
              <w:rPr>
                <w:kern w:val="0"/>
                <w:szCs w:val="21"/>
              </w:rPr>
            </w:pPr>
            <w:r>
              <w:rPr>
                <w:rFonts w:hint="eastAsia"/>
                <w:kern w:val="0"/>
                <w:szCs w:val="21"/>
              </w:rPr>
              <w:t>/</w:t>
            </w:r>
          </w:p>
        </w:tc>
        <w:tc>
          <w:tcPr>
            <w:tcW w:w="2322" w:type="dxa"/>
            <w:vAlign w:val="center"/>
          </w:tcPr>
          <w:p w14:paraId="0D41E657">
            <w:pPr>
              <w:widowControl/>
              <w:jc w:val="center"/>
              <w:rPr>
                <w:kern w:val="0"/>
                <w:szCs w:val="21"/>
              </w:rPr>
            </w:pPr>
            <w:r>
              <w:rPr>
                <w:rFonts w:hint="eastAsia"/>
                <w:kern w:val="0"/>
                <w:szCs w:val="21"/>
              </w:rPr>
              <w:t>——</w:t>
            </w:r>
          </w:p>
        </w:tc>
      </w:tr>
      <w:tr w14:paraId="2C8E88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2321" w:type="dxa"/>
            <w:vAlign w:val="center"/>
          </w:tcPr>
          <w:p w14:paraId="4D726398">
            <w:pPr>
              <w:widowControl/>
              <w:jc w:val="center"/>
              <w:rPr>
                <w:kern w:val="0"/>
                <w:szCs w:val="21"/>
              </w:rPr>
            </w:pPr>
            <w:r>
              <w:rPr>
                <w:rFonts w:hint="eastAsia"/>
                <w:kern w:val="0"/>
                <w:szCs w:val="21"/>
              </w:rPr>
              <w:t>道路及广场区</w:t>
            </w:r>
          </w:p>
        </w:tc>
        <w:tc>
          <w:tcPr>
            <w:tcW w:w="2322" w:type="dxa"/>
            <w:vAlign w:val="center"/>
          </w:tcPr>
          <w:p w14:paraId="25271699">
            <w:pPr>
              <w:widowControl/>
              <w:jc w:val="center"/>
              <w:rPr>
                <w:kern w:val="0"/>
                <w:szCs w:val="21"/>
              </w:rPr>
            </w:pPr>
            <w:r>
              <w:rPr>
                <w:rFonts w:hint="eastAsia"/>
                <w:kern w:val="0"/>
                <w:szCs w:val="21"/>
              </w:rPr>
              <w:t>4.98</w:t>
            </w:r>
          </w:p>
        </w:tc>
        <w:tc>
          <w:tcPr>
            <w:tcW w:w="2321" w:type="dxa"/>
            <w:vAlign w:val="center"/>
          </w:tcPr>
          <w:p w14:paraId="6FDC97E6">
            <w:pPr>
              <w:widowControl/>
              <w:jc w:val="center"/>
              <w:rPr>
                <w:kern w:val="0"/>
                <w:szCs w:val="21"/>
              </w:rPr>
            </w:pPr>
            <w:r>
              <w:rPr>
                <w:rFonts w:hint="eastAsia"/>
                <w:kern w:val="0"/>
                <w:szCs w:val="21"/>
              </w:rPr>
              <w:t>0.2</w:t>
            </w:r>
          </w:p>
        </w:tc>
        <w:tc>
          <w:tcPr>
            <w:tcW w:w="2322" w:type="dxa"/>
            <w:vAlign w:val="center"/>
          </w:tcPr>
          <w:p w14:paraId="7DB92128">
            <w:pPr>
              <w:widowControl/>
              <w:jc w:val="center"/>
              <w:rPr>
                <w:kern w:val="0"/>
                <w:szCs w:val="21"/>
              </w:rPr>
            </w:pPr>
            <w:r>
              <w:rPr>
                <w:rFonts w:hint="eastAsia"/>
                <w:kern w:val="0"/>
                <w:szCs w:val="21"/>
              </w:rPr>
              <w:t>——</w:t>
            </w:r>
          </w:p>
        </w:tc>
      </w:tr>
      <w:tr w14:paraId="70DD22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2321" w:type="dxa"/>
            <w:vAlign w:val="center"/>
          </w:tcPr>
          <w:p w14:paraId="6E0C721A">
            <w:pPr>
              <w:widowControl/>
              <w:ind w:firstLine="482"/>
              <w:jc w:val="center"/>
              <w:rPr>
                <w:b/>
                <w:kern w:val="0"/>
                <w:szCs w:val="21"/>
              </w:rPr>
            </w:pPr>
            <w:r>
              <w:rPr>
                <w:b/>
                <w:kern w:val="0"/>
                <w:szCs w:val="21"/>
              </w:rPr>
              <w:t>合计</w:t>
            </w:r>
          </w:p>
        </w:tc>
        <w:tc>
          <w:tcPr>
            <w:tcW w:w="2322" w:type="dxa"/>
            <w:vAlign w:val="center"/>
          </w:tcPr>
          <w:p w14:paraId="3E19F183">
            <w:pPr>
              <w:widowControl/>
              <w:ind w:firstLine="482"/>
              <w:jc w:val="center"/>
              <w:rPr>
                <w:b/>
                <w:kern w:val="0"/>
                <w:szCs w:val="21"/>
              </w:rPr>
            </w:pPr>
            <w:r>
              <w:rPr>
                <w:rFonts w:hint="eastAsia"/>
                <w:b/>
                <w:kern w:val="0"/>
                <w:szCs w:val="21"/>
              </w:rPr>
              <w:t>9.36</w:t>
            </w:r>
          </w:p>
        </w:tc>
        <w:tc>
          <w:tcPr>
            <w:tcW w:w="2321" w:type="dxa"/>
            <w:vAlign w:val="center"/>
          </w:tcPr>
          <w:p w14:paraId="38ABBEDF">
            <w:pPr>
              <w:widowControl/>
              <w:ind w:firstLine="482"/>
              <w:jc w:val="center"/>
              <w:rPr>
                <w:b/>
                <w:kern w:val="0"/>
                <w:szCs w:val="21"/>
              </w:rPr>
            </w:pPr>
            <w:r>
              <w:rPr>
                <w:rFonts w:hint="eastAsia"/>
                <w:b/>
                <w:kern w:val="0"/>
                <w:szCs w:val="21"/>
              </w:rPr>
              <w:t>4.09</w:t>
            </w:r>
          </w:p>
        </w:tc>
        <w:tc>
          <w:tcPr>
            <w:tcW w:w="2322" w:type="dxa"/>
            <w:vAlign w:val="center"/>
          </w:tcPr>
          <w:p w14:paraId="0A2C8374">
            <w:pPr>
              <w:widowControl/>
              <w:ind w:firstLine="482"/>
              <w:jc w:val="center"/>
              <w:rPr>
                <w:b/>
                <w:kern w:val="0"/>
                <w:szCs w:val="21"/>
              </w:rPr>
            </w:pPr>
            <w:r>
              <w:rPr>
                <w:rFonts w:hint="eastAsia"/>
                <w:b/>
                <w:kern w:val="0"/>
                <w:szCs w:val="21"/>
              </w:rPr>
              <w:t>43.7%</w:t>
            </w:r>
          </w:p>
        </w:tc>
      </w:tr>
    </w:tbl>
    <w:p w14:paraId="483504DF">
      <w:pPr>
        <w:spacing w:line="240" w:lineRule="auto"/>
        <w:ind w:firstLine="0" w:firstLineChars="0"/>
        <w:rPr>
          <w:b/>
        </w:rPr>
      </w:pPr>
    </w:p>
    <w:p w14:paraId="5F0E4F6F">
      <w:pPr>
        <w:pStyle w:val="4"/>
      </w:pPr>
      <w:bookmarkStart w:id="156" w:name="_Toc292361742"/>
      <w:bookmarkStart w:id="157" w:name="_Toc260820641"/>
      <w:bookmarkStart w:id="158" w:name="_Toc370111204"/>
      <w:bookmarkStart w:id="159" w:name="_Toc274662760"/>
      <w:bookmarkStart w:id="160" w:name="_Toc249753937"/>
      <w:r>
        <w:t>5.2.3 综合评价</w:t>
      </w:r>
    </w:p>
    <w:p w14:paraId="1EE0E2E2">
      <w:r>
        <w:t>在兴宁市亲水公园一区工程项目建设期内，水土流失主要源于施工期扰动原地貌、破坏植被，进而造成地表裸露，雨季在降雨和径流的冲刷作用下形成了水土流失。工程施工过程中，本工程的水土保持工程基本与主体工程同步建设，经过建设各方的精心组织、科学施工、规范管理、重点防护，对防治责任范围内的水土流失进行了全面、系统的治理，各项工程措施施工质量均较好，目前各分区防治措施的运行效果较好，水土流失得到了有效控制，项目区的水土流失强度由中强度下降到轻度或微度，各项水土流失防治指标均达到了方案目标值，具体见表5-4。</w:t>
      </w:r>
    </w:p>
    <w:p w14:paraId="006D83BF">
      <w:pPr>
        <w:widowControl/>
        <w:spacing w:line="240" w:lineRule="auto"/>
        <w:ind w:firstLine="0" w:firstLineChars="0"/>
        <w:jc w:val="left"/>
        <w:rPr>
          <w:b/>
        </w:rPr>
      </w:pPr>
      <w:r>
        <w:rPr>
          <w:b/>
        </w:rPr>
        <w:t xml:space="preserve">表5-4  </w:t>
      </w:r>
      <w:r>
        <w:rPr>
          <w:rFonts w:hint="eastAsia"/>
          <w:b/>
        </w:rPr>
        <w:t xml:space="preserve">            </w:t>
      </w:r>
      <w:r>
        <w:rPr>
          <w:b/>
        </w:rPr>
        <w:t xml:space="preserve"> 工程实施水土保持措施后达到的防治目标</w:t>
      </w:r>
    </w:p>
    <w:tbl>
      <w:tblPr>
        <w:tblStyle w:val="32"/>
        <w:tblW w:w="9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7"/>
        <w:gridCol w:w="1295"/>
        <w:gridCol w:w="1294"/>
        <w:gridCol w:w="1294"/>
        <w:gridCol w:w="1294"/>
        <w:gridCol w:w="1294"/>
        <w:gridCol w:w="1292"/>
      </w:tblGrid>
      <w:tr w14:paraId="1D882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1377" w:type="dxa"/>
            <w:tcMar>
              <w:left w:w="57" w:type="dxa"/>
              <w:right w:w="57" w:type="dxa"/>
            </w:tcMar>
            <w:vAlign w:val="center"/>
          </w:tcPr>
          <w:p w14:paraId="1159C836">
            <w:pPr>
              <w:widowControl/>
              <w:adjustRightInd w:val="0"/>
              <w:snapToGrid w:val="0"/>
              <w:spacing w:line="240" w:lineRule="auto"/>
              <w:ind w:firstLine="0" w:firstLineChars="0"/>
              <w:jc w:val="center"/>
              <w:rPr>
                <w:rFonts w:eastAsia="仿宋"/>
                <w:b/>
                <w:sz w:val="21"/>
                <w:szCs w:val="21"/>
              </w:rPr>
            </w:pPr>
            <w:r>
              <w:rPr>
                <w:rFonts w:eastAsia="仿宋"/>
                <w:b/>
                <w:sz w:val="21"/>
                <w:szCs w:val="21"/>
              </w:rPr>
              <w:t>指标</w:t>
            </w:r>
          </w:p>
        </w:tc>
        <w:tc>
          <w:tcPr>
            <w:tcW w:w="1295" w:type="dxa"/>
            <w:tcMar>
              <w:left w:w="57" w:type="dxa"/>
              <w:right w:w="57" w:type="dxa"/>
            </w:tcMar>
            <w:vAlign w:val="center"/>
          </w:tcPr>
          <w:p w14:paraId="5147DEAE">
            <w:pPr>
              <w:widowControl/>
              <w:adjustRightInd w:val="0"/>
              <w:snapToGrid w:val="0"/>
              <w:spacing w:line="240" w:lineRule="auto"/>
              <w:ind w:firstLine="0" w:firstLineChars="0"/>
              <w:jc w:val="center"/>
              <w:rPr>
                <w:rFonts w:eastAsia="仿宋"/>
                <w:b/>
                <w:sz w:val="21"/>
                <w:szCs w:val="21"/>
              </w:rPr>
            </w:pPr>
            <w:r>
              <w:rPr>
                <w:rFonts w:eastAsia="仿宋"/>
                <w:b/>
                <w:sz w:val="21"/>
                <w:szCs w:val="21"/>
              </w:rPr>
              <w:t>水土流失总治理度(%)</w:t>
            </w:r>
          </w:p>
        </w:tc>
        <w:tc>
          <w:tcPr>
            <w:tcW w:w="1294" w:type="dxa"/>
            <w:tcMar>
              <w:left w:w="57" w:type="dxa"/>
              <w:right w:w="57" w:type="dxa"/>
            </w:tcMar>
            <w:vAlign w:val="center"/>
          </w:tcPr>
          <w:p w14:paraId="213DC97B">
            <w:pPr>
              <w:widowControl/>
              <w:adjustRightInd w:val="0"/>
              <w:snapToGrid w:val="0"/>
              <w:spacing w:line="240" w:lineRule="auto"/>
              <w:ind w:firstLine="0" w:firstLineChars="0"/>
              <w:jc w:val="center"/>
              <w:rPr>
                <w:rFonts w:eastAsia="仿宋"/>
                <w:b/>
                <w:sz w:val="21"/>
                <w:szCs w:val="21"/>
              </w:rPr>
            </w:pPr>
            <w:r>
              <w:rPr>
                <w:rFonts w:eastAsia="仿宋"/>
                <w:b/>
                <w:sz w:val="21"/>
                <w:szCs w:val="21"/>
              </w:rPr>
              <w:t>土壤流失控制比</w:t>
            </w:r>
          </w:p>
        </w:tc>
        <w:tc>
          <w:tcPr>
            <w:tcW w:w="1294" w:type="dxa"/>
            <w:tcMar>
              <w:left w:w="57" w:type="dxa"/>
              <w:right w:w="57" w:type="dxa"/>
            </w:tcMar>
            <w:vAlign w:val="center"/>
          </w:tcPr>
          <w:p w14:paraId="4FC37F07">
            <w:pPr>
              <w:widowControl/>
              <w:adjustRightInd w:val="0"/>
              <w:snapToGrid w:val="0"/>
              <w:spacing w:line="240" w:lineRule="auto"/>
              <w:ind w:firstLine="0" w:firstLineChars="0"/>
              <w:jc w:val="center"/>
              <w:rPr>
                <w:rFonts w:eastAsia="仿宋"/>
                <w:b/>
                <w:sz w:val="21"/>
                <w:szCs w:val="21"/>
              </w:rPr>
            </w:pPr>
            <w:r>
              <w:rPr>
                <w:rFonts w:eastAsia="仿宋"/>
                <w:b/>
                <w:sz w:val="21"/>
                <w:szCs w:val="21"/>
              </w:rPr>
              <w:t>拦渣率(%)</w:t>
            </w:r>
          </w:p>
        </w:tc>
        <w:tc>
          <w:tcPr>
            <w:tcW w:w="1294" w:type="dxa"/>
            <w:tcMar>
              <w:left w:w="57" w:type="dxa"/>
              <w:right w:w="57" w:type="dxa"/>
            </w:tcMar>
          </w:tcPr>
          <w:p w14:paraId="08F8F263">
            <w:pPr>
              <w:widowControl/>
              <w:adjustRightInd w:val="0"/>
              <w:snapToGrid w:val="0"/>
              <w:spacing w:line="240" w:lineRule="auto"/>
              <w:ind w:firstLine="0" w:firstLineChars="0"/>
              <w:jc w:val="center"/>
              <w:rPr>
                <w:rFonts w:eastAsia="仿宋"/>
                <w:b/>
                <w:sz w:val="21"/>
                <w:szCs w:val="21"/>
              </w:rPr>
            </w:pPr>
            <w:r>
              <w:rPr>
                <w:rFonts w:hint="eastAsia" w:eastAsia="仿宋"/>
                <w:b/>
                <w:sz w:val="21"/>
                <w:szCs w:val="21"/>
              </w:rPr>
              <w:t>表土保护率（%）</w:t>
            </w:r>
          </w:p>
        </w:tc>
        <w:tc>
          <w:tcPr>
            <w:tcW w:w="1294" w:type="dxa"/>
            <w:tcMar>
              <w:left w:w="57" w:type="dxa"/>
              <w:right w:w="57" w:type="dxa"/>
            </w:tcMar>
            <w:vAlign w:val="center"/>
          </w:tcPr>
          <w:p w14:paraId="022A0C1C">
            <w:pPr>
              <w:widowControl/>
              <w:adjustRightInd w:val="0"/>
              <w:snapToGrid w:val="0"/>
              <w:spacing w:line="240" w:lineRule="auto"/>
              <w:ind w:firstLine="0" w:firstLineChars="0"/>
              <w:jc w:val="center"/>
              <w:rPr>
                <w:rFonts w:eastAsia="仿宋"/>
                <w:b/>
                <w:sz w:val="21"/>
                <w:szCs w:val="21"/>
              </w:rPr>
            </w:pPr>
            <w:r>
              <w:rPr>
                <w:rFonts w:eastAsia="仿宋"/>
                <w:b/>
                <w:sz w:val="21"/>
                <w:szCs w:val="21"/>
              </w:rPr>
              <w:t>林草植被恢复率(%)</w:t>
            </w:r>
          </w:p>
        </w:tc>
        <w:tc>
          <w:tcPr>
            <w:tcW w:w="1292" w:type="dxa"/>
            <w:tcMar>
              <w:left w:w="57" w:type="dxa"/>
              <w:right w:w="57" w:type="dxa"/>
            </w:tcMar>
            <w:vAlign w:val="center"/>
          </w:tcPr>
          <w:p w14:paraId="16135A27">
            <w:pPr>
              <w:widowControl/>
              <w:adjustRightInd w:val="0"/>
              <w:snapToGrid w:val="0"/>
              <w:spacing w:line="240" w:lineRule="auto"/>
              <w:ind w:firstLine="0" w:firstLineChars="0"/>
              <w:jc w:val="center"/>
              <w:rPr>
                <w:rFonts w:eastAsia="仿宋"/>
                <w:b/>
                <w:sz w:val="21"/>
                <w:szCs w:val="21"/>
              </w:rPr>
            </w:pPr>
            <w:r>
              <w:rPr>
                <w:rFonts w:eastAsia="仿宋"/>
                <w:b/>
                <w:sz w:val="21"/>
                <w:szCs w:val="21"/>
              </w:rPr>
              <w:t>林草覆盖率(%)</w:t>
            </w:r>
          </w:p>
        </w:tc>
      </w:tr>
      <w:tr w14:paraId="514DF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1377" w:type="dxa"/>
            <w:tcMar>
              <w:left w:w="57" w:type="dxa"/>
              <w:right w:w="57" w:type="dxa"/>
            </w:tcMar>
            <w:vAlign w:val="center"/>
          </w:tcPr>
          <w:p w14:paraId="15ED5BCE">
            <w:pPr>
              <w:widowControl/>
              <w:spacing w:line="240" w:lineRule="auto"/>
              <w:ind w:firstLine="0" w:firstLineChars="0"/>
              <w:jc w:val="center"/>
              <w:rPr>
                <w:kern w:val="0"/>
                <w:sz w:val="21"/>
                <w:szCs w:val="21"/>
              </w:rPr>
            </w:pPr>
            <w:r>
              <w:rPr>
                <w:kern w:val="0"/>
                <w:sz w:val="21"/>
                <w:szCs w:val="21"/>
              </w:rPr>
              <w:t>目标值</w:t>
            </w:r>
          </w:p>
        </w:tc>
        <w:tc>
          <w:tcPr>
            <w:tcW w:w="1295" w:type="dxa"/>
            <w:tcMar>
              <w:left w:w="57" w:type="dxa"/>
              <w:right w:w="57" w:type="dxa"/>
            </w:tcMar>
            <w:vAlign w:val="center"/>
          </w:tcPr>
          <w:p w14:paraId="583EF0A6">
            <w:pPr>
              <w:adjustRightInd w:val="0"/>
              <w:snapToGrid w:val="0"/>
              <w:spacing w:line="240" w:lineRule="auto"/>
              <w:ind w:firstLine="0" w:firstLineChars="0"/>
              <w:jc w:val="center"/>
              <w:rPr>
                <w:rFonts w:eastAsia="仿宋"/>
                <w:sz w:val="21"/>
                <w:szCs w:val="21"/>
              </w:rPr>
            </w:pPr>
            <w:r>
              <w:rPr>
                <w:rFonts w:hint="eastAsia" w:eastAsia="仿宋"/>
                <w:sz w:val="21"/>
                <w:szCs w:val="21"/>
              </w:rPr>
              <w:t>98</w:t>
            </w:r>
          </w:p>
        </w:tc>
        <w:tc>
          <w:tcPr>
            <w:tcW w:w="1294" w:type="dxa"/>
            <w:tcMar>
              <w:left w:w="57" w:type="dxa"/>
              <w:right w:w="57" w:type="dxa"/>
            </w:tcMar>
            <w:vAlign w:val="center"/>
          </w:tcPr>
          <w:p w14:paraId="50FB2D16">
            <w:pPr>
              <w:adjustRightInd w:val="0"/>
              <w:snapToGrid w:val="0"/>
              <w:spacing w:line="240" w:lineRule="auto"/>
              <w:ind w:firstLine="0" w:firstLineChars="0"/>
              <w:jc w:val="center"/>
              <w:rPr>
                <w:rFonts w:eastAsia="仿宋"/>
                <w:sz w:val="21"/>
                <w:szCs w:val="21"/>
              </w:rPr>
            </w:pPr>
            <w:r>
              <w:rPr>
                <w:rFonts w:hint="eastAsia" w:eastAsia="仿宋"/>
                <w:sz w:val="21"/>
                <w:szCs w:val="21"/>
              </w:rPr>
              <w:t>1.0</w:t>
            </w:r>
          </w:p>
        </w:tc>
        <w:tc>
          <w:tcPr>
            <w:tcW w:w="1294" w:type="dxa"/>
            <w:tcMar>
              <w:left w:w="57" w:type="dxa"/>
              <w:right w:w="57" w:type="dxa"/>
            </w:tcMar>
            <w:vAlign w:val="center"/>
          </w:tcPr>
          <w:p w14:paraId="4F19C288">
            <w:pPr>
              <w:adjustRightInd w:val="0"/>
              <w:snapToGrid w:val="0"/>
              <w:spacing w:line="240" w:lineRule="auto"/>
              <w:ind w:firstLine="0" w:firstLineChars="0"/>
              <w:jc w:val="center"/>
              <w:rPr>
                <w:rFonts w:eastAsia="仿宋"/>
                <w:sz w:val="21"/>
                <w:szCs w:val="21"/>
              </w:rPr>
            </w:pPr>
            <w:r>
              <w:rPr>
                <w:rFonts w:hint="eastAsia" w:eastAsia="仿宋"/>
                <w:sz w:val="21"/>
                <w:szCs w:val="21"/>
              </w:rPr>
              <w:t>99</w:t>
            </w:r>
          </w:p>
        </w:tc>
        <w:tc>
          <w:tcPr>
            <w:tcW w:w="1294" w:type="dxa"/>
            <w:tcMar>
              <w:left w:w="57" w:type="dxa"/>
              <w:right w:w="57" w:type="dxa"/>
            </w:tcMar>
          </w:tcPr>
          <w:p w14:paraId="5E5EBC21">
            <w:pPr>
              <w:adjustRightInd w:val="0"/>
              <w:snapToGrid w:val="0"/>
              <w:spacing w:line="240" w:lineRule="auto"/>
              <w:ind w:firstLine="0" w:firstLineChars="0"/>
              <w:jc w:val="center"/>
              <w:rPr>
                <w:rFonts w:eastAsia="仿宋"/>
                <w:sz w:val="21"/>
                <w:szCs w:val="21"/>
              </w:rPr>
            </w:pPr>
            <w:r>
              <w:rPr>
                <w:rFonts w:hint="eastAsia" w:eastAsia="仿宋"/>
                <w:sz w:val="21"/>
                <w:szCs w:val="21"/>
              </w:rPr>
              <w:t>92</w:t>
            </w:r>
          </w:p>
        </w:tc>
        <w:tc>
          <w:tcPr>
            <w:tcW w:w="1294" w:type="dxa"/>
            <w:tcMar>
              <w:left w:w="57" w:type="dxa"/>
              <w:right w:w="57" w:type="dxa"/>
            </w:tcMar>
            <w:vAlign w:val="center"/>
          </w:tcPr>
          <w:p w14:paraId="558C930E">
            <w:pPr>
              <w:adjustRightInd w:val="0"/>
              <w:snapToGrid w:val="0"/>
              <w:spacing w:line="240" w:lineRule="auto"/>
              <w:ind w:firstLine="0" w:firstLineChars="0"/>
              <w:jc w:val="center"/>
              <w:rPr>
                <w:rFonts w:eastAsia="仿宋"/>
                <w:sz w:val="21"/>
                <w:szCs w:val="21"/>
              </w:rPr>
            </w:pPr>
            <w:r>
              <w:rPr>
                <w:rFonts w:hint="eastAsia" w:eastAsia="仿宋"/>
                <w:sz w:val="21"/>
                <w:szCs w:val="21"/>
              </w:rPr>
              <w:t>99</w:t>
            </w:r>
          </w:p>
        </w:tc>
        <w:tc>
          <w:tcPr>
            <w:tcW w:w="1292" w:type="dxa"/>
            <w:tcMar>
              <w:left w:w="57" w:type="dxa"/>
              <w:right w:w="57" w:type="dxa"/>
            </w:tcMar>
            <w:vAlign w:val="center"/>
          </w:tcPr>
          <w:p w14:paraId="535F02FF">
            <w:pPr>
              <w:adjustRightInd w:val="0"/>
              <w:snapToGrid w:val="0"/>
              <w:spacing w:line="240" w:lineRule="auto"/>
              <w:ind w:firstLine="0" w:firstLineChars="0"/>
              <w:jc w:val="center"/>
              <w:rPr>
                <w:rFonts w:eastAsia="仿宋"/>
                <w:sz w:val="21"/>
                <w:szCs w:val="21"/>
              </w:rPr>
            </w:pPr>
            <w:r>
              <w:rPr>
                <w:rFonts w:hint="eastAsia" w:eastAsia="仿宋"/>
                <w:sz w:val="21"/>
                <w:szCs w:val="21"/>
              </w:rPr>
              <w:t>27</w:t>
            </w:r>
          </w:p>
        </w:tc>
      </w:tr>
      <w:tr w14:paraId="403F9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1377" w:type="dxa"/>
            <w:tcMar>
              <w:left w:w="57" w:type="dxa"/>
              <w:right w:w="57" w:type="dxa"/>
            </w:tcMar>
            <w:vAlign w:val="center"/>
          </w:tcPr>
          <w:p w14:paraId="67DA0545">
            <w:pPr>
              <w:widowControl/>
              <w:spacing w:line="240" w:lineRule="auto"/>
              <w:ind w:firstLine="0" w:firstLineChars="0"/>
              <w:jc w:val="center"/>
              <w:rPr>
                <w:kern w:val="0"/>
                <w:sz w:val="21"/>
                <w:szCs w:val="21"/>
              </w:rPr>
            </w:pPr>
            <w:r>
              <w:rPr>
                <w:kern w:val="0"/>
                <w:sz w:val="21"/>
                <w:szCs w:val="21"/>
              </w:rPr>
              <w:t>实现值</w:t>
            </w:r>
          </w:p>
        </w:tc>
        <w:tc>
          <w:tcPr>
            <w:tcW w:w="1295" w:type="dxa"/>
            <w:tcMar>
              <w:left w:w="57" w:type="dxa"/>
              <w:right w:w="57" w:type="dxa"/>
            </w:tcMar>
            <w:vAlign w:val="center"/>
          </w:tcPr>
          <w:p w14:paraId="2E323459">
            <w:pPr>
              <w:widowControl/>
              <w:adjustRightInd w:val="0"/>
              <w:snapToGrid w:val="0"/>
              <w:spacing w:line="240" w:lineRule="auto"/>
              <w:ind w:firstLine="0" w:firstLineChars="0"/>
              <w:jc w:val="center"/>
              <w:rPr>
                <w:rFonts w:eastAsia="仿宋"/>
                <w:sz w:val="21"/>
                <w:szCs w:val="21"/>
              </w:rPr>
            </w:pPr>
            <w:r>
              <w:rPr>
                <w:rFonts w:hint="eastAsia"/>
                <w:sz w:val="21"/>
                <w:szCs w:val="21"/>
              </w:rPr>
              <w:t>100</w:t>
            </w:r>
          </w:p>
        </w:tc>
        <w:tc>
          <w:tcPr>
            <w:tcW w:w="1294" w:type="dxa"/>
            <w:tcMar>
              <w:left w:w="57" w:type="dxa"/>
              <w:right w:w="57" w:type="dxa"/>
            </w:tcMar>
            <w:vAlign w:val="center"/>
          </w:tcPr>
          <w:p w14:paraId="4FC69089">
            <w:pPr>
              <w:widowControl/>
              <w:adjustRightInd w:val="0"/>
              <w:snapToGrid w:val="0"/>
              <w:spacing w:line="240" w:lineRule="auto"/>
              <w:ind w:firstLine="0" w:firstLineChars="0"/>
              <w:jc w:val="center"/>
              <w:rPr>
                <w:rFonts w:eastAsia="仿宋"/>
                <w:sz w:val="21"/>
                <w:szCs w:val="21"/>
              </w:rPr>
            </w:pPr>
            <w:r>
              <w:rPr>
                <w:rFonts w:eastAsia="仿宋"/>
                <w:sz w:val="21"/>
                <w:szCs w:val="21"/>
              </w:rPr>
              <w:t>1.0</w:t>
            </w:r>
          </w:p>
        </w:tc>
        <w:tc>
          <w:tcPr>
            <w:tcW w:w="1294" w:type="dxa"/>
            <w:tcMar>
              <w:left w:w="57" w:type="dxa"/>
              <w:right w:w="57" w:type="dxa"/>
            </w:tcMar>
            <w:vAlign w:val="center"/>
          </w:tcPr>
          <w:p w14:paraId="713108B5">
            <w:pPr>
              <w:adjustRightInd w:val="0"/>
              <w:snapToGrid w:val="0"/>
              <w:spacing w:line="240" w:lineRule="auto"/>
              <w:ind w:firstLine="0" w:firstLineChars="0"/>
              <w:jc w:val="center"/>
              <w:rPr>
                <w:rFonts w:eastAsia="仿宋"/>
                <w:sz w:val="21"/>
                <w:szCs w:val="21"/>
              </w:rPr>
            </w:pPr>
            <w:r>
              <w:rPr>
                <w:rFonts w:eastAsia="仿宋"/>
                <w:sz w:val="21"/>
                <w:szCs w:val="21"/>
              </w:rPr>
              <w:t>9</w:t>
            </w:r>
            <w:r>
              <w:rPr>
                <w:rFonts w:hint="eastAsia" w:eastAsia="仿宋"/>
                <w:sz w:val="21"/>
                <w:szCs w:val="21"/>
              </w:rPr>
              <w:t>9</w:t>
            </w:r>
          </w:p>
        </w:tc>
        <w:tc>
          <w:tcPr>
            <w:tcW w:w="1294" w:type="dxa"/>
            <w:tcMar>
              <w:left w:w="57" w:type="dxa"/>
              <w:right w:w="57" w:type="dxa"/>
            </w:tcMar>
          </w:tcPr>
          <w:p w14:paraId="322ED905">
            <w:pPr>
              <w:widowControl/>
              <w:adjustRightInd w:val="0"/>
              <w:snapToGrid w:val="0"/>
              <w:spacing w:line="240" w:lineRule="auto"/>
              <w:ind w:firstLine="0" w:firstLineChars="0"/>
              <w:jc w:val="center"/>
              <w:rPr>
                <w:rFonts w:eastAsia="仿宋"/>
                <w:sz w:val="21"/>
                <w:szCs w:val="21"/>
              </w:rPr>
            </w:pPr>
            <w:r>
              <w:rPr>
                <w:rFonts w:hint="eastAsia" w:eastAsia="仿宋"/>
                <w:sz w:val="21"/>
                <w:szCs w:val="21"/>
              </w:rPr>
              <w:t>92</w:t>
            </w:r>
          </w:p>
        </w:tc>
        <w:tc>
          <w:tcPr>
            <w:tcW w:w="1294" w:type="dxa"/>
            <w:tcMar>
              <w:left w:w="57" w:type="dxa"/>
              <w:right w:w="57" w:type="dxa"/>
            </w:tcMar>
            <w:vAlign w:val="center"/>
          </w:tcPr>
          <w:p w14:paraId="33FF8603">
            <w:pPr>
              <w:widowControl/>
              <w:adjustRightInd w:val="0"/>
              <w:snapToGrid w:val="0"/>
              <w:spacing w:line="240" w:lineRule="auto"/>
              <w:ind w:firstLine="0" w:firstLineChars="0"/>
              <w:jc w:val="center"/>
              <w:rPr>
                <w:rFonts w:eastAsia="仿宋"/>
                <w:sz w:val="21"/>
                <w:szCs w:val="21"/>
              </w:rPr>
            </w:pPr>
            <w:r>
              <w:rPr>
                <w:rFonts w:hint="eastAsia" w:eastAsia="仿宋"/>
                <w:sz w:val="21"/>
                <w:szCs w:val="21"/>
              </w:rPr>
              <w:t>100</w:t>
            </w:r>
          </w:p>
        </w:tc>
        <w:tc>
          <w:tcPr>
            <w:tcW w:w="1292" w:type="dxa"/>
            <w:tcMar>
              <w:left w:w="57" w:type="dxa"/>
              <w:right w:w="57" w:type="dxa"/>
            </w:tcMar>
            <w:vAlign w:val="center"/>
          </w:tcPr>
          <w:p w14:paraId="4FC7C551">
            <w:pPr>
              <w:widowControl/>
              <w:adjustRightInd w:val="0"/>
              <w:snapToGrid w:val="0"/>
              <w:spacing w:line="240" w:lineRule="auto"/>
              <w:ind w:firstLine="0" w:firstLineChars="0"/>
              <w:jc w:val="center"/>
              <w:rPr>
                <w:rFonts w:eastAsia="仿宋"/>
                <w:sz w:val="21"/>
                <w:szCs w:val="21"/>
              </w:rPr>
            </w:pPr>
            <w:r>
              <w:rPr>
                <w:rFonts w:hint="eastAsia" w:eastAsia="仿宋"/>
                <w:sz w:val="21"/>
                <w:szCs w:val="21"/>
              </w:rPr>
              <w:t>43.7</w:t>
            </w:r>
          </w:p>
        </w:tc>
      </w:tr>
      <w:tr w14:paraId="1F41B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1377" w:type="dxa"/>
            <w:tcMar>
              <w:left w:w="57" w:type="dxa"/>
              <w:right w:w="57" w:type="dxa"/>
            </w:tcMar>
            <w:vAlign w:val="center"/>
          </w:tcPr>
          <w:p w14:paraId="5B564380">
            <w:pPr>
              <w:widowControl/>
              <w:spacing w:line="240" w:lineRule="auto"/>
              <w:ind w:firstLine="0" w:firstLineChars="0"/>
              <w:jc w:val="center"/>
              <w:rPr>
                <w:kern w:val="0"/>
                <w:sz w:val="21"/>
                <w:szCs w:val="21"/>
              </w:rPr>
            </w:pPr>
            <w:r>
              <w:rPr>
                <w:rFonts w:hint="eastAsia"/>
                <w:kern w:val="0"/>
                <w:sz w:val="21"/>
                <w:szCs w:val="21"/>
              </w:rPr>
              <w:t>比较结果</w:t>
            </w:r>
          </w:p>
        </w:tc>
        <w:tc>
          <w:tcPr>
            <w:tcW w:w="1295" w:type="dxa"/>
            <w:tcMar>
              <w:left w:w="57" w:type="dxa"/>
              <w:right w:w="57" w:type="dxa"/>
            </w:tcMar>
            <w:vAlign w:val="center"/>
          </w:tcPr>
          <w:p w14:paraId="6A6A64BA">
            <w:pPr>
              <w:widowControl/>
              <w:adjustRightInd w:val="0"/>
              <w:snapToGrid w:val="0"/>
              <w:spacing w:line="240" w:lineRule="auto"/>
              <w:ind w:firstLine="0" w:firstLineChars="0"/>
              <w:jc w:val="center"/>
              <w:rPr>
                <w:sz w:val="21"/>
                <w:szCs w:val="21"/>
              </w:rPr>
            </w:pPr>
            <w:r>
              <w:rPr>
                <w:rFonts w:hint="eastAsia"/>
                <w:sz w:val="21"/>
                <w:szCs w:val="21"/>
              </w:rPr>
              <w:t>达标</w:t>
            </w:r>
          </w:p>
        </w:tc>
        <w:tc>
          <w:tcPr>
            <w:tcW w:w="1294" w:type="dxa"/>
            <w:tcMar>
              <w:left w:w="57" w:type="dxa"/>
              <w:right w:w="57" w:type="dxa"/>
            </w:tcMar>
            <w:vAlign w:val="center"/>
          </w:tcPr>
          <w:p w14:paraId="1532559F">
            <w:pPr>
              <w:widowControl/>
              <w:adjustRightInd w:val="0"/>
              <w:snapToGrid w:val="0"/>
              <w:spacing w:line="240" w:lineRule="auto"/>
              <w:ind w:firstLine="0" w:firstLineChars="0"/>
              <w:jc w:val="center"/>
              <w:rPr>
                <w:sz w:val="21"/>
                <w:szCs w:val="21"/>
              </w:rPr>
            </w:pPr>
            <w:r>
              <w:rPr>
                <w:rFonts w:hint="eastAsia"/>
                <w:sz w:val="21"/>
                <w:szCs w:val="21"/>
              </w:rPr>
              <w:t>达标</w:t>
            </w:r>
          </w:p>
        </w:tc>
        <w:tc>
          <w:tcPr>
            <w:tcW w:w="1294" w:type="dxa"/>
            <w:tcMar>
              <w:left w:w="57" w:type="dxa"/>
              <w:right w:w="57" w:type="dxa"/>
            </w:tcMar>
            <w:vAlign w:val="center"/>
          </w:tcPr>
          <w:p w14:paraId="0CF19DF3">
            <w:pPr>
              <w:widowControl/>
              <w:adjustRightInd w:val="0"/>
              <w:snapToGrid w:val="0"/>
              <w:spacing w:line="240" w:lineRule="auto"/>
              <w:ind w:firstLine="0" w:firstLineChars="0"/>
              <w:jc w:val="center"/>
              <w:rPr>
                <w:sz w:val="21"/>
                <w:szCs w:val="21"/>
              </w:rPr>
            </w:pPr>
            <w:r>
              <w:rPr>
                <w:rFonts w:hint="eastAsia"/>
                <w:sz w:val="21"/>
                <w:szCs w:val="21"/>
              </w:rPr>
              <w:t>达标</w:t>
            </w:r>
          </w:p>
        </w:tc>
        <w:tc>
          <w:tcPr>
            <w:tcW w:w="1294" w:type="dxa"/>
            <w:tcMar>
              <w:left w:w="57" w:type="dxa"/>
              <w:right w:w="57" w:type="dxa"/>
            </w:tcMar>
          </w:tcPr>
          <w:p w14:paraId="5C92C9EB">
            <w:pPr>
              <w:widowControl/>
              <w:adjustRightInd w:val="0"/>
              <w:snapToGrid w:val="0"/>
              <w:spacing w:line="240" w:lineRule="auto"/>
              <w:ind w:firstLine="0" w:firstLineChars="0"/>
              <w:jc w:val="center"/>
              <w:rPr>
                <w:sz w:val="21"/>
                <w:szCs w:val="21"/>
              </w:rPr>
            </w:pPr>
            <w:r>
              <w:rPr>
                <w:rFonts w:hint="eastAsia"/>
                <w:sz w:val="21"/>
                <w:szCs w:val="21"/>
              </w:rPr>
              <w:t>达标</w:t>
            </w:r>
          </w:p>
        </w:tc>
        <w:tc>
          <w:tcPr>
            <w:tcW w:w="1294" w:type="dxa"/>
            <w:tcMar>
              <w:left w:w="57" w:type="dxa"/>
              <w:right w:w="57" w:type="dxa"/>
            </w:tcMar>
            <w:vAlign w:val="center"/>
          </w:tcPr>
          <w:p w14:paraId="39C0D784">
            <w:pPr>
              <w:widowControl/>
              <w:adjustRightInd w:val="0"/>
              <w:snapToGrid w:val="0"/>
              <w:spacing w:line="240" w:lineRule="auto"/>
              <w:ind w:firstLine="0" w:firstLineChars="0"/>
              <w:jc w:val="center"/>
              <w:rPr>
                <w:sz w:val="21"/>
                <w:szCs w:val="21"/>
              </w:rPr>
            </w:pPr>
            <w:r>
              <w:rPr>
                <w:rFonts w:hint="eastAsia"/>
                <w:sz w:val="21"/>
                <w:szCs w:val="21"/>
              </w:rPr>
              <w:t>达标</w:t>
            </w:r>
          </w:p>
        </w:tc>
        <w:tc>
          <w:tcPr>
            <w:tcW w:w="1292" w:type="dxa"/>
            <w:tcMar>
              <w:left w:w="57" w:type="dxa"/>
              <w:right w:w="57" w:type="dxa"/>
            </w:tcMar>
            <w:vAlign w:val="center"/>
          </w:tcPr>
          <w:p w14:paraId="1A894607">
            <w:pPr>
              <w:widowControl/>
              <w:adjustRightInd w:val="0"/>
              <w:snapToGrid w:val="0"/>
              <w:spacing w:line="240" w:lineRule="auto"/>
              <w:ind w:firstLine="0" w:firstLineChars="0"/>
              <w:jc w:val="center"/>
              <w:rPr>
                <w:sz w:val="21"/>
                <w:szCs w:val="21"/>
              </w:rPr>
            </w:pPr>
            <w:r>
              <w:rPr>
                <w:rFonts w:hint="eastAsia"/>
                <w:sz w:val="21"/>
                <w:szCs w:val="21"/>
              </w:rPr>
              <w:t>达标</w:t>
            </w:r>
          </w:p>
        </w:tc>
      </w:tr>
      <w:bookmarkEnd w:id="125"/>
      <w:bookmarkEnd w:id="126"/>
      <w:bookmarkEnd w:id="127"/>
      <w:bookmarkEnd w:id="130"/>
      <w:bookmarkEnd w:id="156"/>
      <w:bookmarkEnd w:id="157"/>
      <w:bookmarkEnd w:id="158"/>
      <w:bookmarkEnd w:id="159"/>
      <w:bookmarkEnd w:id="160"/>
    </w:tbl>
    <w:p w14:paraId="49A7606A">
      <w:bookmarkStart w:id="161" w:name="_Toc142706432"/>
      <w:bookmarkStart w:id="162" w:name="_Toc185841980"/>
      <w:bookmarkStart w:id="163" w:name="_Toc144390060"/>
      <w:bookmarkStart w:id="164" w:name="_Toc184045761"/>
      <w:bookmarkStart w:id="165" w:name="_Toc223798198"/>
      <w:r>
        <w:t>整体而言，通过各项水土保持措施的实施，</w:t>
      </w:r>
      <w:r>
        <w:rPr>
          <w:rFonts w:hint="eastAsia"/>
        </w:rPr>
        <w:t>各项防治措施</w:t>
      </w:r>
      <w:r>
        <w:t>有效地防止和减少水土流失对工程区域生态环境造成的破坏，建设过程中产生的水土流失基本得到了控制和治理，水土流失防治责任范围内的生态环境得到恢复改善。</w:t>
      </w:r>
    </w:p>
    <w:p w14:paraId="0E43956F">
      <w:pPr>
        <w:pStyle w:val="3"/>
        <w:rPr>
          <w:rFonts w:eastAsia="宋体"/>
        </w:rPr>
      </w:pPr>
      <w:bookmarkStart w:id="166" w:name="_Toc108445738"/>
      <w:r>
        <w:rPr>
          <w:rFonts w:eastAsia="宋体"/>
        </w:rPr>
        <w:t>5.3 公众满意度调查</w:t>
      </w:r>
      <w:bookmarkEnd w:id="166"/>
    </w:p>
    <w:p w14:paraId="6B1C0711">
      <w:r>
        <w:t>本次验收过程中开展了公众满意度调查，项目区内共计发放30份调查问卷，收回30份。</w:t>
      </w:r>
    </w:p>
    <w:p w14:paraId="5C0D343F">
      <w:r>
        <w:t>在被访问者中，30岁以下者占20.0%，30-50岁者占50.0%，50岁以上者占30.0%；农民占50%，职工占20.0%，干部占30%；高中以上文化者占30.0%，初中文化者60%，小学以下文化者占10%。</w:t>
      </w:r>
    </w:p>
    <w:p w14:paraId="4540B91F">
      <w:r>
        <w:t>在被调查者中，80%的人认为本工程对当地经济有促进作用，83%的人认为项目对当地环境有好的影响，93%的人认为弃土弃渣管理较好，93%的人认为项目对所扰动的土地恢复利用较好。</w:t>
      </w:r>
    </w:p>
    <w:p w14:paraId="2C2EF724">
      <w:r>
        <w:t>被访问者对问卷提出的问题回答情况见表5-</w:t>
      </w:r>
      <w:r>
        <w:rPr>
          <w:rFonts w:hint="eastAsia"/>
        </w:rPr>
        <w:t>5</w:t>
      </w:r>
      <w:r>
        <w:t>。</w:t>
      </w:r>
    </w:p>
    <w:p w14:paraId="10E5BB12">
      <w:pPr>
        <w:widowControl/>
        <w:spacing w:line="240" w:lineRule="auto"/>
        <w:ind w:firstLine="0" w:firstLineChars="0"/>
        <w:jc w:val="left"/>
        <w:rPr>
          <w:b/>
          <w:szCs w:val="24"/>
        </w:rPr>
      </w:pPr>
      <w:r>
        <w:rPr>
          <w:b/>
          <w:szCs w:val="24"/>
        </w:rPr>
        <w:t>表5-</w:t>
      </w:r>
      <w:r>
        <w:rPr>
          <w:rFonts w:hint="eastAsia"/>
          <w:b/>
          <w:szCs w:val="24"/>
        </w:rPr>
        <w:t>5</w:t>
      </w:r>
      <w:r>
        <w:rPr>
          <w:b/>
          <w:szCs w:val="24"/>
        </w:rPr>
        <w:t xml:space="preserve">  </w:t>
      </w:r>
      <w:r>
        <w:rPr>
          <w:rFonts w:hint="eastAsia"/>
          <w:b/>
          <w:szCs w:val="24"/>
        </w:rPr>
        <w:t xml:space="preserve">                       </w:t>
      </w:r>
      <w:r>
        <w:rPr>
          <w:b/>
          <w:szCs w:val="24"/>
        </w:rPr>
        <w:t>问卷调查结果统计表</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9"/>
        <w:gridCol w:w="834"/>
        <w:gridCol w:w="245"/>
        <w:gridCol w:w="14"/>
        <w:gridCol w:w="641"/>
        <w:gridCol w:w="424"/>
        <w:gridCol w:w="406"/>
        <w:gridCol w:w="831"/>
        <w:gridCol w:w="14"/>
        <w:gridCol w:w="114"/>
        <w:gridCol w:w="829"/>
        <w:gridCol w:w="355"/>
        <w:gridCol w:w="597"/>
        <w:gridCol w:w="587"/>
        <w:gridCol w:w="243"/>
        <w:gridCol w:w="1010"/>
      </w:tblGrid>
      <w:tr w14:paraId="37124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909" w:type="dxa"/>
            <w:vMerge w:val="restart"/>
            <w:vAlign w:val="center"/>
          </w:tcPr>
          <w:p w14:paraId="72F8A640">
            <w:pPr>
              <w:widowControl/>
              <w:spacing w:line="240" w:lineRule="auto"/>
              <w:ind w:firstLine="0" w:firstLineChars="0"/>
              <w:jc w:val="center"/>
              <w:rPr>
                <w:kern w:val="0"/>
                <w:sz w:val="21"/>
                <w:szCs w:val="21"/>
              </w:rPr>
            </w:pPr>
            <w:r>
              <w:rPr>
                <w:kern w:val="0"/>
                <w:sz w:val="21"/>
                <w:szCs w:val="21"/>
              </w:rPr>
              <w:t>调查年龄段</w:t>
            </w:r>
          </w:p>
        </w:tc>
        <w:tc>
          <w:tcPr>
            <w:tcW w:w="2158" w:type="dxa"/>
            <w:gridSpan w:val="5"/>
            <w:vAlign w:val="center"/>
          </w:tcPr>
          <w:p w14:paraId="12C02CC1">
            <w:pPr>
              <w:widowControl/>
              <w:spacing w:line="240" w:lineRule="auto"/>
              <w:ind w:firstLine="0" w:firstLineChars="0"/>
              <w:jc w:val="center"/>
              <w:rPr>
                <w:kern w:val="0"/>
                <w:sz w:val="21"/>
                <w:szCs w:val="21"/>
              </w:rPr>
            </w:pPr>
            <w:r>
              <w:rPr>
                <w:kern w:val="0"/>
                <w:sz w:val="21"/>
                <w:szCs w:val="21"/>
              </w:rPr>
              <w:t>30岁以下</w:t>
            </w:r>
          </w:p>
        </w:tc>
        <w:tc>
          <w:tcPr>
            <w:tcW w:w="2549" w:type="dxa"/>
            <w:gridSpan w:val="6"/>
            <w:vAlign w:val="center"/>
          </w:tcPr>
          <w:p w14:paraId="42645C68">
            <w:pPr>
              <w:widowControl/>
              <w:spacing w:line="240" w:lineRule="auto"/>
              <w:ind w:firstLine="0" w:firstLineChars="0"/>
              <w:jc w:val="center"/>
              <w:rPr>
                <w:kern w:val="0"/>
                <w:sz w:val="21"/>
                <w:szCs w:val="21"/>
              </w:rPr>
            </w:pPr>
            <w:r>
              <w:rPr>
                <w:kern w:val="0"/>
                <w:sz w:val="21"/>
                <w:szCs w:val="21"/>
              </w:rPr>
              <w:t>30-50岁</w:t>
            </w:r>
          </w:p>
        </w:tc>
        <w:tc>
          <w:tcPr>
            <w:tcW w:w="2437" w:type="dxa"/>
            <w:gridSpan w:val="4"/>
            <w:vAlign w:val="center"/>
          </w:tcPr>
          <w:p w14:paraId="4D3026CA">
            <w:pPr>
              <w:widowControl/>
              <w:spacing w:line="240" w:lineRule="auto"/>
              <w:ind w:firstLine="0" w:firstLineChars="0"/>
              <w:jc w:val="center"/>
              <w:rPr>
                <w:kern w:val="0"/>
                <w:sz w:val="21"/>
                <w:szCs w:val="21"/>
              </w:rPr>
            </w:pPr>
            <w:r>
              <w:rPr>
                <w:kern w:val="0"/>
                <w:sz w:val="21"/>
                <w:szCs w:val="21"/>
              </w:rPr>
              <w:t>50岁以上</w:t>
            </w:r>
          </w:p>
        </w:tc>
      </w:tr>
      <w:tr w14:paraId="212FE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909" w:type="dxa"/>
            <w:vMerge w:val="continue"/>
            <w:vAlign w:val="center"/>
          </w:tcPr>
          <w:p w14:paraId="54CB364D">
            <w:pPr>
              <w:widowControl/>
              <w:spacing w:line="240" w:lineRule="auto"/>
              <w:ind w:firstLine="0" w:firstLineChars="0"/>
              <w:jc w:val="center"/>
              <w:rPr>
                <w:kern w:val="0"/>
                <w:sz w:val="21"/>
                <w:szCs w:val="21"/>
              </w:rPr>
            </w:pPr>
          </w:p>
        </w:tc>
        <w:tc>
          <w:tcPr>
            <w:tcW w:w="1093" w:type="dxa"/>
            <w:gridSpan w:val="3"/>
            <w:vAlign w:val="center"/>
          </w:tcPr>
          <w:p w14:paraId="2865A602">
            <w:pPr>
              <w:widowControl/>
              <w:spacing w:line="240" w:lineRule="auto"/>
              <w:ind w:firstLine="0" w:firstLineChars="0"/>
              <w:jc w:val="center"/>
              <w:rPr>
                <w:kern w:val="0"/>
                <w:sz w:val="21"/>
                <w:szCs w:val="21"/>
              </w:rPr>
            </w:pPr>
            <w:r>
              <w:rPr>
                <w:kern w:val="0"/>
                <w:sz w:val="21"/>
                <w:szCs w:val="21"/>
              </w:rPr>
              <w:t>人数</w:t>
            </w:r>
          </w:p>
        </w:tc>
        <w:tc>
          <w:tcPr>
            <w:tcW w:w="1065" w:type="dxa"/>
            <w:gridSpan w:val="2"/>
            <w:vAlign w:val="center"/>
          </w:tcPr>
          <w:p w14:paraId="218180E3">
            <w:pPr>
              <w:widowControl/>
              <w:spacing w:line="240" w:lineRule="auto"/>
              <w:ind w:firstLine="0" w:firstLineChars="0"/>
              <w:jc w:val="center"/>
              <w:rPr>
                <w:kern w:val="0"/>
                <w:sz w:val="21"/>
                <w:szCs w:val="21"/>
              </w:rPr>
            </w:pPr>
            <w:r>
              <w:rPr>
                <w:kern w:val="0"/>
                <w:sz w:val="21"/>
                <w:szCs w:val="21"/>
              </w:rPr>
              <w:t>占比例</w:t>
            </w:r>
          </w:p>
        </w:tc>
        <w:tc>
          <w:tcPr>
            <w:tcW w:w="1237" w:type="dxa"/>
            <w:gridSpan w:val="2"/>
            <w:vAlign w:val="center"/>
          </w:tcPr>
          <w:p w14:paraId="6BE81174">
            <w:pPr>
              <w:widowControl/>
              <w:spacing w:line="240" w:lineRule="auto"/>
              <w:ind w:firstLine="0" w:firstLineChars="0"/>
              <w:jc w:val="center"/>
              <w:rPr>
                <w:kern w:val="0"/>
                <w:sz w:val="21"/>
                <w:szCs w:val="21"/>
              </w:rPr>
            </w:pPr>
            <w:r>
              <w:rPr>
                <w:kern w:val="0"/>
                <w:sz w:val="21"/>
                <w:szCs w:val="21"/>
              </w:rPr>
              <w:t>人数</w:t>
            </w:r>
          </w:p>
        </w:tc>
        <w:tc>
          <w:tcPr>
            <w:tcW w:w="1312" w:type="dxa"/>
            <w:gridSpan w:val="4"/>
            <w:vAlign w:val="center"/>
          </w:tcPr>
          <w:p w14:paraId="3562F71B">
            <w:pPr>
              <w:widowControl/>
              <w:spacing w:line="240" w:lineRule="auto"/>
              <w:ind w:firstLine="0" w:firstLineChars="0"/>
              <w:jc w:val="center"/>
              <w:rPr>
                <w:kern w:val="0"/>
                <w:sz w:val="21"/>
                <w:szCs w:val="21"/>
              </w:rPr>
            </w:pPr>
            <w:r>
              <w:rPr>
                <w:kern w:val="0"/>
                <w:sz w:val="21"/>
                <w:szCs w:val="21"/>
              </w:rPr>
              <w:t>占比例</w:t>
            </w:r>
          </w:p>
        </w:tc>
        <w:tc>
          <w:tcPr>
            <w:tcW w:w="1184" w:type="dxa"/>
            <w:gridSpan w:val="2"/>
            <w:vAlign w:val="center"/>
          </w:tcPr>
          <w:p w14:paraId="5EDDD2B4">
            <w:pPr>
              <w:widowControl/>
              <w:spacing w:line="240" w:lineRule="auto"/>
              <w:ind w:firstLine="0" w:firstLineChars="0"/>
              <w:jc w:val="center"/>
              <w:rPr>
                <w:kern w:val="0"/>
                <w:sz w:val="21"/>
                <w:szCs w:val="21"/>
              </w:rPr>
            </w:pPr>
            <w:r>
              <w:rPr>
                <w:kern w:val="0"/>
                <w:sz w:val="21"/>
                <w:szCs w:val="21"/>
              </w:rPr>
              <w:t>人数</w:t>
            </w:r>
          </w:p>
        </w:tc>
        <w:tc>
          <w:tcPr>
            <w:tcW w:w="1253" w:type="dxa"/>
            <w:gridSpan w:val="2"/>
            <w:vAlign w:val="center"/>
          </w:tcPr>
          <w:p w14:paraId="71ACA698">
            <w:pPr>
              <w:widowControl/>
              <w:spacing w:line="240" w:lineRule="auto"/>
              <w:ind w:firstLine="0" w:firstLineChars="0"/>
              <w:jc w:val="center"/>
              <w:rPr>
                <w:kern w:val="0"/>
                <w:sz w:val="21"/>
                <w:szCs w:val="21"/>
              </w:rPr>
            </w:pPr>
            <w:r>
              <w:rPr>
                <w:kern w:val="0"/>
                <w:sz w:val="21"/>
                <w:szCs w:val="21"/>
              </w:rPr>
              <w:t>占比例</w:t>
            </w:r>
          </w:p>
        </w:tc>
      </w:tr>
      <w:tr w14:paraId="1FC03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909" w:type="dxa"/>
            <w:vMerge w:val="continue"/>
            <w:vAlign w:val="center"/>
          </w:tcPr>
          <w:p w14:paraId="4AA68C5B">
            <w:pPr>
              <w:widowControl/>
              <w:spacing w:line="240" w:lineRule="auto"/>
              <w:ind w:firstLine="0" w:firstLineChars="0"/>
              <w:jc w:val="center"/>
              <w:rPr>
                <w:kern w:val="0"/>
                <w:sz w:val="21"/>
                <w:szCs w:val="21"/>
              </w:rPr>
            </w:pPr>
          </w:p>
        </w:tc>
        <w:tc>
          <w:tcPr>
            <w:tcW w:w="1093" w:type="dxa"/>
            <w:gridSpan w:val="3"/>
            <w:vAlign w:val="center"/>
          </w:tcPr>
          <w:p w14:paraId="5EF18821">
            <w:pPr>
              <w:widowControl/>
              <w:spacing w:line="240" w:lineRule="auto"/>
              <w:ind w:firstLine="0" w:firstLineChars="0"/>
              <w:jc w:val="center"/>
              <w:rPr>
                <w:kern w:val="0"/>
                <w:sz w:val="21"/>
                <w:szCs w:val="21"/>
              </w:rPr>
            </w:pPr>
            <w:r>
              <w:rPr>
                <w:kern w:val="0"/>
                <w:sz w:val="21"/>
                <w:szCs w:val="21"/>
              </w:rPr>
              <w:t>6</w:t>
            </w:r>
          </w:p>
        </w:tc>
        <w:tc>
          <w:tcPr>
            <w:tcW w:w="1065" w:type="dxa"/>
            <w:gridSpan w:val="2"/>
            <w:vAlign w:val="center"/>
          </w:tcPr>
          <w:p w14:paraId="6407292A">
            <w:pPr>
              <w:widowControl/>
              <w:spacing w:line="240" w:lineRule="auto"/>
              <w:ind w:firstLine="0" w:firstLineChars="0"/>
              <w:jc w:val="center"/>
              <w:rPr>
                <w:kern w:val="0"/>
                <w:sz w:val="21"/>
                <w:szCs w:val="21"/>
              </w:rPr>
            </w:pPr>
            <w:r>
              <w:rPr>
                <w:kern w:val="0"/>
                <w:sz w:val="21"/>
                <w:szCs w:val="21"/>
              </w:rPr>
              <w:t>20%</w:t>
            </w:r>
          </w:p>
        </w:tc>
        <w:tc>
          <w:tcPr>
            <w:tcW w:w="1237" w:type="dxa"/>
            <w:gridSpan w:val="2"/>
            <w:vAlign w:val="center"/>
          </w:tcPr>
          <w:p w14:paraId="5C3713A9">
            <w:pPr>
              <w:widowControl/>
              <w:spacing w:line="240" w:lineRule="auto"/>
              <w:ind w:firstLine="0" w:firstLineChars="0"/>
              <w:jc w:val="center"/>
              <w:rPr>
                <w:kern w:val="0"/>
                <w:sz w:val="21"/>
                <w:szCs w:val="21"/>
              </w:rPr>
            </w:pPr>
            <w:r>
              <w:rPr>
                <w:kern w:val="0"/>
                <w:sz w:val="21"/>
                <w:szCs w:val="21"/>
              </w:rPr>
              <w:t>13</w:t>
            </w:r>
          </w:p>
        </w:tc>
        <w:tc>
          <w:tcPr>
            <w:tcW w:w="1312" w:type="dxa"/>
            <w:gridSpan w:val="4"/>
            <w:vAlign w:val="center"/>
          </w:tcPr>
          <w:p w14:paraId="1A4B7CC7">
            <w:pPr>
              <w:widowControl/>
              <w:spacing w:line="240" w:lineRule="auto"/>
              <w:ind w:firstLine="0" w:firstLineChars="0"/>
              <w:jc w:val="center"/>
              <w:rPr>
                <w:kern w:val="0"/>
                <w:sz w:val="21"/>
                <w:szCs w:val="21"/>
              </w:rPr>
            </w:pPr>
            <w:r>
              <w:rPr>
                <w:kern w:val="0"/>
                <w:sz w:val="21"/>
                <w:szCs w:val="21"/>
              </w:rPr>
              <w:t>43%</w:t>
            </w:r>
          </w:p>
        </w:tc>
        <w:tc>
          <w:tcPr>
            <w:tcW w:w="1184" w:type="dxa"/>
            <w:gridSpan w:val="2"/>
            <w:vAlign w:val="center"/>
          </w:tcPr>
          <w:p w14:paraId="07882378">
            <w:pPr>
              <w:widowControl/>
              <w:spacing w:line="240" w:lineRule="auto"/>
              <w:ind w:firstLine="0" w:firstLineChars="0"/>
              <w:jc w:val="center"/>
              <w:rPr>
                <w:kern w:val="0"/>
                <w:sz w:val="21"/>
                <w:szCs w:val="21"/>
              </w:rPr>
            </w:pPr>
            <w:r>
              <w:rPr>
                <w:kern w:val="0"/>
                <w:sz w:val="21"/>
                <w:szCs w:val="21"/>
              </w:rPr>
              <w:t>11</w:t>
            </w:r>
          </w:p>
        </w:tc>
        <w:tc>
          <w:tcPr>
            <w:tcW w:w="1253" w:type="dxa"/>
            <w:gridSpan w:val="2"/>
            <w:vAlign w:val="center"/>
          </w:tcPr>
          <w:p w14:paraId="7ECF765C">
            <w:pPr>
              <w:widowControl/>
              <w:spacing w:line="240" w:lineRule="auto"/>
              <w:ind w:firstLine="0" w:firstLineChars="0"/>
              <w:jc w:val="center"/>
              <w:rPr>
                <w:kern w:val="0"/>
                <w:sz w:val="21"/>
                <w:szCs w:val="21"/>
              </w:rPr>
            </w:pPr>
            <w:r>
              <w:rPr>
                <w:kern w:val="0"/>
                <w:sz w:val="21"/>
                <w:szCs w:val="21"/>
              </w:rPr>
              <w:t>37%</w:t>
            </w:r>
          </w:p>
        </w:tc>
      </w:tr>
      <w:tr w14:paraId="6086C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909" w:type="dxa"/>
            <w:vMerge w:val="restart"/>
            <w:vAlign w:val="center"/>
          </w:tcPr>
          <w:p w14:paraId="4107F720">
            <w:pPr>
              <w:widowControl/>
              <w:spacing w:line="240" w:lineRule="auto"/>
              <w:ind w:firstLine="0" w:firstLineChars="0"/>
              <w:jc w:val="center"/>
              <w:rPr>
                <w:kern w:val="0"/>
                <w:sz w:val="21"/>
                <w:szCs w:val="21"/>
              </w:rPr>
            </w:pPr>
            <w:r>
              <w:rPr>
                <w:kern w:val="0"/>
                <w:sz w:val="21"/>
                <w:szCs w:val="21"/>
              </w:rPr>
              <w:t>职业</w:t>
            </w:r>
          </w:p>
        </w:tc>
        <w:tc>
          <w:tcPr>
            <w:tcW w:w="2158" w:type="dxa"/>
            <w:gridSpan w:val="5"/>
            <w:vAlign w:val="center"/>
          </w:tcPr>
          <w:p w14:paraId="460A093F">
            <w:pPr>
              <w:widowControl/>
              <w:spacing w:line="240" w:lineRule="auto"/>
              <w:ind w:firstLine="0" w:firstLineChars="0"/>
              <w:jc w:val="center"/>
              <w:rPr>
                <w:kern w:val="0"/>
                <w:sz w:val="21"/>
                <w:szCs w:val="21"/>
              </w:rPr>
            </w:pPr>
            <w:r>
              <w:rPr>
                <w:kern w:val="0"/>
                <w:sz w:val="21"/>
                <w:szCs w:val="21"/>
              </w:rPr>
              <w:t>农民</w:t>
            </w:r>
          </w:p>
        </w:tc>
        <w:tc>
          <w:tcPr>
            <w:tcW w:w="2549" w:type="dxa"/>
            <w:gridSpan w:val="6"/>
            <w:vAlign w:val="center"/>
          </w:tcPr>
          <w:p w14:paraId="20B06DF3">
            <w:pPr>
              <w:widowControl/>
              <w:spacing w:line="240" w:lineRule="auto"/>
              <w:ind w:firstLine="0" w:firstLineChars="0"/>
              <w:jc w:val="center"/>
              <w:rPr>
                <w:kern w:val="0"/>
                <w:sz w:val="21"/>
                <w:szCs w:val="21"/>
              </w:rPr>
            </w:pPr>
            <w:r>
              <w:rPr>
                <w:kern w:val="0"/>
                <w:sz w:val="21"/>
                <w:szCs w:val="21"/>
              </w:rPr>
              <w:t>职工</w:t>
            </w:r>
          </w:p>
        </w:tc>
        <w:tc>
          <w:tcPr>
            <w:tcW w:w="2437" w:type="dxa"/>
            <w:gridSpan w:val="4"/>
            <w:vAlign w:val="center"/>
          </w:tcPr>
          <w:p w14:paraId="163DCDA5">
            <w:pPr>
              <w:widowControl/>
              <w:spacing w:line="240" w:lineRule="auto"/>
              <w:ind w:firstLine="0" w:firstLineChars="0"/>
              <w:jc w:val="center"/>
              <w:rPr>
                <w:kern w:val="0"/>
                <w:sz w:val="21"/>
                <w:szCs w:val="21"/>
              </w:rPr>
            </w:pPr>
            <w:r>
              <w:rPr>
                <w:kern w:val="0"/>
                <w:sz w:val="21"/>
                <w:szCs w:val="21"/>
              </w:rPr>
              <w:t>干部</w:t>
            </w:r>
          </w:p>
        </w:tc>
      </w:tr>
      <w:tr w14:paraId="56301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909" w:type="dxa"/>
            <w:vMerge w:val="continue"/>
            <w:vAlign w:val="center"/>
          </w:tcPr>
          <w:p w14:paraId="44599C9D">
            <w:pPr>
              <w:widowControl/>
              <w:spacing w:line="240" w:lineRule="auto"/>
              <w:ind w:firstLine="0" w:firstLineChars="0"/>
              <w:jc w:val="center"/>
              <w:rPr>
                <w:kern w:val="0"/>
                <w:sz w:val="21"/>
                <w:szCs w:val="21"/>
              </w:rPr>
            </w:pPr>
          </w:p>
        </w:tc>
        <w:tc>
          <w:tcPr>
            <w:tcW w:w="1093" w:type="dxa"/>
            <w:gridSpan w:val="3"/>
            <w:vAlign w:val="center"/>
          </w:tcPr>
          <w:p w14:paraId="09AFBCD4">
            <w:pPr>
              <w:widowControl/>
              <w:spacing w:line="240" w:lineRule="auto"/>
              <w:ind w:firstLine="0" w:firstLineChars="0"/>
              <w:jc w:val="center"/>
              <w:rPr>
                <w:kern w:val="0"/>
                <w:sz w:val="21"/>
                <w:szCs w:val="21"/>
              </w:rPr>
            </w:pPr>
            <w:r>
              <w:rPr>
                <w:kern w:val="0"/>
                <w:sz w:val="21"/>
                <w:szCs w:val="21"/>
              </w:rPr>
              <w:t>人数</w:t>
            </w:r>
          </w:p>
        </w:tc>
        <w:tc>
          <w:tcPr>
            <w:tcW w:w="1065" w:type="dxa"/>
            <w:gridSpan w:val="2"/>
            <w:vAlign w:val="center"/>
          </w:tcPr>
          <w:p w14:paraId="1E02C1EB">
            <w:pPr>
              <w:widowControl/>
              <w:spacing w:line="240" w:lineRule="auto"/>
              <w:ind w:firstLine="0" w:firstLineChars="0"/>
              <w:jc w:val="center"/>
              <w:rPr>
                <w:kern w:val="0"/>
                <w:sz w:val="21"/>
                <w:szCs w:val="21"/>
              </w:rPr>
            </w:pPr>
            <w:r>
              <w:rPr>
                <w:kern w:val="0"/>
                <w:sz w:val="21"/>
                <w:szCs w:val="21"/>
              </w:rPr>
              <w:t>占比例</w:t>
            </w:r>
          </w:p>
        </w:tc>
        <w:tc>
          <w:tcPr>
            <w:tcW w:w="1237" w:type="dxa"/>
            <w:gridSpan w:val="2"/>
            <w:vAlign w:val="center"/>
          </w:tcPr>
          <w:p w14:paraId="464750E8">
            <w:pPr>
              <w:widowControl/>
              <w:spacing w:line="240" w:lineRule="auto"/>
              <w:ind w:firstLine="0" w:firstLineChars="0"/>
              <w:jc w:val="center"/>
              <w:rPr>
                <w:kern w:val="0"/>
                <w:sz w:val="21"/>
                <w:szCs w:val="21"/>
              </w:rPr>
            </w:pPr>
            <w:r>
              <w:rPr>
                <w:kern w:val="0"/>
                <w:sz w:val="21"/>
                <w:szCs w:val="21"/>
              </w:rPr>
              <w:t>人数</w:t>
            </w:r>
          </w:p>
        </w:tc>
        <w:tc>
          <w:tcPr>
            <w:tcW w:w="1312" w:type="dxa"/>
            <w:gridSpan w:val="4"/>
            <w:vAlign w:val="center"/>
          </w:tcPr>
          <w:p w14:paraId="79001AC9">
            <w:pPr>
              <w:widowControl/>
              <w:spacing w:line="240" w:lineRule="auto"/>
              <w:ind w:firstLine="0" w:firstLineChars="0"/>
              <w:jc w:val="center"/>
              <w:rPr>
                <w:kern w:val="0"/>
                <w:sz w:val="21"/>
                <w:szCs w:val="21"/>
              </w:rPr>
            </w:pPr>
            <w:r>
              <w:rPr>
                <w:kern w:val="0"/>
                <w:sz w:val="21"/>
                <w:szCs w:val="21"/>
              </w:rPr>
              <w:t>占比例</w:t>
            </w:r>
          </w:p>
        </w:tc>
        <w:tc>
          <w:tcPr>
            <w:tcW w:w="1184" w:type="dxa"/>
            <w:gridSpan w:val="2"/>
            <w:vAlign w:val="center"/>
          </w:tcPr>
          <w:p w14:paraId="78060109">
            <w:pPr>
              <w:widowControl/>
              <w:spacing w:line="240" w:lineRule="auto"/>
              <w:ind w:firstLine="0" w:firstLineChars="0"/>
              <w:jc w:val="center"/>
              <w:rPr>
                <w:kern w:val="0"/>
                <w:sz w:val="21"/>
                <w:szCs w:val="21"/>
              </w:rPr>
            </w:pPr>
            <w:r>
              <w:rPr>
                <w:kern w:val="0"/>
                <w:sz w:val="21"/>
                <w:szCs w:val="21"/>
              </w:rPr>
              <w:t>人数</w:t>
            </w:r>
          </w:p>
        </w:tc>
        <w:tc>
          <w:tcPr>
            <w:tcW w:w="1253" w:type="dxa"/>
            <w:gridSpan w:val="2"/>
            <w:vAlign w:val="center"/>
          </w:tcPr>
          <w:p w14:paraId="01138BCA">
            <w:pPr>
              <w:widowControl/>
              <w:spacing w:line="240" w:lineRule="auto"/>
              <w:ind w:firstLine="0" w:firstLineChars="0"/>
              <w:jc w:val="center"/>
              <w:rPr>
                <w:kern w:val="0"/>
                <w:sz w:val="21"/>
                <w:szCs w:val="21"/>
              </w:rPr>
            </w:pPr>
            <w:r>
              <w:rPr>
                <w:kern w:val="0"/>
                <w:sz w:val="21"/>
                <w:szCs w:val="21"/>
              </w:rPr>
              <w:t>占比例</w:t>
            </w:r>
          </w:p>
        </w:tc>
      </w:tr>
      <w:tr w14:paraId="1BE72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909" w:type="dxa"/>
            <w:vMerge w:val="continue"/>
            <w:vAlign w:val="center"/>
          </w:tcPr>
          <w:p w14:paraId="170A4AC2">
            <w:pPr>
              <w:widowControl/>
              <w:spacing w:line="240" w:lineRule="auto"/>
              <w:ind w:firstLine="0" w:firstLineChars="0"/>
              <w:jc w:val="center"/>
              <w:rPr>
                <w:kern w:val="0"/>
                <w:sz w:val="21"/>
                <w:szCs w:val="21"/>
              </w:rPr>
            </w:pPr>
          </w:p>
        </w:tc>
        <w:tc>
          <w:tcPr>
            <w:tcW w:w="1093" w:type="dxa"/>
            <w:gridSpan w:val="3"/>
            <w:vAlign w:val="center"/>
          </w:tcPr>
          <w:p w14:paraId="180EED0A">
            <w:pPr>
              <w:widowControl/>
              <w:spacing w:line="240" w:lineRule="auto"/>
              <w:ind w:firstLine="0" w:firstLineChars="0"/>
              <w:jc w:val="center"/>
              <w:rPr>
                <w:kern w:val="0"/>
                <w:sz w:val="21"/>
                <w:szCs w:val="21"/>
              </w:rPr>
            </w:pPr>
            <w:r>
              <w:rPr>
                <w:kern w:val="0"/>
                <w:sz w:val="21"/>
                <w:szCs w:val="21"/>
              </w:rPr>
              <w:t>14</w:t>
            </w:r>
          </w:p>
        </w:tc>
        <w:tc>
          <w:tcPr>
            <w:tcW w:w="1065" w:type="dxa"/>
            <w:gridSpan w:val="2"/>
            <w:vAlign w:val="center"/>
          </w:tcPr>
          <w:p w14:paraId="7679F6D8">
            <w:pPr>
              <w:widowControl/>
              <w:spacing w:line="240" w:lineRule="auto"/>
              <w:ind w:firstLine="0" w:firstLineChars="0"/>
              <w:jc w:val="center"/>
              <w:rPr>
                <w:kern w:val="0"/>
                <w:sz w:val="21"/>
                <w:szCs w:val="21"/>
              </w:rPr>
            </w:pPr>
            <w:r>
              <w:rPr>
                <w:kern w:val="0"/>
                <w:sz w:val="21"/>
                <w:szCs w:val="21"/>
              </w:rPr>
              <w:t>47%</w:t>
            </w:r>
          </w:p>
        </w:tc>
        <w:tc>
          <w:tcPr>
            <w:tcW w:w="1237" w:type="dxa"/>
            <w:gridSpan w:val="2"/>
            <w:vAlign w:val="center"/>
          </w:tcPr>
          <w:p w14:paraId="2D8325A4">
            <w:pPr>
              <w:widowControl/>
              <w:spacing w:line="240" w:lineRule="auto"/>
              <w:ind w:firstLine="0" w:firstLineChars="0"/>
              <w:jc w:val="center"/>
              <w:rPr>
                <w:kern w:val="0"/>
                <w:sz w:val="21"/>
                <w:szCs w:val="21"/>
              </w:rPr>
            </w:pPr>
            <w:r>
              <w:rPr>
                <w:kern w:val="0"/>
                <w:sz w:val="21"/>
                <w:szCs w:val="21"/>
              </w:rPr>
              <w:t>10</w:t>
            </w:r>
          </w:p>
        </w:tc>
        <w:tc>
          <w:tcPr>
            <w:tcW w:w="1312" w:type="dxa"/>
            <w:gridSpan w:val="4"/>
            <w:vAlign w:val="center"/>
          </w:tcPr>
          <w:p w14:paraId="114565B1">
            <w:pPr>
              <w:widowControl/>
              <w:spacing w:line="240" w:lineRule="auto"/>
              <w:ind w:firstLine="0" w:firstLineChars="0"/>
              <w:jc w:val="center"/>
              <w:rPr>
                <w:kern w:val="0"/>
                <w:sz w:val="21"/>
                <w:szCs w:val="21"/>
              </w:rPr>
            </w:pPr>
            <w:r>
              <w:rPr>
                <w:kern w:val="0"/>
                <w:sz w:val="21"/>
                <w:szCs w:val="21"/>
              </w:rPr>
              <w:t>33%</w:t>
            </w:r>
          </w:p>
        </w:tc>
        <w:tc>
          <w:tcPr>
            <w:tcW w:w="1184" w:type="dxa"/>
            <w:gridSpan w:val="2"/>
            <w:vAlign w:val="center"/>
          </w:tcPr>
          <w:p w14:paraId="4E9BF655">
            <w:pPr>
              <w:widowControl/>
              <w:spacing w:line="240" w:lineRule="auto"/>
              <w:ind w:firstLine="0" w:firstLineChars="0"/>
              <w:jc w:val="center"/>
              <w:rPr>
                <w:kern w:val="0"/>
                <w:sz w:val="21"/>
                <w:szCs w:val="21"/>
              </w:rPr>
            </w:pPr>
            <w:r>
              <w:rPr>
                <w:kern w:val="0"/>
                <w:sz w:val="21"/>
                <w:szCs w:val="21"/>
              </w:rPr>
              <w:t>6</w:t>
            </w:r>
          </w:p>
        </w:tc>
        <w:tc>
          <w:tcPr>
            <w:tcW w:w="1253" w:type="dxa"/>
            <w:gridSpan w:val="2"/>
            <w:vAlign w:val="center"/>
          </w:tcPr>
          <w:p w14:paraId="2CBEC430">
            <w:pPr>
              <w:widowControl/>
              <w:spacing w:line="240" w:lineRule="auto"/>
              <w:ind w:firstLine="0" w:firstLineChars="0"/>
              <w:jc w:val="center"/>
              <w:rPr>
                <w:kern w:val="0"/>
                <w:sz w:val="21"/>
                <w:szCs w:val="21"/>
              </w:rPr>
            </w:pPr>
            <w:r>
              <w:rPr>
                <w:kern w:val="0"/>
                <w:sz w:val="21"/>
                <w:szCs w:val="21"/>
              </w:rPr>
              <w:t>20%</w:t>
            </w:r>
          </w:p>
        </w:tc>
      </w:tr>
      <w:tr w14:paraId="68431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909" w:type="dxa"/>
            <w:vMerge w:val="restart"/>
            <w:vAlign w:val="center"/>
          </w:tcPr>
          <w:p w14:paraId="1FDF6FA0">
            <w:pPr>
              <w:widowControl/>
              <w:spacing w:line="240" w:lineRule="auto"/>
              <w:ind w:firstLine="0" w:firstLineChars="0"/>
              <w:jc w:val="center"/>
              <w:rPr>
                <w:kern w:val="0"/>
                <w:sz w:val="21"/>
                <w:szCs w:val="21"/>
              </w:rPr>
            </w:pPr>
            <w:r>
              <w:rPr>
                <w:kern w:val="0"/>
                <w:sz w:val="21"/>
                <w:szCs w:val="21"/>
              </w:rPr>
              <w:t>文化程度</w:t>
            </w:r>
          </w:p>
        </w:tc>
        <w:tc>
          <w:tcPr>
            <w:tcW w:w="2158" w:type="dxa"/>
            <w:gridSpan w:val="5"/>
            <w:vAlign w:val="center"/>
          </w:tcPr>
          <w:p w14:paraId="7CB1646A">
            <w:pPr>
              <w:widowControl/>
              <w:spacing w:line="240" w:lineRule="auto"/>
              <w:ind w:firstLine="0" w:firstLineChars="0"/>
              <w:jc w:val="center"/>
              <w:rPr>
                <w:kern w:val="0"/>
                <w:sz w:val="21"/>
                <w:szCs w:val="21"/>
              </w:rPr>
            </w:pPr>
            <w:r>
              <w:rPr>
                <w:kern w:val="0"/>
                <w:sz w:val="21"/>
                <w:szCs w:val="21"/>
              </w:rPr>
              <w:t>高中</w:t>
            </w:r>
          </w:p>
        </w:tc>
        <w:tc>
          <w:tcPr>
            <w:tcW w:w="2549" w:type="dxa"/>
            <w:gridSpan w:val="6"/>
            <w:vAlign w:val="center"/>
          </w:tcPr>
          <w:p w14:paraId="3BC14C09">
            <w:pPr>
              <w:widowControl/>
              <w:spacing w:line="240" w:lineRule="auto"/>
              <w:ind w:firstLine="0" w:firstLineChars="0"/>
              <w:jc w:val="center"/>
              <w:rPr>
                <w:kern w:val="0"/>
                <w:sz w:val="21"/>
                <w:szCs w:val="21"/>
              </w:rPr>
            </w:pPr>
            <w:r>
              <w:rPr>
                <w:kern w:val="0"/>
                <w:sz w:val="21"/>
                <w:szCs w:val="21"/>
              </w:rPr>
              <w:t>初中</w:t>
            </w:r>
          </w:p>
        </w:tc>
        <w:tc>
          <w:tcPr>
            <w:tcW w:w="2437" w:type="dxa"/>
            <w:gridSpan w:val="4"/>
            <w:vAlign w:val="center"/>
          </w:tcPr>
          <w:p w14:paraId="37B0D3CE">
            <w:pPr>
              <w:widowControl/>
              <w:spacing w:line="240" w:lineRule="auto"/>
              <w:ind w:firstLine="0" w:firstLineChars="0"/>
              <w:jc w:val="center"/>
              <w:rPr>
                <w:kern w:val="0"/>
                <w:sz w:val="21"/>
                <w:szCs w:val="21"/>
              </w:rPr>
            </w:pPr>
            <w:r>
              <w:rPr>
                <w:kern w:val="0"/>
                <w:sz w:val="21"/>
                <w:szCs w:val="21"/>
              </w:rPr>
              <w:t>小学以下</w:t>
            </w:r>
          </w:p>
        </w:tc>
      </w:tr>
      <w:tr w14:paraId="66BCE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909" w:type="dxa"/>
            <w:vMerge w:val="continue"/>
            <w:vAlign w:val="center"/>
          </w:tcPr>
          <w:p w14:paraId="14DBF3BF">
            <w:pPr>
              <w:widowControl/>
              <w:spacing w:line="240" w:lineRule="auto"/>
              <w:ind w:firstLine="0" w:firstLineChars="0"/>
              <w:jc w:val="center"/>
              <w:rPr>
                <w:kern w:val="0"/>
                <w:sz w:val="21"/>
                <w:szCs w:val="21"/>
              </w:rPr>
            </w:pPr>
          </w:p>
        </w:tc>
        <w:tc>
          <w:tcPr>
            <w:tcW w:w="1079" w:type="dxa"/>
            <w:gridSpan w:val="2"/>
            <w:vAlign w:val="center"/>
          </w:tcPr>
          <w:p w14:paraId="72C3414C">
            <w:pPr>
              <w:widowControl/>
              <w:spacing w:line="240" w:lineRule="auto"/>
              <w:ind w:firstLine="0" w:firstLineChars="0"/>
              <w:jc w:val="center"/>
              <w:rPr>
                <w:kern w:val="0"/>
                <w:sz w:val="21"/>
                <w:szCs w:val="21"/>
              </w:rPr>
            </w:pPr>
            <w:r>
              <w:rPr>
                <w:kern w:val="0"/>
                <w:sz w:val="21"/>
                <w:szCs w:val="21"/>
              </w:rPr>
              <w:t>人数</w:t>
            </w:r>
          </w:p>
        </w:tc>
        <w:tc>
          <w:tcPr>
            <w:tcW w:w="1079" w:type="dxa"/>
            <w:gridSpan w:val="3"/>
            <w:vAlign w:val="center"/>
          </w:tcPr>
          <w:p w14:paraId="41732E75">
            <w:pPr>
              <w:widowControl/>
              <w:spacing w:line="240" w:lineRule="auto"/>
              <w:ind w:firstLine="0" w:firstLineChars="0"/>
              <w:jc w:val="center"/>
              <w:rPr>
                <w:kern w:val="0"/>
                <w:sz w:val="21"/>
                <w:szCs w:val="21"/>
              </w:rPr>
            </w:pPr>
            <w:r>
              <w:rPr>
                <w:kern w:val="0"/>
                <w:sz w:val="21"/>
                <w:szCs w:val="21"/>
              </w:rPr>
              <w:t>占比例</w:t>
            </w:r>
          </w:p>
        </w:tc>
        <w:tc>
          <w:tcPr>
            <w:tcW w:w="1251" w:type="dxa"/>
            <w:gridSpan w:val="3"/>
            <w:vAlign w:val="center"/>
          </w:tcPr>
          <w:p w14:paraId="5351926A">
            <w:pPr>
              <w:widowControl/>
              <w:spacing w:line="240" w:lineRule="auto"/>
              <w:ind w:firstLine="0" w:firstLineChars="0"/>
              <w:jc w:val="center"/>
              <w:rPr>
                <w:kern w:val="0"/>
                <w:sz w:val="21"/>
                <w:szCs w:val="21"/>
              </w:rPr>
            </w:pPr>
            <w:r>
              <w:rPr>
                <w:kern w:val="0"/>
                <w:sz w:val="21"/>
                <w:szCs w:val="21"/>
              </w:rPr>
              <w:t>人数</w:t>
            </w:r>
          </w:p>
        </w:tc>
        <w:tc>
          <w:tcPr>
            <w:tcW w:w="1298" w:type="dxa"/>
            <w:gridSpan w:val="3"/>
            <w:vAlign w:val="center"/>
          </w:tcPr>
          <w:p w14:paraId="5A514D35">
            <w:pPr>
              <w:widowControl/>
              <w:spacing w:line="240" w:lineRule="auto"/>
              <w:ind w:firstLine="0" w:firstLineChars="0"/>
              <w:jc w:val="center"/>
              <w:rPr>
                <w:kern w:val="0"/>
                <w:sz w:val="21"/>
                <w:szCs w:val="21"/>
              </w:rPr>
            </w:pPr>
            <w:r>
              <w:rPr>
                <w:kern w:val="0"/>
                <w:sz w:val="21"/>
                <w:szCs w:val="21"/>
              </w:rPr>
              <w:t>占比例</w:t>
            </w:r>
          </w:p>
        </w:tc>
        <w:tc>
          <w:tcPr>
            <w:tcW w:w="1184" w:type="dxa"/>
            <w:gridSpan w:val="2"/>
            <w:vAlign w:val="center"/>
          </w:tcPr>
          <w:p w14:paraId="32BBC165">
            <w:pPr>
              <w:widowControl/>
              <w:spacing w:line="240" w:lineRule="auto"/>
              <w:ind w:firstLine="0" w:firstLineChars="0"/>
              <w:jc w:val="center"/>
              <w:rPr>
                <w:kern w:val="0"/>
                <w:sz w:val="21"/>
                <w:szCs w:val="21"/>
              </w:rPr>
            </w:pPr>
            <w:r>
              <w:rPr>
                <w:kern w:val="0"/>
                <w:sz w:val="21"/>
                <w:szCs w:val="21"/>
              </w:rPr>
              <w:t>人数</w:t>
            </w:r>
          </w:p>
        </w:tc>
        <w:tc>
          <w:tcPr>
            <w:tcW w:w="1253" w:type="dxa"/>
            <w:gridSpan w:val="2"/>
            <w:vAlign w:val="center"/>
          </w:tcPr>
          <w:p w14:paraId="0F9A194F">
            <w:pPr>
              <w:widowControl/>
              <w:spacing w:line="240" w:lineRule="auto"/>
              <w:ind w:firstLine="0" w:firstLineChars="0"/>
              <w:jc w:val="center"/>
              <w:rPr>
                <w:kern w:val="0"/>
                <w:sz w:val="21"/>
                <w:szCs w:val="21"/>
              </w:rPr>
            </w:pPr>
            <w:r>
              <w:rPr>
                <w:kern w:val="0"/>
                <w:sz w:val="21"/>
                <w:szCs w:val="21"/>
              </w:rPr>
              <w:t>占比例</w:t>
            </w:r>
          </w:p>
        </w:tc>
      </w:tr>
      <w:tr w14:paraId="1DD63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909" w:type="dxa"/>
            <w:vMerge w:val="continue"/>
            <w:vAlign w:val="center"/>
          </w:tcPr>
          <w:p w14:paraId="0F81004E">
            <w:pPr>
              <w:widowControl/>
              <w:spacing w:line="240" w:lineRule="auto"/>
              <w:ind w:firstLine="0" w:firstLineChars="0"/>
              <w:jc w:val="center"/>
              <w:rPr>
                <w:kern w:val="0"/>
                <w:sz w:val="21"/>
                <w:szCs w:val="21"/>
              </w:rPr>
            </w:pPr>
          </w:p>
        </w:tc>
        <w:tc>
          <w:tcPr>
            <w:tcW w:w="1079" w:type="dxa"/>
            <w:gridSpan w:val="2"/>
            <w:vAlign w:val="center"/>
          </w:tcPr>
          <w:p w14:paraId="6FD33096">
            <w:pPr>
              <w:widowControl/>
              <w:spacing w:line="240" w:lineRule="auto"/>
              <w:ind w:firstLine="0" w:firstLineChars="0"/>
              <w:jc w:val="center"/>
              <w:rPr>
                <w:kern w:val="0"/>
                <w:sz w:val="21"/>
                <w:szCs w:val="21"/>
              </w:rPr>
            </w:pPr>
            <w:r>
              <w:rPr>
                <w:kern w:val="0"/>
                <w:sz w:val="21"/>
                <w:szCs w:val="21"/>
              </w:rPr>
              <w:t>9</w:t>
            </w:r>
          </w:p>
        </w:tc>
        <w:tc>
          <w:tcPr>
            <w:tcW w:w="1079" w:type="dxa"/>
            <w:gridSpan w:val="3"/>
            <w:vAlign w:val="center"/>
          </w:tcPr>
          <w:p w14:paraId="7A376890">
            <w:pPr>
              <w:widowControl/>
              <w:spacing w:line="240" w:lineRule="auto"/>
              <w:ind w:firstLine="0" w:firstLineChars="0"/>
              <w:jc w:val="center"/>
              <w:rPr>
                <w:kern w:val="0"/>
                <w:sz w:val="21"/>
                <w:szCs w:val="21"/>
              </w:rPr>
            </w:pPr>
            <w:r>
              <w:rPr>
                <w:kern w:val="0"/>
                <w:sz w:val="21"/>
                <w:szCs w:val="21"/>
              </w:rPr>
              <w:t>30%</w:t>
            </w:r>
          </w:p>
        </w:tc>
        <w:tc>
          <w:tcPr>
            <w:tcW w:w="1251" w:type="dxa"/>
            <w:gridSpan w:val="3"/>
            <w:vAlign w:val="center"/>
          </w:tcPr>
          <w:p w14:paraId="2D30E061">
            <w:pPr>
              <w:widowControl/>
              <w:spacing w:line="240" w:lineRule="auto"/>
              <w:ind w:firstLine="0" w:firstLineChars="0"/>
              <w:jc w:val="center"/>
              <w:rPr>
                <w:kern w:val="0"/>
                <w:sz w:val="21"/>
                <w:szCs w:val="21"/>
              </w:rPr>
            </w:pPr>
            <w:r>
              <w:rPr>
                <w:kern w:val="0"/>
                <w:sz w:val="21"/>
                <w:szCs w:val="21"/>
              </w:rPr>
              <w:t>18</w:t>
            </w:r>
          </w:p>
        </w:tc>
        <w:tc>
          <w:tcPr>
            <w:tcW w:w="1298" w:type="dxa"/>
            <w:gridSpan w:val="3"/>
            <w:vAlign w:val="center"/>
          </w:tcPr>
          <w:p w14:paraId="21B3708A">
            <w:pPr>
              <w:widowControl/>
              <w:spacing w:line="240" w:lineRule="auto"/>
              <w:ind w:firstLine="0" w:firstLineChars="0"/>
              <w:jc w:val="center"/>
              <w:rPr>
                <w:kern w:val="0"/>
                <w:sz w:val="21"/>
                <w:szCs w:val="21"/>
              </w:rPr>
            </w:pPr>
            <w:r>
              <w:rPr>
                <w:kern w:val="0"/>
                <w:sz w:val="21"/>
                <w:szCs w:val="21"/>
              </w:rPr>
              <w:t>60%</w:t>
            </w:r>
          </w:p>
        </w:tc>
        <w:tc>
          <w:tcPr>
            <w:tcW w:w="1184" w:type="dxa"/>
            <w:gridSpan w:val="2"/>
            <w:vAlign w:val="center"/>
          </w:tcPr>
          <w:p w14:paraId="31455AB9">
            <w:pPr>
              <w:widowControl/>
              <w:spacing w:line="240" w:lineRule="auto"/>
              <w:ind w:firstLine="0" w:firstLineChars="0"/>
              <w:jc w:val="center"/>
              <w:rPr>
                <w:kern w:val="0"/>
                <w:sz w:val="21"/>
                <w:szCs w:val="21"/>
              </w:rPr>
            </w:pPr>
            <w:r>
              <w:rPr>
                <w:kern w:val="0"/>
                <w:sz w:val="21"/>
                <w:szCs w:val="21"/>
              </w:rPr>
              <w:t>3</w:t>
            </w:r>
          </w:p>
        </w:tc>
        <w:tc>
          <w:tcPr>
            <w:tcW w:w="1253" w:type="dxa"/>
            <w:gridSpan w:val="2"/>
            <w:vAlign w:val="center"/>
          </w:tcPr>
          <w:p w14:paraId="2A991991">
            <w:pPr>
              <w:widowControl/>
              <w:spacing w:line="240" w:lineRule="auto"/>
              <w:ind w:firstLine="0" w:firstLineChars="0"/>
              <w:jc w:val="center"/>
              <w:rPr>
                <w:kern w:val="0"/>
                <w:sz w:val="21"/>
                <w:szCs w:val="21"/>
              </w:rPr>
            </w:pPr>
            <w:r>
              <w:rPr>
                <w:kern w:val="0"/>
                <w:sz w:val="21"/>
                <w:szCs w:val="21"/>
              </w:rPr>
              <w:t>10%</w:t>
            </w:r>
          </w:p>
        </w:tc>
      </w:tr>
      <w:tr w14:paraId="475D7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909" w:type="dxa"/>
            <w:vMerge w:val="restart"/>
            <w:vAlign w:val="center"/>
          </w:tcPr>
          <w:p w14:paraId="15E61F7B">
            <w:pPr>
              <w:widowControl/>
              <w:spacing w:line="240" w:lineRule="auto"/>
              <w:ind w:firstLine="0" w:firstLineChars="0"/>
              <w:jc w:val="center"/>
              <w:rPr>
                <w:kern w:val="0"/>
                <w:sz w:val="21"/>
                <w:szCs w:val="21"/>
              </w:rPr>
            </w:pPr>
            <w:r>
              <w:rPr>
                <w:kern w:val="0"/>
                <w:sz w:val="21"/>
                <w:szCs w:val="21"/>
              </w:rPr>
              <w:t>调查项目</w:t>
            </w:r>
          </w:p>
        </w:tc>
        <w:tc>
          <w:tcPr>
            <w:tcW w:w="1734" w:type="dxa"/>
            <w:gridSpan w:val="4"/>
            <w:vAlign w:val="center"/>
          </w:tcPr>
          <w:p w14:paraId="6D645879">
            <w:pPr>
              <w:widowControl/>
              <w:spacing w:line="240" w:lineRule="auto"/>
              <w:ind w:firstLine="0" w:firstLineChars="0"/>
              <w:jc w:val="center"/>
              <w:rPr>
                <w:kern w:val="0"/>
                <w:sz w:val="21"/>
                <w:szCs w:val="21"/>
              </w:rPr>
            </w:pPr>
            <w:r>
              <w:rPr>
                <w:kern w:val="0"/>
                <w:sz w:val="21"/>
                <w:szCs w:val="21"/>
              </w:rPr>
              <w:t>好</w:t>
            </w:r>
          </w:p>
        </w:tc>
        <w:tc>
          <w:tcPr>
            <w:tcW w:w="1789" w:type="dxa"/>
            <w:gridSpan w:val="5"/>
            <w:vAlign w:val="center"/>
          </w:tcPr>
          <w:p w14:paraId="039650DD">
            <w:pPr>
              <w:widowControl/>
              <w:spacing w:line="240" w:lineRule="auto"/>
              <w:ind w:firstLine="0" w:firstLineChars="0"/>
              <w:jc w:val="center"/>
              <w:rPr>
                <w:kern w:val="0"/>
                <w:sz w:val="21"/>
                <w:szCs w:val="21"/>
              </w:rPr>
            </w:pPr>
            <w:r>
              <w:rPr>
                <w:kern w:val="0"/>
                <w:sz w:val="21"/>
                <w:szCs w:val="21"/>
              </w:rPr>
              <w:t>一般</w:t>
            </w:r>
          </w:p>
        </w:tc>
        <w:tc>
          <w:tcPr>
            <w:tcW w:w="1781" w:type="dxa"/>
            <w:gridSpan w:val="3"/>
            <w:vAlign w:val="center"/>
          </w:tcPr>
          <w:p w14:paraId="0FABF883">
            <w:pPr>
              <w:widowControl/>
              <w:spacing w:line="240" w:lineRule="auto"/>
              <w:ind w:firstLine="0" w:firstLineChars="0"/>
              <w:jc w:val="center"/>
              <w:rPr>
                <w:kern w:val="0"/>
                <w:sz w:val="21"/>
                <w:szCs w:val="21"/>
              </w:rPr>
            </w:pPr>
            <w:r>
              <w:rPr>
                <w:kern w:val="0"/>
                <w:sz w:val="21"/>
                <w:szCs w:val="21"/>
              </w:rPr>
              <w:t>差</w:t>
            </w:r>
          </w:p>
        </w:tc>
        <w:tc>
          <w:tcPr>
            <w:tcW w:w="1840" w:type="dxa"/>
            <w:gridSpan w:val="3"/>
            <w:vAlign w:val="center"/>
          </w:tcPr>
          <w:p w14:paraId="422BC48B">
            <w:pPr>
              <w:widowControl/>
              <w:spacing w:line="240" w:lineRule="auto"/>
              <w:ind w:firstLine="0" w:firstLineChars="0"/>
              <w:jc w:val="center"/>
              <w:rPr>
                <w:kern w:val="0"/>
                <w:sz w:val="21"/>
                <w:szCs w:val="21"/>
              </w:rPr>
            </w:pPr>
            <w:r>
              <w:rPr>
                <w:kern w:val="0"/>
                <w:sz w:val="21"/>
                <w:szCs w:val="21"/>
              </w:rPr>
              <w:t>说不清</w:t>
            </w:r>
          </w:p>
        </w:tc>
      </w:tr>
      <w:tr w14:paraId="546EC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909" w:type="dxa"/>
            <w:vMerge w:val="continue"/>
            <w:vAlign w:val="center"/>
          </w:tcPr>
          <w:p w14:paraId="7F78A656">
            <w:pPr>
              <w:widowControl/>
              <w:spacing w:line="240" w:lineRule="auto"/>
              <w:ind w:firstLine="0" w:firstLineChars="0"/>
              <w:jc w:val="center"/>
              <w:rPr>
                <w:kern w:val="0"/>
                <w:sz w:val="21"/>
                <w:szCs w:val="21"/>
              </w:rPr>
            </w:pPr>
          </w:p>
        </w:tc>
        <w:tc>
          <w:tcPr>
            <w:tcW w:w="834" w:type="dxa"/>
            <w:vAlign w:val="center"/>
          </w:tcPr>
          <w:p w14:paraId="32188248">
            <w:pPr>
              <w:widowControl/>
              <w:spacing w:line="240" w:lineRule="auto"/>
              <w:ind w:firstLine="0" w:firstLineChars="0"/>
              <w:jc w:val="center"/>
              <w:rPr>
                <w:kern w:val="0"/>
                <w:sz w:val="21"/>
                <w:szCs w:val="21"/>
              </w:rPr>
            </w:pPr>
            <w:r>
              <w:rPr>
                <w:kern w:val="0"/>
                <w:sz w:val="21"/>
                <w:szCs w:val="21"/>
              </w:rPr>
              <w:t>人数</w:t>
            </w:r>
          </w:p>
        </w:tc>
        <w:tc>
          <w:tcPr>
            <w:tcW w:w="900" w:type="dxa"/>
            <w:gridSpan w:val="3"/>
            <w:vAlign w:val="center"/>
          </w:tcPr>
          <w:p w14:paraId="0CF1388D">
            <w:pPr>
              <w:widowControl/>
              <w:spacing w:line="240" w:lineRule="auto"/>
              <w:ind w:firstLine="0" w:firstLineChars="0"/>
              <w:jc w:val="center"/>
              <w:rPr>
                <w:kern w:val="0"/>
                <w:sz w:val="21"/>
                <w:szCs w:val="21"/>
              </w:rPr>
            </w:pPr>
            <w:r>
              <w:rPr>
                <w:kern w:val="0"/>
                <w:sz w:val="21"/>
                <w:szCs w:val="21"/>
              </w:rPr>
              <w:t>占比例</w:t>
            </w:r>
          </w:p>
        </w:tc>
        <w:tc>
          <w:tcPr>
            <w:tcW w:w="830" w:type="dxa"/>
            <w:gridSpan w:val="2"/>
            <w:vAlign w:val="center"/>
          </w:tcPr>
          <w:p w14:paraId="0A2C8437">
            <w:pPr>
              <w:widowControl/>
              <w:spacing w:line="240" w:lineRule="auto"/>
              <w:ind w:firstLine="0" w:firstLineChars="0"/>
              <w:jc w:val="center"/>
              <w:rPr>
                <w:kern w:val="0"/>
                <w:sz w:val="21"/>
                <w:szCs w:val="21"/>
              </w:rPr>
            </w:pPr>
            <w:r>
              <w:rPr>
                <w:kern w:val="0"/>
                <w:sz w:val="21"/>
                <w:szCs w:val="21"/>
              </w:rPr>
              <w:t>人数</w:t>
            </w:r>
          </w:p>
        </w:tc>
        <w:tc>
          <w:tcPr>
            <w:tcW w:w="959" w:type="dxa"/>
            <w:gridSpan w:val="3"/>
            <w:vAlign w:val="center"/>
          </w:tcPr>
          <w:p w14:paraId="4BA78BEA">
            <w:pPr>
              <w:widowControl/>
              <w:spacing w:line="240" w:lineRule="auto"/>
              <w:ind w:firstLine="0" w:firstLineChars="0"/>
              <w:jc w:val="center"/>
              <w:rPr>
                <w:kern w:val="0"/>
                <w:sz w:val="21"/>
                <w:szCs w:val="21"/>
              </w:rPr>
            </w:pPr>
            <w:r>
              <w:rPr>
                <w:kern w:val="0"/>
                <w:sz w:val="21"/>
                <w:szCs w:val="21"/>
              </w:rPr>
              <w:t>占比例</w:t>
            </w:r>
          </w:p>
        </w:tc>
        <w:tc>
          <w:tcPr>
            <w:tcW w:w="829" w:type="dxa"/>
            <w:vAlign w:val="center"/>
          </w:tcPr>
          <w:p w14:paraId="3F8FBD5A">
            <w:pPr>
              <w:widowControl/>
              <w:spacing w:line="240" w:lineRule="auto"/>
              <w:ind w:firstLine="0" w:firstLineChars="0"/>
              <w:jc w:val="center"/>
              <w:rPr>
                <w:kern w:val="0"/>
                <w:sz w:val="21"/>
                <w:szCs w:val="21"/>
              </w:rPr>
            </w:pPr>
            <w:r>
              <w:rPr>
                <w:kern w:val="0"/>
                <w:sz w:val="21"/>
                <w:szCs w:val="21"/>
              </w:rPr>
              <w:t>人数</w:t>
            </w:r>
          </w:p>
        </w:tc>
        <w:tc>
          <w:tcPr>
            <w:tcW w:w="952" w:type="dxa"/>
            <w:gridSpan w:val="2"/>
            <w:vAlign w:val="center"/>
          </w:tcPr>
          <w:p w14:paraId="09E4AE7F">
            <w:pPr>
              <w:widowControl/>
              <w:spacing w:line="240" w:lineRule="auto"/>
              <w:ind w:firstLine="0" w:firstLineChars="0"/>
              <w:jc w:val="center"/>
              <w:rPr>
                <w:kern w:val="0"/>
                <w:sz w:val="21"/>
                <w:szCs w:val="21"/>
              </w:rPr>
            </w:pPr>
            <w:r>
              <w:rPr>
                <w:kern w:val="0"/>
                <w:sz w:val="21"/>
                <w:szCs w:val="21"/>
              </w:rPr>
              <w:t>占比例</w:t>
            </w:r>
          </w:p>
        </w:tc>
        <w:tc>
          <w:tcPr>
            <w:tcW w:w="830" w:type="dxa"/>
            <w:gridSpan w:val="2"/>
            <w:vAlign w:val="center"/>
          </w:tcPr>
          <w:p w14:paraId="10633B91">
            <w:pPr>
              <w:widowControl/>
              <w:spacing w:line="240" w:lineRule="auto"/>
              <w:ind w:firstLine="0" w:firstLineChars="0"/>
              <w:jc w:val="center"/>
              <w:rPr>
                <w:kern w:val="0"/>
                <w:sz w:val="21"/>
                <w:szCs w:val="21"/>
              </w:rPr>
            </w:pPr>
            <w:r>
              <w:rPr>
                <w:kern w:val="0"/>
                <w:sz w:val="21"/>
                <w:szCs w:val="21"/>
              </w:rPr>
              <w:t>人数</w:t>
            </w:r>
          </w:p>
        </w:tc>
        <w:tc>
          <w:tcPr>
            <w:tcW w:w="1010" w:type="dxa"/>
            <w:vAlign w:val="center"/>
          </w:tcPr>
          <w:p w14:paraId="6DCC40C3">
            <w:pPr>
              <w:widowControl/>
              <w:spacing w:line="240" w:lineRule="auto"/>
              <w:ind w:firstLine="0" w:firstLineChars="0"/>
              <w:jc w:val="center"/>
              <w:rPr>
                <w:kern w:val="0"/>
                <w:sz w:val="21"/>
                <w:szCs w:val="21"/>
              </w:rPr>
            </w:pPr>
            <w:r>
              <w:rPr>
                <w:kern w:val="0"/>
                <w:sz w:val="21"/>
                <w:szCs w:val="21"/>
              </w:rPr>
              <w:t>占比例</w:t>
            </w:r>
          </w:p>
        </w:tc>
      </w:tr>
      <w:tr w14:paraId="4013D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909" w:type="dxa"/>
            <w:vAlign w:val="center"/>
          </w:tcPr>
          <w:p w14:paraId="6AC26D68">
            <w:pPr>
              <w:widowControl/>
              <w:spacing w:line="240" w:lineRule="auto"/>
              <w:ind w:firstLine="0" w:firstLineChars="0"/>
              <w:jc w:val="center"/>
              <w:rPr>
                <w:kern w:val="0"/>
                <w:sz w:val="21"/>
                <w:szCs w:val="21"/>
              </w:rPr>
            </w:pPr>
            <w:r>
              <w:rPr>
                <w:kern w:val="0"/>
                <w:sz w:val="21"/>
                <w:szCs w:val="21"/>
              </w:rPr>
              <w:t>对当地经济的影响</w:t>
            </w:r>
          </w:p>
        </w:tc>
        <w:tc>
          <w:tcPr>
            <w:tcW w:w="834" w:type="dxa"/>
            <w:vAlign w:val="center"/>
          </w:tcPr>
          <w:p w14:paraId="082C98D3">
            <w:pPr>
              <w:widowControl/>
              <w:spacing w:line="240" w:lineRule="auto"/>
              <w:ind w:firstLine="0" w:firstLineChars="0"/>
              <w:jc w:val="center"/>
              <w:rPr>
                <w:kern w:val="0"/>
                <w:sz w:val="21"/>
                <w:szCs w:val="21"/>
              </w:rPr>
            </w:pPr>
            <w:r>
              <w:rPr>
                <w:kern w:val="0"/>
                <w:sz w:val="21"/>
                <w:szCs w:val="21"/>
              </w:rPr>
              <w:t>24</w:t>
            </w:r>
          </w:p>
        </w:tc>
        <w:tc>
          <w:tcPr>
            <w:tcW w:w="900" w:type="dxa"/>
            <w:gridSpan w:val="3"/>
            <w:vAlign w:val="center"/>
          </w:tcPr>
          <w:p w14:paraId="3EAAD05E">
            <w:pPr>
              <w:widowControl/>
              <w:spacing w:line="240" w:lineRule="auto"/>
              <w:ind w:firstLine="0" w:firstLineChars="0"/>
              <w:jc w:val="center"/>
              <w:rPr>
                <w:kern w:val="0"/>
                <w:sz w:val="21"/>
                <w:szCs w:val="21"/>
              </w:rPr>
            </w:pPr>
            <w:r>
              <w:rPr>
                <w:kern w:val="0"/>
                <w:sz w:val="21"/>
                <w:szCs w:val="21"/>
              </w:rPr>
              <w:t>80%</w:t>
            </w:r>
          </w:p>
        </w:tc>
        <w:tc>
          <w:tcPr>
            <w:tcW w:w="830" w:type="dxa"/>
            <w:gridSpan w:val="2"/>
            <w:vAlign w:val="center"/>
          </w:tcPr>
          <w:p w14:paraId="0CF75BFF">
            <w:pPr>
              <w:widowControl/>
              <w:spacing w:line="240" w:lineRule="auto"/>
              <w:ind w:firstLine="0" w:firstLineChars="0"/>
              <w:jc w:val="center"/>
              <w:rPr>
                <w:kern w:val="0"/>
                <w:sz w:val="21"/>
                <w:szCs w:val="21"/>
              </w:rPr>
            </w:pPr>
            <w:r>
              <w:rPr>
                <w:kern w:val="0"/>
                <w:sz w:val="21"/>
                <w:szCs w:val="21"/>
              </w:rPr>
              <w:t>3</w:t>
            </w:r>
          </w:p>
        </w:tc>
        <w:tc>
          <w:tcPr>
            <w:tcW w:w="959" w:type="dxa"/>
            <w:gridSpan w:val="3"/>
            <w:vAlign w:val="center"/>
          </w:tcPr>
          <w:p w14:paraId="23843D52">
            <w:pPr>
              <w:widowControl/>
              <w:spacing w:line="240" w:lineRule="auto"/>
              <w:ind w:firstLine="0" w:firstLineChars="0"/>
              <w:jc w:val="center"/>
              <w:rPr>
                <w:kern w:val="0"/>
                <w:sz w:val="21"/>
                <w:szCs w:val="21"/>
              </w:rPr>
            </w:pPr>
            <w:r>
              <w:rPr>
                <w:kern w:val="0"/>
                <w:sz w:val="21"/>
                <w:szCs w:val="21"/>
              </w:rPr>
              <w:t>10%</w:t>
            </w:r>
          </w:p>
        </w:tc>
        <w:tc>
          <w:tcPr>
            <w:tcW w:w="829" w:type="dxa"/>
            <w:vAlign w:val="center"/>
          </w:tcPr>
          <w:p w14:paraId="00B88938">
            <w:pPr>
              <w:widowControl/>
              <w:spacing w:line="240" w:lineRule="auto"/>
              <w:ind w:firstLine="0" w:firstLineChars="0"/>
              <w:jc w:val="center"/>
              <w:rPr>
                <w:kern w:val="0"/>
                <w:sz w:val="21"/>
                <w:szCs w:val="21"/>
              </w:rPr>
            </w:pPr>
            <w:r>
              <w:rPr>
                <w:rFonts w:hint="eastAsia"/>
                <w:kern w:val="0"/>
                <w:sz w:val="21"/>
                <w:szCs w:val="21"/>
              </w:rPr>
              <w:t>0</w:t>
            </w:r>
          </w:p>
        </w:tc>
        <w:tc>
          <w:tcPr>
            <w:tcW w:w="952" w:type="dxa"/>
            <w:gridSpan w:val="2"/>
            <w:vAlign w:val="center"/>
          </w:tcPr>
          <w:p w14:paraId="6BDBB686">
            <w:pPr>
              <w:widowControl/>
              <w:spacing w:line="240" w:lineRule="auto"/>
              <w:ind w:firstLine="0" w:firstLineChars="0"/>
              <w:jc w:val="center"/>
              <w:rPr>
                <w:kern w:val="0"/>
                <w:sz w:val="21"/>
                <w:szCs w:val="21"/>
              </w:rPr>
            </w:pPr>
            <w:r>
              <w:rPr>
                <w:kern w:val="0"/>
                <w:sz w:val="21"/>
                <w:szCs w:val="21"/>
              </w:rPr>
              <w:t>0</w:t>
            </w:r>
          </w:p>
        </w:tc>
        <w:tc>
          <w:tcPr>
            <w:tcW w:w="830" w:type="dxa"/>
            <w:gridSpan w:val="2"/>
            <w:vAlign w:val="center"/>
          </w:tcPr>
          <w:p w14:paraId="34496245">
            <w:pPr>
              <w:widowControl/>
              <w:spacing w:line="240" w:lineRule="auto"/>
              <w:ind w:firstLine="0" w:firstLineChars="0"/>
              <w:jc w:val="center"/>
              <w:rPr>
                <w:kern w:val="0"/>
                <w:sz w:val="21"/>
                <w:szCs w:val="21"/>
              </w:rPr>
            </w:pPr>
            <w:r>
              <w:rPr>
                <w:kern w:val="0"/>
                <w:sz w:val="21"/>
                <w:szCs w:val="21"/>
              </w:rPr>
              <w:t>3</w:t>
            </w:r>
          </w:p>
        </w:tc>
        <w:tc>
          <w:tcPr>
            <w:tcW w:w="1010" w:type="dxa"/>
            <w:vAlign w:val="center"/>
          </w:tcPr>
          <w:p w14:paraId="7C2C8675">
            <w:pPr>
              <w:widowControl/>
              <w:spacing w:line="240" w:lineRule="auto"/>
              <w:ind w:firstLine="0" w:firstLineChars="0"/>
              <w:jc w:val="center"/>
              <w:rPr>
                <w:kern w:val="0"/>
                <w:sz w:val="21"/>
                <w:szCs w:val="21"/>
              </w:rPr>
            </w:pPr>
            <w:r>
              <w:rPr>
                <w:kern w:val="0"/>
                <w:sz w:val="21"/>
                <w:szCs w:val="21"/>
              </w:rPr>
              <w:t>10%</w:t>
            </w:r>
          </w:p>
        </w:tc>
      </w:tr>
      <w:tr w14:paraId="7D4D3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909" w:type="dxa"/>
            <w:vAlign w:val="center"/>
          </w:tcPr>
          <w:p w14:paraId="047464F4">
            <w:pPr>
              <w:widowControl/>
              <w:spacing w:line="240" w:lineRule="auto"/>
              <w:ind w:firstLine="0" w:firstLineChars="0"/>
              <w:jc w:val="center"/>
              <w:rPr>
                <w:kern w:val="0"/>
                <w:sz w:val="21"/>
                <w:szCs w:val="21"/>
              </w:rPr>
            </w:pPr>
            <w:r>
              <w:rPr>
                <w:kern w:val="0"/>
                <w:sz w:val="21"/>
                <w:szCs w:val="21"/>
              </w:rPr>
              <w:t>对当地环境的影响</w:t>
            </w:r>
          </w:p>
        </w:tc>
        <w:tc>
          <w:tcPr>
            <w:tcW w:w="834" w:type="dxa"/>
            <w:vAlign w:val="center"/>
          </w:tcPr>
          <w:p w14:paraId="77807FBC">
            <w:pPr>
              <w:widowControl/>
              <w:spacing w:line="240" w:lineRule="auto"/>
              <w:ind w:firstLine="0" w:firstLineChars="0"/>
              <w:jc w:val="center"/>
              <w:rPr>
                <w:kern w:val="0"/>
                <w:sz w:val="21"/>
                <w:szCs w:val="21"/>
              </w:rPr>
            </w:pPr>
            <w:r>
              <w:rPr>
                <w:kern w:val="0"/>
                <w:sz w:val="21"/>
                <w:szCs w:val="21"/>
              </w:rPr>
              <w:t>25</w:t>
            </w:r>
          </w:p>
        </w:tc>
        <w:tc>
          <w:tcPr>
            <w:tcW w:w="900" w:type="dxa"/>
            <w:gridSpan w:val="3"/>
            <w:vAlign w:val="center"/>
          </w:tcPr>
          <w:p w14:paraId="06E40B0D">
            <w:pPr>
              <w:widowControl/>
              <w:spacing w:line="240" w:lineRule="auto"/>
              <w:ind w:firstLine="0" w:firstLineChars="0"/>
              <w:jc w:val="center"/>
              <w:rPr>
                <w:kern w:val="0"/>
                <w:sz w:val="21"/>
                <w:szCs w:val="21"/>
              </w:rPr>
            </w:pPr>
            <w:r>
              <w:rPr>
                <w:kern w:val="0"/>
                <w:sz w:val="21"/>
                <w:szCs w:val="21"/>
              </w:rPr>
              <w:t>83%</w:t>
            </w:r>
          </w:p>
        </w:tc>
        <w:tc>
          <w:tcPr>
            <w:tcW w:w="830" w:type="dxa"/>
            <w:gridSpan w:val="2"/>
            <w:vAlign w:val="center"/>
          </w:tcPr>
          <w:p w14:paraId="676BEEBD">
            <w:pPr>
              <w:widowControl/>
              <w:spacing w:line="240" w:lineRule="auto"/>
              <w:ind w:firstLine="0" w:firstLineChars="0"/>
              <w:jc w:val="center"/>
              <w:rPr>
                <w:kern w:val="0"/>
                <w:sz w:val="21"/>
                <w:szCs w:val="21"/>
              </w:rPr>
            </w:pPr>
            <w:r>
              <w:rPr>
                <w:kern w:val="0"/>
                <w:sz w:val="21"/>
                <w:szCs w:val="21"/>
              </w:rPr>
              <w:t>3</w:t>
            </w:r>
          </w:p>
        </w:tc>
        <w:tc>
          <w:tcPr>
            <w:tcW w:w="959" w:type="dxa"/>
            <w:gridSpan w:val="3"/>
            <w:vAlign w:val="center"/>
          </w:tcPr>
          <w:p w14:paraId="38A376F5">
            <w:pPr>
              <w:widowControl/>
              <w:spacing w:line="240" w:lineRule="auto"/>
              <w:ind w:firstLine="0" w:firstLineChars="0"/>
              <w:jc w:val="center"/>
              <w:rPr>
                <w:kern w:val="0"/>
                <w:sz w:val="21"/>
                <w:szCs w:val="21"/>
              </w:rPr>
            </w:pPr>
            <w:r>
              <w:rPr>
                <w:kern w:val="0"/>
                <w:sz w:val="21"/>
                <w:szCs w:val="21"/>
              </w:rPr>
              <w:t>23%</w:t>
            </w:r>
          </w:p>
        </w:tc>
        <w:tc>
          <w:tcPr>
            <w:tcW w:w="829" w:type="dxa"/>
            <w:vAlign w:val="center"/>
          </w:tcPr>
          <w:p w14:paraId="19742C02">
            <w:pPr>
              <w:widowControl/>
              <w:spacing w:line="240" w:lineRule="auto"/>
              <w:ind w:firstLine="0" w:firstLineChars="0"/>
              <w:jc w:val="center"/>
              <w:rPr>
                <w:kern w:val="0"/>
                <w:sz w:val="21"/>
                <w:szCs w:val="21"/>
              </w:rPr>
            </w:pPr>
            <w:r>
              <w:rPr>
                <w:kern w:val="0"/>
                <w:sz w:val="21"/>
                <w:szCs w:val="21"/>
              </w:rPr>
              <w:t>2</w:t>
            </w:r>
          </w:p>
        </w:tc>
        <w:tc>
          <w:tcPr>
            <w:tcW w:w="952" w:type="dxa"/>
            <w:gridSpan w:val="2"/>
            <w:vAlign w:val="center"/>
          </w:tcPr>
          <w:p w14:paraId="5EA8AA6A">
            <w:pPr>
              <w:widowControl/>
              <w:spacing w:line="240" w:lineRule="auto"/>
              <w:ind w:firstLine="0" w:firstLineChars="0"/>
              <w:jc w:val="center"/>
              <w:rPr>
                <w:kern w:val="0"/>
                <w:sz w:val="21"/>
                <w:szCs w:val="21"/>
              </w:rPr>
            </w:pPr>
            <w:r>
              <w:rPr>
                <w:kern w:val="0"/>
                <w:sz w:val="21"/>
                <w:szCs w:val="21"/>
              </w:rPr>
              <w:t>7%</w:t>
            </w:r>
          </w:p>
        </w:tc>
        <w:tc>
          <w:tcPr>
            <w:tcW w:w="830" w:type="dxa"/>
            <w:gridSpan w:val="2"/>
            <w:vAlign w:val="center"/>
          </w:tcPr>
          <w:p w14:paraId="556206B5">
            <w:pPr>
              <w:widowControl/>
              <w:spacing w:line="240" w:lineRule="auto"/>
              <w:ind w:firstLine="0" w:firstLineChars="0"/>
              <w:jc w:val="center"/>
              <w:rPr>
                <w:kern w:val="0"/>
                <w:sz w:val="21"/>
                <w:szCs w:val="21"/>
              </w:rPr>
            </w:pPr>
            <w:r>
              <w:rPr>
                <w:rFonts w:hint="eastAsia"/>
                <w:kern w:val="0"/>
                <w:sz w:val="21"/>
                <w:szCs w:val="21"/>
              </w:rPr>
              <w:t>0</w:t>
            </w:r>
          </w:p>
        </w:tc>
        <w:tc>
          <w:tcPr>
            <w:tcW w:w="1010" w:type="dxa"/>
            <w:vAlign w:val="center"/>
          </w:tcPr>
          <w:p w14:paraId="277D4CDC">
            <w:pPr>
              <w:widowControl/>
              <w:spacing w:line="240" w:lineRule="auto"/>
              <w:ind w:firstLine="0" w:firstLineChars="0"/>
              <w:jc w:val="center"/>
              <w:rPr>
                <w:kern w:val="0"/>
                <w:sz w:val="21"/>
                <w:szCs w:val="21"/>
              </w:rPr>
            </w:pPr>
            <w:r>
              <w:rPr>
                <w:rFonts w:hint="eastAsia"/>
                <w:kern w:val="0"/>
                <w:sz w:val="21"/>
                <w:szCs w:val="21"/>
              </w:rPr>
              <w:t>0</w:t>
            </w:r>
          </w:p>
        </w:tc>
      </w:tr>
      <w:tr w14:paraId="3BBFD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909" w:type="dxa"/>
            <w:vAlign w:val="center"/>
          </w:tcPr>
          <w:p w14:paraId="1F9078DC">
            <w:pPr>
              <w:widowControl/>
              <w:spacing w:line="240" w:lineRule="auto"/>
              <w:ind w:firstLine="0" w:firstLineChars="0"/>
              <w:jc w:val="center"/>
              <w:rPr>
                <w:kern w:val="0"/>
                <w:sz w:val="21"/>
                <w:szCs w:val="21"/>
              </w:rPr>
            </w:pPr>
            <w:r>
              <w:rPr>
                <w:kern w:val="0"/>
                <w:sz w:val="21"/>
                <w:szCs w:val="21"/>
              </w:rPr>
              <w:t>弃土弃渣管理</w:t>
            </w:r>
          </w:p>
        </w:tc>
        <w:tc>
          <w:tcPr>
            <w:tcW w:w="834" w:type="dxa"/>
            <w:vAlign w:val="center"/>
          </w:tcPr>
          <w:p w14:paraId="17F49AB9">
            <w:pPr>
              <w:widowControl/>
              <w:spacing w:line="240" w:lineRule="auto"/>
              <w:ind w:firstLine="0" w:firstLineChars="0"/>
              <w:jc w:val="center"/>
              <w:rPr>
                <w:kern w:val="0"/>
                <w:sz w:val="21"/>
                <w:szCs w:val="21"/>
              </w:rPr>
            </w:pPr>
            <w:r>
              <w:rPr>
                <w:kern w:val="0"/>
                <w:sz w:val="21"/>
                <w:szCs w:val="21"/>
              </w:rPr>
              <w:t>28</w:t>
            </w:r>
          </w:p>
        </w:tc>
        <w:tc>
          <w:tcPr>
            <w:tcW w:w="900" w:type="dxa"/>
            <w:gridSpan w:val="3"/>
            <w:vAlign w:val="center"/>
          </w:tcPr>
          <w:p w14:paraId="3F3F8325">
            <w:pPr>
              <w:widowControl/>
              <w:spacing w:line="240" w:lineRule="auto"/>
              <w:ind w:firstLine="0" w:firstLineChars="0"/>
              <w:jc w:val="center"/>
              <w:rPr>
                <w:kern w:val="0"/>
                <w:sz w:val="21"/>
                <w:szCs w:val="21"/>
              </w:rPr>
            </w:pPr>
            <w:r>
              <w:rPr>
                <w:kern w:val="0"/>
                <w:sz w:val="21"/>
                <w:szCs w:val="21"/>
              </w:rPr>
              <w:t>93%</w:t>
            </w:r>
          </w:p>
        </w:tc>
        <w:tc>
          <w:tcPr>
            <w:tcW w:w="830" w:type="dxa"/>
            <w:gridSpan w:val="2"/>
            <w:vAlign w:val="center"/>
          </w:tcPr>
          <w:p w14:paraId="7EE18E26">
            <w:pPr>
              <w:widowControl/>
              <w:spacing w:line="240" w:lineRule="auto"/>
              <w:ind w:firstLine="0" w:firstLineChars="0"/>
              <w:jc w:val="center"/>
              <w:rPr>
                <w:kern w:val="0"/>
                <w:sz w:val="21"/>
                <w:szCs w:val="21"/>
              </w:rPr>
            </w:pPr>
            <w:r>
              <w:rPr>
                <w:kern w:val="0"/>
                <w:sz w:val="21"/>
                <w:szCs w:val="21"/>
              </w:rPr>
              <w:t>2</w:t>
            </w:r>
          </w:p>
        </w:tc>
        <w:tc>
          <w:tcPr>
            <w:tcW w:w="959" w:type="dxa"/>
            <w:gridSpan w:val="3"/>
            <w:vAlign w:val="center"/>
          </w:tcPr>
          <w:p w14:paraId="287B017E">
            <w:pPr>
              <w:widowControl/>
              <w:spacing w:line="240" w:lineRule="auto"/>
              <w:ind w:firstLine="0" w:firstLineChars="0"/>
              <w:jc w:val="center"/>
              <w:rPr>
                <w:kern w:val="0"/>
                <w:sz w:val="21"/>
                <w:szCs w:val="21"/>
              </w:rPr>
            </w:pPr>
            <w:r>
              <w:rPr>
                <w:kern w:val="0"/>
                <w:sz w:val="21"/>
                <w:szCs w:val="21"/>
              </w:rPr>
              <w:t>7%</w:t>
            </w:r>
          </w:p>
        </w:tc>
        <w:tc>
          <w:tcPr>
            <w:tcW w:w="829" w:type="dxa"/>
            <w:vAlign w:val="center"/>
          </w:tcPr>
          <w:p w14:paraId="5A81C902">
            <w:pPr>
              <w:widowControl/>
              <w:spacing w:line="240" w:lineRule="auto"/>
              <w:ind w:firstLine="0" w:firstLineChars="0"/>
              <w:jc w:val="center"/>
              <w:rPr>
                <w:kern w:val="0"/>
                <w:sz w:val="21"/>
                <w:szCs w:val="21"/>
              </w:rPr>
            </w:pPr>
            <w:r>
              <w:rPr>
                <w:rFonts w:hint="eastAsia"/>
                <w:kern w:val="0"/>
                <w:sz w:val="21"/>
                <w:szCs w:val="21"/>
              </w:rPr>
              <w:t>0</w:t>
            </w:r>
          </w:p>
        </w:tc>
        <w:tc>
          <w:tcPr>
            <w:tcW w:w="952" w:type="dxa"/>
            <w:gridSpan w:val="2"/>
            <w:vAlign w:val="center"/>
          </w:tcPr>
          <w:p w14:paraId="5DDB1053">
            <w:pPr>
              <w:widowControl/>
              <w:spacing w:line="240" w:lineRule="auto"/>
              <w:ind w:firstLine="0" w:firstLineChars="0"/>
              <w:jc w:val="center"/>
              <w:rPr>
                <w:kern w:val="0"/>
                <w:sz w:val="21"/>
                <w:szCs w:val="21"/>
              </w:rPr>
            </w:pPr>
            <w:r>
              <w:rPr>
                <w:rFonts w:hint="eastAsia"/>
                <w:kern w:val="0"/>
                <w:sz w:val="21"/>
                <w:szCs w:val="21"/>
              </w:rPr>
              <w:t>0</w:t>
            </w:r>
          </w:p>
        </w:tc>
        <w:tc>
          <w:tcPr>
            <w:tcW w:w="830" w:type="dxa"/>
            <w:gridSpan w:val="2"/>
            <w:vAlign w:val="center"/>
          </w:tcPr>
          <w:p w14:paraId="4754508E">
            <w:pPr>
              <w:widowControl/>
              <w:spacing w:line="240" w:lineRule="auto"/>
              <w:ind w:firstLine="0" w:firstLineChars="0"/>
              <w:jc w:val="center"/>
              <w:rPr>
                <w:kern w:val="0"/>
                <w:sz w:val="21"/>
                <w:szCs w:val="21"/>
              </w:rPr>
            </w:pPr>
            <w:r>
              <w:rPr>
                <w:rFonts w:hint="eastAsia"/>
                <w:kern w:val="0"/>
                <w:sz w:val="21"/>
                <w:szCs w:val="21"/>
              </w:rPr>
              <w:t>0</w:t>
            </w:r>
          </w:p>
        </w:tc>
        <w:tc>
          <w:tcPr>
            <w:tcW w:w="1010" w:type="dxa"/>
            <w:vAlign w:val="center"/>
          </w:tcPr>
          <w:p w14:paraId="3A07FC59">
            <w:pPr>
              <w:widowControl/>
              <w:spacing w:line="240" w:lineRule="auto"/>
              <w:ind w:firstLine="0" w:firstLineChars="0"/>
              <w:jc w:val="center"/>
              <w:rPr>
                <w:kern w:val="0"/>
                <w:sz w:val="21"/>
                <w:szCs w:val="21"/>
              </w:rPr>
            </w:pPr>
            <w:r>
              <w:rPr>
                <w:rFonts w:hint="eastAsia"/>
                <w:kern w:val="0"/>
                <w:sz w:val="21"/>
                <w:szCs w:val="21"/>
              </w:rPr>
              <w:t>0</w:t>
            </w:r>
          </w:p>
        </w:tc>
      </w:tr>
      <w:tr w14:paraId="31A6F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909" w:type="dxa"/>
            <w:vAlign w:val="center"/>
          </w:tcPr>
          <w:p w14:paraId="1CC9CA18">
            <w:pPr>
              <w:widowControl/>
              <w:spacing w:line="240" w:lineRule="auto"/>
              <w:ind w:firstLine="0" w:firstLineChars="0"/>
              <w:jc w:val="center"/>
              <w:rPr>
                <w:kern w:val="0"/>
                <w:sz w:val="21"/>
                <w:szCs w:val="21"/>
              </w:rPr>
            </w:pPr>
            <w:r>
              <w:rPr>
                <w:kern w:val="0"/>
                <w:sz w:val="21"/>
                <w:szCs w:val="21"/>
              </w:rPr>
              <w:t>土地恢复情况</w:t>
            </w:r>
          </w:p>
        </w:tc>
        <w:tc>
          <w:tcPr>
            <w:tcW w:w="834" w:type="dxa"/>
            <w:vAlign w:val="center"/>
          </w:tcPr>
          <w:p w14:paraId="2BAAFF46">
            <w:pPr>
              <w:widowControl/>
              <w:spacing w:line="240" w:lineRule="auto"/>
              <w:ind w:firstLine="0" w:firstLineChars="0"/>
              <w:jc w:val="center"/>
              <w:rPr>
                <w:kern w:val="0"/>
                <w:sz w:val="21"/>
                <w:szCs w:val="21"/>
              </w:rPr>
            </w:pPr>
            <w:r>
              <w:rPr>
                <w:kern w:val="0"/>
                <w:sz w:val="21"/>
                <w:szCs w:val="21"/>
              </w:rPr>
              <w:t>28</w:t>
            </w:r>
          </w:p>
        </w:tc>
        <w:tc>
          <w:tcPr>
            <w:tcW w:w="900" w:type="dxa"/>
            <w:gridSpan w:val="3"/>
            <w:vAlign w:val="center"/>
          </w:tcPr>
          <w:p w14:paraId="72DA2A4A">
            <w:pPr>
              <w:widowControl/>
              <w:spacing w:line="240" w:lineRule="auto"/>
              <w:ind w:firstLine="0" w:firstLineChars="0"/>
              <w:jc w:val="center"/>
              <w:rPr>
                <w:kern w:val="0"/>
                <w:sz w:val="21"/>
                <w:szCs w:val="21"/>
              </w:rPr>
            </w:pPr>
            <w:r>
              <w:rPr>
                <w:kern w:val="0"/>
                <w:sz w:val="21"/>
                <w:szCs w:val="21"/>
              </w:rPr>
              <w:t>93%</w:t>
            </w:r>
          </w:p>
        </w:tc>
        <w:tc>
          <w:tcPr>
            <w:tcW w:w="830" w:type="dxa"/>
            <w:gridSpan w:val="2"/>
            <w:vAlign w:val="center"/>
          </w:tcPr>
          <w:p w14:paraId="65952FBE">
            <w:pPr>
              <w:widowControl/>
              <w:spacing w:line="240" w:lineRule="auto"/>
              <w:ind w:firstLine="0" w:firstLineChars="0"/>
              <w:jc w:val="center"/>
              <w:rPr>
                <w:kern w:val="0"/>
                <w:sz w:val="21"/>
                <w:szCs w:val="21"/>
              </w:rPr>
            </w:pPr>
            <w:r>
              <w:rPr>
                <w:kern w:val="0"/>
                <w:sz w:val="21"/>
                <w:szCs w:val="21"/>
              </w:rPr>
              <w:t>1</w:t>
            </w:r>
          </w:p>
        </w:tc>
        <w:tc>
          <w:tcPr>
            <w:tcW w:w="959" w:type="dxa"/>
            <w:gridSpan w:val="3"/>
            <w:vAlign w:val="center"/>
          </w:tcPr>
          <w:p w14:paraId="3DEAD4CD">
            <w:pPr>
              <w:widowControl/>
              <w:spacing w:line="240" w:lineRule="auto"/>
              <w:ind w:firstLine="0" w:firstLineChars="0"/>
              <w:jc w:val="center"/>
              <w:rPr>
                <w:kern w:val="0"/>
                <w:sz w:val="21"/>
                <w:szCs w:val="21"/>
              </w:rPr>
            </w:pPr>
            <w:r>
              <w:rPr>
                <w:kern w:val="0"/>
                <w:sz w:val="21"/>
                <w:szCs w:val="21"/>
              </w:rPr>
              <w:t>10%</w:t>
            </w:r>
          </w:p>
        </w:tc>
        <w:tc>
          <w:tcPr>
            <w:tcW w:w="829" w:type="dxa"/>
            <w:vAlign w:val="center"/>
          </w:tcPr>
          <w:p w14:paraId="71DBA179">
            <w:pPr>
              <w:widowControl/>
              <w:spacing w:line="240" w:lineRule="auto"/>
              <w:ind w:firstLine="0" w:firstLineChars="0"/>
              <w:jc w:val="center"/>
              <w:rPr>
                <w:kern w:val="0"/>
                <w:sz w:val="21"/>
                <w:szCs w:val="21"/>
              </w:rPr>
            </w:pPr>
            <w:r>
              <w:rPr>
                <w:rFonts w:hint="eastAsia"/>
                <w:kern w:val="0"/>
                <w:sz w:val="21"/>
                <w:szCs w:val="21"/>
              </w:rPr>
              <w:t>0</w:t>
            </w:r>
          </w:p>
        </w:tc>
        <w:tc>
          <w:tcPr>
            <w:tcW w:w="952" w:type="dxa"/>
            <w:gridSpan w:val="2"/>
            <w:vAlign w:val="center"/>
          </w:tcPr>
          <w:p w14:paraId="45D56CF1">
            <w:pPr>
              <w:widowControl/>
              <w:spacing w:line="240" w:lineRule="auto"/>
              <w:ind w:firstLine="0" w:firstLineChars="0"/>
              <w:jc w:val="center"/>
              <w:rPr>
                <w:kern w:val="0"/>
                <w:sz w:val="21"/>
                <w:szCs w:val="21"/>
              </w:rPr>
            </w:pPr>
            <w:r>
              <w:rPr>
                <w:rFonts w:hint="eastAsia"/>
                <w:kern w:val="0"/>
                <w:sz w:val="21"/>
                <w:szCs w:val="21"/>
              </w:rPr>
              <w:t>0</w:t>
            </w:r>
          </w:p>
        </w:tc>
        <w:tc>
          <w:tcPr>
            <w:tcW w:w="830" w:type="dxa"/>
            <w:gridSpan w:val="2"/>
            <w:vAlign w:val="center"/>
          </w:tcPr>
          <w:p w14:paraId="4D9644CA">
            <w:pPr>
              <w:widowControl/>
              <w:spacing w:line="240" w:lineRule="auto"/>
              <w:ind w:firstLine="0" w:firstLineChars="0"/>
              <w:jc w:val="center"/>
              <w:rPr>
                <w:kern w:val="0"/>
                <w:sz w:val="21"/>
                <w:szCs w:val="21"/>
              </w:rPr>
            </w:pPr>
            <w:r>
              <w:rPr>
                <w:kern w:val="0"/>
                <w:sz w:val="21"/>
                <w:szCs w:val="21"/>
              </w:rPr>
              <w:t>1</w:t>
            </w:r>
          </w:p>
        </w:tc>
        <w:tc>
          <w:tcPr>
            <w:tcW w:w="1010" w:type="dxa"/>
            <w:vAlign w:val="center"/>
          </w:tcPr>
          <w:p w14:paraId="53B9BB3B">
            <w:pPr>
              <w:widowControl/>
              <w:spacing w:line="240" w:lineRule="auto"/>
              <w:ind w:firstLine="0" w:firstLineChars="0"/>
              <w:jc w:val="center"/>
              <w:rPr>
                <w:kern w:val="0"/>
                <w:sz w:val="21"/>
                <w:szCs w:val="21"/>
              </w:rPr>
            </w:pPr>
            <w:r>
              <w:rPr>
                <w:kern w:val="0"/>
                <w:sz w:val="21"/>
                <w:szCs w:val="21"/>
              </w:rPr>
              <w:t>3%</w:t>
            </w:r>
          </w:p>
        </w:tc>
      </w:tr>
      <w:bookmarkEnd w:id="161"/>
      <w:bookmarkEnd w:id="162"/>
      <w:bookmarkEnd w:id="163"/>
      <w:bookmarkEnd w:id="164"/>
      <w:bookmarkEnd w:id="165"/>
    </w:tbl>
    <w:p w14:paraId="23BD387D">
      <w:pPr>
        <w:pStyle w:val="2"/>
      </w:pPr>
      <w:bookmarkStart w:id="167" w:name="_Toc274662761"/>
      <w:bookmarkStart w:id="168" w:name="_Toc292361744"/>
      <w:bookmarkStart w:id="169" w:name="_Toc260820642"/>
      <w:bookmarkStart w:id="170" w:name="_Toc370111205"/>
      <w:r>
        <w:br w:type="page"/>
      </w:r>
      <w:r>
        <w:t xml:space="preserve"> </w:t>
      </w:r>
      <w:bookmarkEnd w:id="167"/>
      <w:bookmarkEnd w:id="168"/>
      <w:bookmarkEnd w:id="169"/>
      <w:bookmarkEnd w:id="170"/>
      <w:bookmarkStart w:id="171" w:name="_Toc108445739"/>
      <w:bookmarkStart w:id="172" w:name="_Toc12505"/>
      <w:bookmarkStart w:id="173" w:name="_Toc23836"/>
      <w:r>
        <w:t>6 水土保持管理</w:t>
      </w:r>
      <w:bookmarkEnd w:id="171"/>
    </w:p>
    <w:p w14:paraId="7B93522D">
      <w:pPr>
        <w:pStyle w:val="3"/>
        <w:rPr>
          <w:rFonts w:eastAsia="宋体"/>
        </w:rPr>
      </w:pPr>
      <w:bookmarkStart w:id="174" w:name="_Toc108445740"/>
      <w:r>
        <w:rPr>
          <w:rFonts w:eastAsia="宋体"/>
        </w:rPr>
        <w:t xml:space="preserve">6.1 </w:t>
      </w:r>
      <w:bookmarkEnd w:id="172"/>
      <w:bookmarkEnd w:id="173"/>
      <w:r>
        <w:rPr>
          <w:rFonts w:eastAsia="宋体"/>
        </w:rPr>
        <w:t>组织领导</w:t>
      </w:r>
      <w:bookmarkEnd w:id="174"/>
    </w:p>
    <w:p w14:paraId="0C21C203">
      <w:r>
        <w:t>本工程建设期间，由建设单位负责监管施工单位落实水土保持措施。项目主体中的水土保持措施已与主体工程同步建设实施，各项水土保持工程措施现已建成。从目前运行情况看，有关水土保持措施运行良好其布局合理。建设单位的相关管理责任较为落实，保证了水土保持设施的正常运行并取得了较好的水土保持效果。水土保持设施在竣工验收后其管理维护工作由兴宁市</w:t>
      </w:r>
      <w:r>
        <w:rPr>
          <w:rFonts w:hint="eastAsia"/>
        </w:rPr>
        <w:t>齐昌供水有限公司</w:t>
      </w:r>
      <w:r>
        <w:t>负责。</w:t>
      </w:r>
    </w:p>
    <w:p w14:paraId="2D41D04E">
      <w:r>
        <w:t>水土保持工程作为主体工程附属分部工程，没有进行独立设计和施工，而是与主体工程一起进行了初步设计和施工图设计，水保方案对主体已有部分不再重复设计，不足部分进行补充设计而使本工程形成一个完整的水土流失防治体系。施工单位对项目区土方开挖等进行了严格有效的管理，按照有关水土保持设计要求进行防护，尽可能地减少水土流失。</w:t>
      </w:r>
    </w:p>
    <w:p w14:paraId="23A9DB08">
      <w:pPr>
        <w:pStyle w:val="3"/>
        <w:rPr>
          <w:rFonts w:eastAsia="宋体"/>
        </w:rPr>
      </w:pPr>
      <w:bookmarkStart w:id="175" w:name="_Toc108445741"/>
      <w:r>
        <w:rPr>
          <w:rFonts w:eastAsia="宋体"/>
        </w:rPr>
        <w:t>6.2 规章制度</w:t>
      </w:r>
      <w:bookmarkEnd w:id="175"/>
    </w:p>
    <w:p w14:paraId="418FC531">
      <w:r>
        <w:t>建设单位十分重视本工程水土保持设施的建设和管理工作，由专员负责全面水保工作，并落实各方面相关专职人员。在项目建设过程中，严格执行项目法人制、招投标制、建设监理制、合同管理制。</w:t>
      </w:r>
    </w:p>
    <w:p w14:paraId="3E31EEC2">
      <w:r>
        <w:t>建设过程中主要参考了《中华人民共和国水土保持法》、《中华人民共和国水土保持法实施条例》、《</w:t>
      </w:r>
      <w:r>
        <w:rPr>
          <w:rFonts w:hint="eastAsia"/>
        </w:rPr>
        <w:t>广东省</w:t>
      </w:r>
      <w:r>
        <w:t>水土保持条例》、《梅州市建筑废弃物管理条例》等相关法律法规进行管理，严格落实各项水土保持工作。</w:t>
      </w:r>
    </w:p>
    <w:p w14:paraId="14A0E871">
      <w:pPr>
        <w:pStyle w:val="3"/>
        <w:rPr>
          <w:rFonts w:eastAsia="宋体"/>
        </w:rPr>
      </w:pPr>
      <w:bookmarkStart w:id="176" w:name="_Toc108445742"/>
      <w:r>
        <w:rPr>
          <w:rFonts w:eastAsia="宋体"/>
        </w:rPr>
        <w:t>6.3 建设管理</w:t>
      </w:r>
      <w:bookmarkEnd w:id="176"/>
    </w:p>
    <w:p w14:paraId="747DB46A">
      <w:pPr>
        <w:rPr>
          <w:bCs/>
        </w:rPr>
      </w:pPr>
      <w:r>
        <w:rPr>
          <w:rFonts w:hint="eastAsia"/>
          <w:bCs/>
        </w:rPr>
        <w:t>2020年10月，业主委托方案编制单位梅州绿明服务咨询有限公司编报水土保持方案。接到业主的委托后，方案编制单位积极组织有关工程技术人员在业主及当地相关部门的协助下，对项目及周边进行了现场勘测、收集有关资料。在此基础上，依照《生产建设项目水土保持技术规范》(GB50433-2018)、《生产建设项目水土流失防治标准》(GB/T50434-2018)进行并完成了《兴宁市亲水公园一区工程项目水土保持方案报告书》的编制。</w:t>
      </w:r>
    </w:p>
    <w:p w14:paraId="46937A39">
      <w:pPr>
        <w:rPr>
          <w:bCs/>
        </w:rPr>
      </w:pPr>
      <w:r>
        <w:rPr>
          <w:rFonts w:hint="eastAsia"/>
          <w:bCs/>
        </w:rPr>
        <w:t>2021年3月2日，取得兴宁市</w:t>
      </w:r>
      <w:r>
        <w:rPr>
          <w:bCs/>
        </w:rPr>
        <w:t>水务局</w:t>
      </w:r>
      <w:r>
        <w:rPr>
          <w:rFonts w:hint="eastAsia"/>
          <w:bCs/>
        </w:rPr>
        <w:t>水土保持方案审批准予行政许可决定书</w:t>
      </w:r>
      <w:r>
        <w:rPr>
          <w:bCs/>
        </w:rPr>
        <w:t>（</w:t>
      </w:r>
      <w:r>
        <w:rPr>
          <w:rFonts w:hint="eastAsia"/>
          <w:bCs/>
        </w:rPr>
        <w:t>兴水字〔2021〕13号</w:t>
      </w:r>
      <w:r>
        <w:rPr>
          <w:bCs/>
        </w:rPr>
        <w:t>）文</w:t>
      </w:r>
      <w:r>
        <w:rPr>
          <w:rFonts w:hint="eastAsia"/>
          <w:bCs/>
        </w:rPr>
        <w:t>。</w:t>
      </w:r>
    </w:p>
    <w:p w14:paraId="7C15444D">
      <w:r>
        <w:rPr>
          <w:bCs/>
        </w:rPr>
        <w:t>项目开工后，建设单位落实了专人负责，并与施工</w:t>
      </w:r>
      <w:r>
        <w:t>、监理等单位负责人成立了水保工作小组，共同承担施工过程中的水土流失防治工作。水土保持措施由施工单位承建，措施质量、进度及投资由主体工程监理一并控制。</w:t>
      </w:r>
    </w:p>
    <w:p w14:paraId="68108181">
      <w:pPr>
        <w:pStyle w:val="3"/>
        <w:rPr>
          <w:rFonts w:eastAsia="宋体"/>
        </w:rPr>
      </w:pPr>
      <w:bookmarkStart w:id="177" w:name="_Toc27745"/>
      <w:bookmarkStart w:id="178" w:name="_Toc29909"/>
      <w:bookmarkStart w:id="179" w:name="_Toc108445743"/>
      <w:r>
        <w:rPr>
          <w:rFonts w:eastAsia="宋体"/>
        </w:rPr>
        <w:t xml:space="preserve">6.4 </w:t>
      </w:r>
      <w:bookmarkEnd w:id="177"/>
      <w:bookmarkEnd w:id="178"/>
      <w:r>
        <w:rPr>
          <w:rFonts w:eastAsia="宋体"/>
        </w:rPr>
        <w:t>水土保持监测</w:t>
      </w:r>
      <w:bookmarkEnd w:id="179"/>
    </w:p>
    <w:p w14:paraId="538922BE">
      <w:r>
        <w:t>根据《广东省水土保持条例》，挖填土石方总量五十万立方米以上或者征占地面积五十公顷以上的生产建设项目，生产建设单位应当自行或者委托相应机构对水土流失进行监测。监测情况应当按照规定报所在地水行政主管部门和水土保持方案审批机关兴宁市水务局。</w:t>
      </w:r>
    </w:p>
    <w:p w14:paraId="0557A80A">
      <w:pPr>
        <w:pStyle w:val="111"/>
        <w:spacing w:line="360" w:lineRule="auto"/>
        <w:ind w:firstLine="480"/>
        <w:rPr>
          <w:rFonts w:eastAsia="仿宋_GB2312"/>
          <w:sz w:val="24"/>
          <w:szCs w:val="20"/>
        </w:rPr>
      </w:pPr>
      <w:r>
        <w:rPr>
          <w:rFonts w:hint="eastAsia" w:eastAsia="仿宋_GB2312"/>
          <w:sz w:val="24"/>
          <w:szCs w:val="20"/>
        </w:rPr>
        <w:t>前款规定以外的生产建设项目，鼓励生产建设单位自行或者委托相应机构对水土流失进行监测。本项目为鼓励监测项目，建设单位委派专人</w:t>
      </w:r>
      <w:r>
        <w:rPr>
          <w:rFonts w:eastAsia="仿宋_GB2312"/>
          <w:sz w:val="24"/>
          <w:szCs w:val="20"/>
        </w:rPr>
        <w:t>负责水土保持</w:t>
      </w:r>
      <w:r>
        <w:rPr>
          <w:rFonts w:hint="eastAsia" w:eastAsia="仿宋_GB2312"/>
          <w:sz w:val="24"/>
          <w:szCs w:val="20"/>
        </w:rPr>
        <w:t>监督</w:t>
      </w:r>
      <w:r>
        <w:rPr>
          <w:rFonts w:eastAsia="仿宋_GB2312"/>
          <w:sz w:val="24"/>
          <w:szCs w:val="20"/>
        </w:rPr>
        <w:t>管理工作，并与施工、监理等单位负责人成立了水保工作小组，共同承担施工过程中的水土流失防治工作</w:t>
      </w:r>
      <w:r>
        <w:rPr>
          <w:rFonts w:hint="eastAsia" w:eastAsia="仿宋_GB2312"/>
          <w:sz w:val="24"/>
          <w:szCs w:val="20"/>
        </w:rPr>
        <w:t>,</w:t>
      </w:r>
      <w:r>
        <w:rPr>
          <w:rFonts w:eastAsia="仿宋_GB2312"/>
          <w:sz w:val="24"/>
          <w:szCs w:val="20"/>
        </w:rPr>
        <w:t xml:space="preserve"> 水土保持措施由施工单位承建，措施质量、进度及投资由主体工程监理一并控制</w:t>
      </w:r>
      <w:r>
        <w:rPr>
          <w:rFonts w:hint="eastAsia" w:eastAsia="仿宋_GB2312"/>
          <w:sz w:val="24"/>
          <w:szCs w:val="20"/>
        </w:rPr>
        <w:t>。</w:t>
      </w:r>
    </w:p>
    <w:p w14:paraId="624AB793">
      <w:pPr>
        <w:adjustRightInd w:val="0"/>
        <w:rPr>
          <w:bCs/>
        </w:rPr>
      </w:pPr>
      <w:r>
        <w:rPr>
          <w:rFonts w:hint="eastAsia"/>
          <w:bCs/>
        </w:rPr>
        <w:t>2022年5月，建设单位委托兴宁市粤宁水利水电勘测设计有限公司（以下简称“我公司”）承担本项目的水土保持监测总结工作。2022年6</w:t>
      </w:r>
      <w:r>
        <w:rPr>
          <w:bCs/>
        </w:rPr>
        <w:t>月，我公司编制完成了《</w:t>
      </w:r>
      <w:r>
        <w:rPr>
          <w:rFonts w:hint="eastAsia"/>
          <w:bCs/>
        </w:rPr>
        <w:t>兴宁市亲水公园一区工程项目</w:t>
      </w:r>
      <w:r>
        <w:rPr>
          <w:bCs/>
        </w:rPr>
        <w:t>水土保持监测总结报告》。</w:t>
      </w:r>
    </w:p>
    <w:p w14:paraId="1220FCEC">
      <w:pPr>
        <w:pStyle w:val="3"/>
        <w:rPr>
          <w:rFonts w:eastAsia="宋体"/>
        </w:rPr>
      </w:pPr>
      <w:bookmarkStart w:id="180" w:name="_Toc108445744"/>
      <w:r>
        <w:rPr>
          <w:rFonts w:eastAsia="宋体"/>
        </w:rPr>
        <w:t>6.5 水土保持监理</w:t>
      </w:r>
      <w:bookmarkEnd w:id="180"/>
    </w:p>
    <w:p w14:paraId="7ABAFF7E">
      <w:r>
        <w:t>建设单位委托</w:t>
      </w:r>
      <w:r>
        <w:rPr>
          <w:rFonts w:hint="eastAsia"/>
        </w:rPr>
        <w:t>监理单位广东省城规建设监理有限公司</w:t>
      </w:r>
      <w:r>
        <w:t>承担了水土保持工程监理工作，将水土保持工程监理纳入主体工程监理工作一并控制管理。按照《监理合同》要求，公司在施工现场设立了“兴宁市亲水公园一区工程项目监理部”，并在现场设立监理办公室。监理单位根据工程实际情况制订了方案措施审批制度、协调会议制度、不定期质量进度专题会议制度、旁站监督制度、抽查监控制度、隐蔽工程联合验收制度、内部会签制度和档案信息管理制度。对水土保持工程的施工进度、质量和投资进行了有效的控制和计量。本工程有关水土保持分部工程</w:t>
      </w:r>
      <w:r>
        <w:rPr>
          <w:rFonts w:hint="eastAsia"/>
        </w:rPr>
        <w:t>2</w:t>
      </w:r>
      <w:r>
        <w:t>个，单元工程</w:t>
      </w:r>
      <w:r>
        <w:rPr>
          <w:rFonts w:hint="eastAsia"/>
        </w:rPr>
        <w:t>20</w:t>
      </w:r>
      <w:r>
        <w:t>个，各分项工程评定结果为合格。目前，水土保持监理工作已结束，质量检验和质量评定资料齐全，工程资料按有关规定已整理、归档，并按有关规定总结完成了《兴宁市亲水公园一区工程项目水土保持监理工作总结报告》，为水土保持设施验收提供依据。</w:t>
      </w:r>
    </w:p>
    <w:p w14:paraId="4B78AF65">
      <w:r>
        <w:t>项目验收组认为：监理单位能够按照开发建设项目水土保持监理的有关规定，积极开展水土保持监理工作。</w:t>
      </w:r>
    </w:p>
    <w:p w14:paraId="2CEB2EF2">
      <w:pPr>
        <w:pStyle w:val="3"/>
        <w:rPr>
          <w:rFonts w:eastAsia="宋体"/>
        </w:rPr>
      </w:pPr>
      <w:bookmarkStart w:id="181" w:name="_Toc108445745"/>
      <w:r>
        <w:rPr>
          <w:rFonts w:eastAsia="宋体"/>
        </w:rPr>
        <w:t>6.6 水行政主管部门监督检查意见落实情况</w:t>
      </w:r>
      <w:bookmarkEnd w:id="181"/>
    </w:p>
    <w:p w14:paraId="48DB7BBD">
      <w:r>
        <w:rPr>
          <w:rFonts w:hint="eastAsia"/>
        </w:rPr>
        <w:t>工程</w:t>
      </w:r>
      <w:r>
        <w:t>施工建设过程中，相关水务主管部门多次对施工现场进行核查，对施工场地</w:t>
      </w:r>
      <w:r>
        <w:rPr>
          <w:rFonts w:hint="eastAsia"/>
        </w:rPr>
        <w:t>措施</w:t>
      </w:r>
      <w:r>
        <w:t>布设和土石方挖填情况进行监督检查，未发现有重大水土流失，施工单位十分重视水土保持工作，各项临时防护措施已发挥作用，现场水土保持工作开展的较为到位。</w:t>
      </w:r>
    </w:p>
    <w:p w14:paraId="78738BB3">
      <w:pPr>
        <w:pStyle w:val="3"/>
        <w:rPr>
          <w:rFonts w:eastAsia="宋体"/>
        </w:rPr>
      </w:pPr>
      <w:bookmarkStart w:id="182" w:name="_Toc108445746"/>
      <w:r>
        <w:rPr>
          <w:rFonts w:eastAsia="宋体"/>
        </w:rPr>
        <w:t>6.7 水土保持补偿费缴纳情况</w:t>
      </w:r>
      <w:bookmarkEnd w:id="182"/>
    </w:p>
    <w:p w14:paraId="53610B04">
      <w:r>
        <w:t>根据已批复的水土保持方案，本工程建设需缴纳水土保持补偿费</w:t>
      </w:r>
      <w:r>
        <w:rPr>
          <w:rFonts w:hint="eastAsia"/>
        </w:rPr>
        <w:t>0万元</w:t>
      </w:r>
      <w:r>
        <w:t>。</w:t>
      </w:r>
    </w:p>
    <w:p w14:paraId="5828F5A2">
      <w:pPr>
        <w:pStyle w:val="3"/>
        <w:rPr>
          <w:rFonts w:eastAsia="宋体"/>
        </w:rPr>
      </w:pPr>
      <w:bookmarkStart w:id="183" w:name="_Toc108445747"/>
      <w:r>
        <w:rPr>
          <w:rFonts w:eastAsia="宋体"/>
        </w:rPr>
        <w:t>6.8 水土保持设施管理维护</w:t>
      </w:r>
      <w:bookmarkEnd w:id="183"/>
    </w:p>
    <w:p w14:paraId="13D0F1D0">
      <w:r>
        <w:t>建设单位非常重视水土保持设施的管理养护工作，由工程部牵头承办。试运行期的管护由施工部门承担至竣工验收，项目竣工后由建设单位工程部负责。</w:t>
      </w:r>
    </w:p>
    <w:p w14:paraId="3533FAC7">
      <w:r>
        <w:t>经项目验收组现场考察，水土保持设施养护责任落实，工程管理部门、施工部门、道路养护单位认识明确，责任到位，发现问题及时整改，养护基本到位，水土保持设施能够持续发挥效益。</w:t>
      </w:r>
    </w:p>
    <w:p w14:paraId="4A9B6E93">
      <w:r>
        <w:t>该项目由施工单位负责施工完成。在工程自检过后，建设单位对资料管理不完善，对水土保持验收工作的开展带来了一定的困难，建议在以后的工程建设中完善资料管理系统，加强对资料的保管。项目水土保持验收相关的资料：水土保持方案等资料档案较齐全。水土保持工程档案管理尚不够完善，但基本达到验收的标准。</w:t>
      </w:r>
    </w:p>
    <w:p w14:paraId="6434EB59">
      <w:pPr>
        <w:pStyle w:val="2"/>
      </w:pPr>
      <w:r>
        <w:rPr>
          <w:sz w:val="28"/>
          <w:szCs w:val="28"/>
        </w:rPr>
        <w:br w:type="page"/>
      </w:r>
      <w:bookmarkStart w:id="184" w:name="_Toc108445748"/>
      <w:bookmarkStart w:id="185" w:name="_Toc224458215"/>
      <w:bookmarkStart w:id="186" w:name="_Toc260820643"/>
      <w:bookmarkStart w:id="187" w:name="_Toc274662762"/>
      <w:r>
        <w:t>7 结论</w:t>
      </w:r>
      <w:bookmarkEnd w:id="184"/>
    </w:p>
    <w:p w14:paraId="19B65958">
      <w:pPr>
        <w:pStyle w:val="3"/>
        <w:rPr>
          <w:rFonts w:eastAsia="宋体"/>
        </w:rPr>
      </w:pPr>
      <w:bookmarkStart w:id="188" w:name="_Toc108445749"/>
      <w:r>
        <w:rPr>
          <w:rFonts w:eastAsia="宋体"/>
        </w:rPr>
        <w:t>7.1 结论</w:t>
      </w:r>
      <w:bookmarkEnd w:id="188"/>
    </w:p>
    <w:p w14:paraId="499229BB">
      <w:r>
        <w:t>建设单位在兴宁市亲水公园一区工程项目建设过程中能够履行水土保持法律、法规规定的防治责任，积极落实防治责任范围内的各项水土保持措施。在工程施工过程中，以“生态优先和保护土地”为理念，将“人与自然和谐”的指导思想贯穿到水土保持设施建设中，优化施工设计和工艺程序，按照水土保持方案所确定的内容落实防治措施，工程质量满足了设计和有关规范的要求。</w:t>
      </w:r>
    </w:p>
    <w:p w14:paraId="44D7B3C5">
      <w:r>
        <w:t>该项目水土保持工程质量管理体系健全，设计、施工和监理的质量责任明确，管理严格，经过建设各方的紧密配合，地方水行政主管部门的支持和协作，使防治责任范围内的水土流失进行了有效的治理，项目区的生态环境得到恢复，水土保持设施的管理维护责任明确，可以保证水土保持功能的持续有效发挥。</w:t>
      </w:r>
    </w:p>
    <w:p w14:paraId="5A6D6E01">
      <w:r>
        <w:t>经项目验收组实地抽查和对相关档案资料的查阅，并结合综合组、工程措施组和经济财务组的调查结果，项目验收组认为兴宁市亲水公园一区工程项目水土保持设施布局合理，设计标准较高，完成的质量和数量均符合设计要求，基本实现控制水土流失、恢复和改善生态环境的设计目标；工程档案管理规范，竣工资料齐全，质量检验和评定程序规范；水土保持设施工程质量总体合格，试运行期间未发现重大质量缺陷，具备较强的水土保持功能；水土保持设施所产生的经济效益、生态效益以及社会效益，能够满足国家对开发建设项目水土保持的要求。</w:t>
      </w:r>
    </w:p>
    <w:p w14:paraId="23E75F33">
      <w:r>
        <w:t>综上所述，项目验收组认为：兴宁市亲水公园一区工程项目基本完成了水土保持方案和设计要求的水土保持工程相关内容以及开发建设项目所要求的水土流失防治任务，完成的各项工程安全可靠，工程质量总体基本合格，水土保持设施达到了国家水土保持法律法规及技术标准规定的验收条件，可以组织竣工验收。</w:t>
      </w:r>
    </w:p>
    <w:bookmarkEnd w:id="185"/>
    <w:bookmarkEnd w:id="186"/>
    <w:bookmarkEnd w:id="187"/>
    <w:p w14:paraId="417B82B8">
      <w:pPr>
        <w:pStyle w:val="3"/>
        <w:rPr>
          <w:rFonts w:eastAsia="宋体"/>
        </w:rPr>
      </w:pPr>
      <w:bookmarkStart w:id="189" w:name="_Toc224458217"/>
      <w:bookmarkStart w:id="190" w:name="_Toc108445750"/>
      <w:bookmarkStart w:id="191" w:name="_Toc370111207"/>
      <w:bookmarkStart w:id="192" w:name="_Toc292361746"/>
      <w:r>
        <w:rPr>
          <w:rFonts w:eastAsia="宋体"/>
        </w:rPr>
        <w:t>7.2 遗留问题安排</w:t>
      </w:r>
      <w:bookmarkEnd w:id="189"/>
      <w:bookmarkEnd w:id="190"/>
      <w:bookmarkEnd w:id="191"/>
      <w:bookmarkEnd w:id="192"/>
    </w:p>
    <w:p w14:paraId="4B3F18BB">
      <w:bookmarkStart w:id="193" w:name="OLE_LINK16"/>
      <w:bookmarkStart w:id="194" w:name="OLE_LINK15"/>
      <w:r>
        <w:t>项目验收组在开展兴宁市亲水公园一区工程项目水土保持设施验收工作过程中深入工程现场，对水土流失防治责任范围内的水土保持设施进行了实地察勘，并对水土保持工程资料、监理资料等进行了查阅。在外业察勘过程中，发现项目内及周边基本无水土流失现象。整体而言，施工建设中的水土保持措施均已发挥效益，有效防治了水土流失。为维持目前各项措施的水土保持功能，持续保护项目区水土资源，建设单位将完善注重以下工作：</w:t>
      </w:r>
    </w:p>
    <w:p w14:paraId="41447F2D">
      <w:r>
        <w:t>（1）加强和完善水土保持工程相关资料的归档、管理，用以准备验收核查。</w:t>
      </w:r>
    </w:p>
    <w:p w14:paraId="2D4A0E70">
      <w:r>
        <w:t>（2）定时清理疏通排水管沟等，进行维护，保证设施水土保持功能的正常发挥。</w:t>
      </w:r>
    </w:p>
    <w:p w14:paraId="243743D3">
      <w:r>
        <w:t>（3）对已经布设的水土保持工程措施、植物措施的抚育管理、维护，避免人为破坏，若出现部分生长不良或枯萎的植物，及时补种植物，并加强管理使其充分发挥水土保持防护作用。</w:t>
      </w:r>
    </w:p>
    <w:p w14:paraId="65DE50B7">
      <w:pPr>
        <w:ind w:firstLine="560"/>
        <w:rPr>
          <w:sz w:val="28"/>
          <w:szCs w:val="28"/>
        </w:rPr>
      </w:pPr>
      <w:r>
        <w:rPr>
          <w:sz w:val="28"/>
          <w:szCs w:val="28"/>
        </w:rPr>
        <w:br w:type="page"/>
      </w:r>
    </w:p>
    <w:p w14:paraId="67751C9F">
      <w:pPr>
        <w:pStyle w:val="2"/>
      </w:pPr>
      <w:bookmarkStart w:id="195" w:name="_Toc300750550"/>
      <w:bookmarkStart w:id="196" w:name="_Toc108445751"/>
      <w:bookmarkStart w:id="197" w:name="_Toc370111208"/>
      <w:r>
        <w:t>8 附件、附图</w:t>
      </w:r>
      <w:bookmarkEnd w:id="195"/>
      <w:bookmarkEnd w:id="196"/>
      <w:bookmarkEnd w:id="197"/>
    </w:p>
    <w:p w14:paraId="5ED2EBCC">
      <w:pPr>
        <w:pStyle w:val="3"/>
        <w:rPr>
          <w:rFonts w:eastAsia="宋体"/>
        </w:rPr>
      </w:pPr>
      <w:bookmarkStart w:id="198" w:name="_Toc300750552"/>
      <w:bookmarkStart w:id="199" w:name="_Toc370111210"/>
      <w:bookmarkStart w:id="200" w:name="_Toc108445752"/>
      <w:bookmarkStart w:id="201" w:name="_Toc294861927"/>
      <w:r>
        <w:rPr>
          <w:rFonts w:eastAsia="宋体"/>
        </w:rPr>
        <w:t>8.1 附件</w:t>
      </w:r>
      <w:bookmarkEnd w:id="198"/>
      <w:bookmarkEnd w:id="199"/>
      <w:bookmarkEnd w:id="200"/>
      <w:bookmarkEnd w:id="201"/>
    </w:p>
    <w:p w14:paraId="627BBB6E">
      <w:r>
        <w:rPr>
          <w:rFonts w:hint="eastAsia"/>
        </w:rPr>
        <w:t>附件1 项目建设及水土保持大事记</w:t>
      </w:r>
    </w:p>
    <w:p w14:paraId="5316E909">
      <w:r>
        <w:rPr>
          <w:rFonts w:hint="eastAsia"/>
        </w:rPr>
        <w:t>附件2 发改委立项批复</w:t>
      </w:r>
    </w:p>
    <w:p w14:paraId="177E765D">
      <w:r>
        <w:rPr>
          <w:rFonts w:hint="eastAsia"/>
        </w:rPr>
        <w:t>附件3 水土保持方案审批准予行政许可决定书</w:t>
      </w:r>
    </w:p>
    <w:p w14:paraId="626CC553">
      <w:r>
        <w:rPr>
          <w:rFonts w:hint="eastAsia"/>
        </w:rPr>
        <w:t>附件4购土合同</w:t>
      </w:r>
    </w:p>
    <w:p w14:paraId="6C76601B">
      <w:r>
        <w:rPr>
          <w:rFonts w:hint="eastAsia"/>
        </w:rPr>
        <w:t>附件5工程竣工验收报告</w:t>
      </w:r>
    </w:p>
    <w:p w14:paraId="5D0E39BC">
      <w:pPr>
        <w:pStyle w:val="3"/>
        <w:rPr>
          <w:rFonts w:eastAsia="宋体"/>
        </w:rPr>
      </w:pPr>
      <w:bookmarkStart w:id="202" w:name="_Toc108445753"/>
      <w:r>
        <w:rPr>
          <w:rFonts w:hint="eastAsia" w:eastAsia="宋体"/>
        </w:rPr>
        <w:t>8.2 附图</w:t>
      </w:r>
      <w:bookmarkEnd w:id="202"/>
    </w:p>
    <w:bookmarkEnd w:id="193"/>
    <w:bookmarkEnd w:id="194"/>
    <w:p w14:paraId="379E596C">
      <w:pPr>
        <w:rPr>
          <w:rFonts w:eastAsia="仿宋"/>
          <w:szCs w:val="24"/>
        </w:rPr>
      </w:pPr>
      <w:r>
        <w:rPr>
          <w:rFonts w:hint="eastAsia" w:eastAsia="仿宋"/>
          <w:szCs w:val="24"/>
        </w:rPr>
        <w:t>附图1项目地理位置图</w:t>
      </w:r>
    </w:p>
    <w:p w14:paraId="26B1520F">
      <w:pPr>
        <w:rPr>
          <w:rFonts w:eastAsia="仿宋"/>
          <w:szCs w:val="24"/>
        </w:rPr>
      </w:pPr>
      <w:r>
        <w:rPr>
          <w:rFonts w:hint="eastAsia" w:eastAsia="仿宋"/>
          <w:szCs w:val="24"/>
        </w:rPr>
        <w:t>附图2项目区水系图</w:t>
      </w:r>
    </w:p>
    <w:p w14:paraId="76722295">
      <w:pPr>
        <w:rPr>
          <w:rFonts w:eastAsia="仿宋"/>
          <w:szCs w:val="24"/>
        </w:rPr>
      </w:pPr>
      <w:r>
        <w:rPr>
          <w:rFonts w:hint="eastAsia" w:eastAsia="仿宋"/>
          <w:szCs w:val="24"/>
        </w:rPr>
        <w:t>附图3水土流失防治责任范围及监测点位图</w:t>
      </w:r>
    </w:p>
    <w:p w14:paraId="0FD76DC1">
      <w:pPr>
        <w:rPr>
          <w:rFonts w:eastAsia="仿宋"/>
          <w:szCs w:val="24"/>
        </w:rPr>
      </w:pPr>
      <w:r>
        <w:rPr>
          <w:rFonts w:hint="eastAsia" w:eastAsia="仿宋"/>
          <w:szCs w:val="24"/>
        </w:rPr>
        <w:t>附图4水土保持典型措施布设图</w:t>
      </w:r>
    </w:p>
    <w:p w14:paraId="6C0A3471">
      <w:pPr>
        <w:rPr>
          <w:rFonts w:eastAsia="仿宋"/>
          <w:szCs w:val="24"/>
        </w:rPr>
      </w:pPr>
      <w:r>
        <w:rPr>
          <w:rFonts w:hint="eastAsia" w:eastAsia="仿宋"/>
          <w:szCs w:val="24"/>
        </w:rPr>
        <w:t>附图5项目区现场照</w:t>
      </w:r>
    </w:p>
    <w:p w14:paraId="3B38CBBD">
      <w:pPr>
        <w:rPr>
          <w:rFonts w:eastAsia="仿宋"/>
          <w:szCs w:val="24"/>
        </w:rPr>
      </w:pPr>
      <w:r>
        <w:rPr>
          <w:rFonts w:hint="eastAsia" w:eastAsia="仿宋"/>
          <w:szCs w:val="24"/>
        </w:rPr>
        <w:t>附图6 主体设计相关图纸（共11张）</w:t>
      </w:r>
    </w:p>
    <w:p w14:paraId="55567FFB">
      <w:pPr>
        <w:tabs>
          <w:tab w:val="left" w:pos="540"/>
        </w:tabs>
        <w:ind w:firstLine="0" w:firstLineChars="0"/>
        <w:jc w:val="left"/>
        <w:rPr>
          <w:rFonts w:eastAsia="仿宋"/>
          <w:szCs w:val="24"/>
        </w:rPr>
      </w:pPr>
    </w:p>
    <w:p w14:paraId="13B1275A">
      <w:pPr>
        <w:ind w:firstLine="0" w:firstLineChars="0"/>
        <w:rPr>
          <w:lang w:val="zh-CN"/>
        </w:rPr>
      </w:pPr>
    </w:p>
    <w:sectPr>
      <w:footerReference r:id="rId14" w:type="default"/>
      <w:pgSz w:w="11906" w:h="16838"/>
      <w:pgMar w:top="1440" w:right="1440" w:bottom="1440" w:left="1440" w:header="992" w:footer="964" w:gutter="0"/>
      <w:cols w:space="72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time new roman">
    <w:altName w:val="Times New Roman"/>
    <w:panose1 w:val="00000000000000000000"/>
    <w:charset w:val="00"/>
    <w:family w:val="roman"/>
    <w:pitch w:val="default"/>
    <w:sig w:usb0="00000000" w:usb1="00000000" w:usb2="00000000" w:usb3="00000000" w:csb0="00040001" w:csb1="00000000"/>
  </w:font>
  <w:font w:name="Arial">
    <w:panose1 w:val="020B0604020202020204"/>
    <w:charset w:val="00"/>
    <w:family w:val="swiss"/>
    <w:pitch w:val="default"/>
    <w:sig w:usb0="E0002EFF" w:usb1="C000785B" w:usb2="00000009" w:usb3="00000000" w:csb0="400001FF" w:csb1="FFFF0000"/>
  </w:font>
  <w:font w:name="Arial Unicode MS">
    <w:altName w:val="宋体"/>
    <w:panose1 w:val="020B0604020202020204"/>
    <w:charset w:val="86"/>
    <w:family w:val="swiss"/>
    <w:pitch w:val="default"/>
    <w:sig w:usb0="00000000" w:usb1="00000000" w:usb2="0000003F" w:usb3="00000000" w:csb0="003F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28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A09863">
    <w:pPr>
      <w:pStyle w:val="2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068F19">
    <w:pPr>
      <w:pStyle w:val="2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DF0A3">
    <w:pPr>
      <w:pStyle w:val="20"/>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161CC6">
    <w:pPr>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7D874C">
    <w:pPr>
      <w:pStyle w:val="20"/>
      <w:ind w:firstLine="360"/>
    </w:pPr>
    <w:r>
      <w:pict>
        <v:shape id="文本框 7" o:spid="_x0000_s2050" o:spt="202" type="#_x0000_t202" style="position:absolute;left:0pt;margin-top:0pt;height:15.5pt;width:22.55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ak+vAIAAKkFAAAOAAAAZHJzL2Uyb0RvYy54bWysVMtunDAU3VfqP1jeE2DCMIDCRMkwVJXS&#10;h5T2AzxgBqtgI9sZSKts2z/oqpvu+135jl6bYSaPTdWWhXWxr899nON7dj60DdpRqZjgKfZPPIwo&#10;L0TJ+DbFHz/kToSR0oSXpBGcpviWKny+fPnirO8SOhO1aEoqEYBwlfRdimutu8R1VVHTlqgT0VEO&#10;h5WQLdHwK7duKUkP6G3jzjwvdHshy06KgioFu9l4iJcWv6pood9VlaIaNSmG3LRdpV03ZnWXZyTZ&#10;StLVrNinQf4ii5YwDkEPUBnRBN1I9gyqZYUUSlT6pBCtK6qKFdTWANX43pNqrmvSUVsLNEd1hzap&#10;/wdbvN29l4iVKT6NMeKkBY7uv3+7//Hr/udXtDD96TuVgNt1B456uBQD8GxrVd2VKD4pxMWqJnxL&#10;L6QUfU1JCfn55qb74OqIowzIpn8jSohDbrSwQEMlW9M8aAcCdODp9sANHTQqYHMWhafRHKMCjvw4&#10;jOaWO5ck0+VOKv2KihYZI8USqLfgZHeltEmGJJOLicVFzprG0t/wRxvgOO5AaLhqzkwSls0vsRev&#10;o3UUOMEsXDuBl2XORb4KnDD3F/PsNFutMv/OxPWDpGZlSbkJMynLD/6Mub3GR00ctKVEw0oDZ1JS&#10;crtZNRLtCCg7t59tOZwc3dzHadgmQC1PSvJngXc5i508jBZOkAdzJ154keP58WUcekEcZPnjkq4Y&#10;p/9eEuqByXm0mI9iOmb9pDjPfs+LI0nLNAyPhrUpjg5OJDESXPPScqsJa0b7QS9M/sdeAN8T01aw&#10;RqOjWvWwGQDFqHgjyluQrhQgLdAnTDwwaiE/Y9TD9Egxh/GGUfOag/jNoJkMORmbySC8gIsp1hiN&#10;5kqPA+mmk2xbA+70vC7ggeTMiveYw/5ZwTywJexnlxk4D/+t13HCLn8DAAD//wMAUEsDBBQABgAI&#10;AAAAIQDsCZ9W2wAAAAMBAAAPAAAAZHJzL2Rvd25yZXYueG1sTI/BTsMwEETvSPyDtUhcqtYOlKqE&#10;OBUg9QZSW5C4uvGSpMTryHbTwNezcIHLSqMZzbwtVqPrxIAhtp40ZDMFAqnytqVaw+vLeroEEZMh&#10;azpPqOETI6zK87PC5NafaIvDLtWCSyjmRkOTUp9LGasGnYkz3yOx9+6DM4llqKUN5sTlrpNXSi2k&#10;My3xQmN6fGyw+tgdnYa3py/E7fJhMhnmh0NQ69tNJZ+1vrwY7+9AJBzTXxh+8BkdSmba+yPZKDoN&#10;/Ej6vezNbzIQew3XmQJZFvI/e/kNAAD//wMAUEsBAi0AFAAGAAgAAAAhALaDOJL+AAAA4QEAABMA&#10;AAAAAAAAAAAAAAAAAAAAAFtDb250ZW50X1R5cGVzXS54bWxQSwECLQAUAAYACAAAACEAOP0h/9YA&#10;AACUAQAACwAAAAAAAAAAAAAAAAAvAQAAX3JlbHMvLnJlbHNQSwECLQAUAAYACAAAACEApvWpPrwC&#10;AACpBQAADgAAAAAAAAAAAAAAAAAuAgAAZHJzL2Uyb0RvYy54bWxQSwECLQAUAAYACAAAACEA7Amf&#10;VtsAAAADAQAADwAAAAAAAAAAAAAAAAAWBQAAZHJzL2Rvd25yZXYueG1sUEsFBgAAAAAEAAQA8wAA&#10;AB4GAAAAAA==&#10;">
          <v:path/>
          <v:fill on="f" focussize="0,0"/>
          <v:stroke on="f" weight="1.25pt" joinstyle="miter"/>
          <v:imagedata o:title=""/>
          <o:lock v:ext="edit"/>
          <v:textbox inset="0mm,0mm,0mm,0mm" style="mso-fit-shape-to-text:t;">
            <w:txbxContent>
              <w:p w14:paraId="5E6C4FFB">
                <w:pPr>
                  <w:pStyle w:val="20"/>
                  <w:ind w:firstLine="360"/>
                </w:pPr>
                <w:r>
                  <w:fldChar w:fldCharType="begin"/>
                </w:r>
                <w:r>
                  <w:instrText xml:space="preserve"> PAGE  \* MERGEFORMAT </w:instrText>
                </w:r>
                <w:r>
                  <w:fldChar w:fldCharType="separate"/>
                </w:r>
                <w:r>
                  <w:t>4</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E7110A">
    <w:pPr>
      <w:pStyle w:val="20"/>
      <w:ind w:firstLine="360"/>
    </w:pPr>
    <w:r>
      <w:pict>
        <v:shape id="文本框 8" o:spid="_x0000_s2049" o:spt="202" type="#_x0000_t202" style="position:absolute;left:0pt;margin-top:0pt;height:15.5pt;width:27.05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LcJvwIAALAFAAAOAAAAZHJzL2Uyb0RvYy54bWysVMuOmzAU3VfqP1jeM0ACCaAh1UwIVaXp&#10;Q5r2AxwwwSrYyPYEplW37R901U33/a75jl6bkMxjU7VlYV3s63Mf5/ievxjaBu2pVEzwFPtnHkaU&#10;F6JkfJfiD+9zJ8JIacJL0ghOU3xLFX6xev7svO8SOhO1aEoqEYBwlfRdimutu8R1VVHTlqgz0VEO&#10;h5WQLdHwK3duKUkP6G3jzjxv4fZClp0UBVUKdrPxEK8sflXRQr+tKkU1alIMuWm7Srtuzequzkmy&#10;k6SrWXFIg/xFFi1hHIIeoTKiCbqR7AlUywoplKj0WSFaV1QVK6itAarxvUfVXNeko7YWaI7qjm1S&#10;/w+2eLN/JxErUzxfYsRJCxzdff929+PX3c+vKDL96TuVgNt1B456uBQD8GxrVd2VKD4qxMW6JnxH&#10;L6QUfU1JCfn55qZ77+qIowzItn8tSohDbrSwQEMlW9M8aAcCdODp9sgNHTQqYHMezMN5iFEBR368&#10;iELLnUuS6XInlX5JRYuMkWIJ1Ftwsr9S2iRDksnFxOIiZ01j6W/4gw1wHHcgNFw1ZyYJy+bn2Is3&#10;0SYKnGC22DiBl2XORb4OnEXuL8Nsnq3Xmf/FxPWDpGZlSbkJMynLD/6MuYPGR00ctaVEw0oDZ1JS&#10;crddNxLtCSg7t59tOZyc3NyHadgmQC2PSvJngXc5i518ES2dIA9CJ156keP58WW88II4yPKHJV0x&#10;Tv+9JNQDk2G0DEcxnbJ+VJxnv6fFkaRlGoZHw9oUR0cnkhgJbnhpudWENaN9rxcm/1MvgO+JaStY&#10;o9FRrXrYDvZtWDUbMW9FeQsKlgIUBjKFwQdGLeQnjHoYIinmMOUwal5xeANm3kyGnIztZBBewMUU&#10;a4xGc63HuXTTSbarAXd6ZRfwTnJmNXzK4fC6YCzYSg4jzMyd+//W6zRoV78BAAD//wMAUEsDBBQA&#10;BgAIAAAAIQDVLS002wAAAAMBAAAPAAAAZHJzL2Rvd25yZXYueG1sTI/BTsMwEETvSPyDtUhcqtYO&#10;lKqEOBUg9QZSW5C4uvGSpMTryHbTwNezcIHLSqMZzbwtVqPrxIAhtp40ZDMFAqnytqVaw+vLeroE&#10;EZMhazpPqOETI6zK87PC5NafaIvDLtWCSyjmRkOTUp9LGasGnYkz3yOx9+6DM4llqKUN5sTlrpNX&#10;Si2kMy3xQmN6fGyw+tgdnYa3py/E7fJhMhnmh0NQ69tNJZ+1vrwY7+9AJBzTXxh+8BkdSmba+yPZ&#10;KDoN/Ej6vezdzDMQew3XmQJZFvI/e/kNAAD//wMAUEsBAi0AFAAGAAgAAAAhALaDOJL+AAAA4QEA&#10;ABMAAAAAAAAAAAAAAAAAAAAAAFtDb250ZW50X1R5cGVzXS54bWxQSwECLQAUAAYACAAAACEAOP0h&#10;/9YAAACUAQAACwAAAAAAAAAAAAAAAAAvAQAAX3JlbHMvLnJlbHNQSwECLQAUAAYACAAAACEAIVy3&#10;Cb8CAACwBQAADgAAAAAAAAAAAAAAAAAuAgAAZHJzL2Uyb0RvYy54bWxQSwECLQAUAAYACAAAACEA&#10;1S0tNNsAAAADAQAADwAAAAAAAAAAAAAAAAAZBQAAZHJzL2Rvd25yZXYueG1sUEsFBgAAAAAEAAQA&#10;8wAAACEGAAAAAA==&#10;">
          <v:path/>
          <v:fill on="f" focussize="0,0"/>
          <v:stroke on="f" weight="1.25pt" joinstyle="miter"/>
          <v:imagedata o:title=""/>
          <o:lock v:ext="edit"/>
          <v:textbox inset="0mm,0mm,0mm,0mm" style="mso-fit-shape-to-text:t;">
            <w:txbxContent>
              <w:p w14:paraId="1D957CAA">
                <w:pPr>
                  <w:pStyle w:val="20"/>
                  <w:ind w:firstLine="360"/>
                </w:pPr>
                <w:r>
                  <w:fldChar w:fldCharType="begin"/>
                </w:r>
                <w:r>
                  <w:instrText xml:space="preserve"> PAGE  \* MERGEFORMAT </w:instrText>
                </w:r>
                <w:r>
                  <w:fldChar w:fldCharType="separate"/>
                </w:r>
                <w:r>
                  <w:t>31</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E3E16E">
    <w:pPr>
      <w:ind w:left="480" w:firstLine="0" w:firstLineChars="0"/>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B44D8">
    <w:pPr>
      <w:pStyle w:val="2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EB010">
    <w:pPr>
      <w:pStyle w:val="21"/>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7F7BCB">
    <w:pPr>
      <w:ind w:firstLine="0" w:firstLineChars="0"/>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HorizontalSpacing w:val="105"/>
  <w:drawingGridVerticalSpacing w:val="156"/>
  <w:noPunctuationKerning w:val="1"/>
  <w:characterSpacingControl w:val="compressPunctuation"/>
  <w:doNotValidateAgainstSchema/>
  <w:doNotDemarcateInvalidXml/>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6C8"/>
    <w:rsid w:val="00001268"/>
    <w:rsid w:val="00001726"/>
    <w:rsid w:val="00002062"/>
    <w:rsid w:val="0000340A"/>
    <w:rsid w:val="000043CE"/>
    <w:rsid w:val="00004567"/>
    <w:rsid w:val="00004633"/>
    <w:rsid w:val="0000477E"/>
    <w:rsid w:val="00004F39"/>
    <w:rsid w:val="00005D06"/>
    <w:rsid w:val="00005FAB"/>
    <w:rsid w:val="00006C59"/>
    <w:rsid w:val="00006FED"/>
    <w:rsid w:val="00007989"/>
    <w:rsid w:val="00010E9C"/>
    <w:rsid w:val="00011292"/>
    <w:rsid w:val="00011C49"/>
    <w:rsid w:val="00013016"/>
    <w:rsid w:val="000131AA"/>
    <w:rsid w:val="000135A0"/>
    <w:rsid w:val="000142D9"/>
    <w:rsid w:val="000143DE"/>
    <w:rsid w:val="0001583D"/>
    <w:rsid w:val="00015FA6"/>
    <w:rsid w:val="0001612A"/>
    <w:rsid w:val="00016501"/>
    <w:rsid w:val="000170A8"/>
    <w:rsid w:val="00017C13"/>
    <w:rsid w:val="00020D0C"/>
    <w:rsid w:val="00021E7B"/>
    <w:rsid w:val="0002210F"/>
    <w:rsid w:val="00023881"/>
    <w:rsid w:val="00024B36"/>
    <w:rsid w:val="00025C0C"/>
    <w:rsid w:val="00026390"/>
    <w:rsid w:val="0002687A"/>
    <w:rsid w:val="00026B2C"/>
    <w:rsid w:val="00027176"/>
    <w:rsid w:val="00030496"/>
    <w:rsid w:val="000315A2"/>
    <w:rsid w:val="000315C7"/>
    <w:rsid w:val="000319C6"/>
    <w:rsid w:val="00031B37"/>
    <w:rsid w:val="00031ED3"/>
    <w:rsid w:val="00032392"/>
    <w:rsid w:val="00032807"/>
    <w:rsid w:val="00032BC2"/>
    <w:rsid w:val="00032D69"/>
    <w:rsid w:val="00033B27"/>
    <w:rsid w:val="00033D6E"/>
    <w:rsid w:val="00033E8B"/>
    <w:rsid w:val="000359B9"/>
    <w:rsid w:val="000361E2"/>
    <w:rsid w:val="00041412"/>
    <w:rsid w:val="00043142"/>
    <w:rsid w:val="000434D8"/>
    <w:rsid w:val="00043527"/>
    <w:rsid w:val="000448FB"/>
    <w:rsid w:val="00044F42"/>
    <w:rsid w:val="00045C4B"/>
    <w:rsid w:val="0005013D"/>
    <w:rsid w:val="00050FF1"/>
    <w:rsid w:val="00051D67"/>
    <w:rsid w:val="00051E3F"/>
    <w:rsid w:val="00052493"/>
    <w:rsid w:val="000534BD"/>
    <w:rsid w:val="0005365E"/>
    <w:rsid w:val="00053C2A"/>
    <w:rsid w:val="00053D0E"/>
    <w:rsid w:val="00053FD1"/>
    <w:rsid w:val="000543BE"/>
    <w:rsid w:val="00054B34"/>
    <w:rsid w:val="00054F40"/>
    <w:rsid w:val="00055941"/>
    <w:rsid w:val="00055ABA"/>
    <w:rsid w:val="00055ED3"/>
    <w:rsid w:val="000570A0"/>
    <w:rsid w:val="00057955"/>
    <w:rsid w:val="00057FD3"/>
    <w:rsid w:val="000600A1"/>
    <w:rsid w:val="00060753"/>
    <w:rsid w:val="00060B41"/>
    <w:rsid w:val="00061D7F"/>
    <w:rsid w:val="00063826"/>
    <w:rsid w:val="00065867"/>
    <w:rsid w:val="00066888"/>
    <w:rsid w:val="0006727A"/>
    <w:rsid w:val="00067D73"/>
    <w:rsid w:val="00070BA2"/>
    <w:rsid w:val="00070E3D"/>
    <w:rsid w:val="00071318"/>
    <w:rsid w:val="000720AD"/>
    <w:rsid w:val="00072784"/>
    <w:rsid w:val="00073093"/>
    <w:rsid w:val="000736D0"/>
    <w:rsid w:val="000749D0"/>
    <w:rsid w:val="00074A55"/>
    <w:rsid w:val="00074AB4"/>
    <w:rsid w:val="000766C1"/>
    <w:rsid w:val="00076D66"/>
    <w:rsid w:val="0007758B"/>
    <w:rsid w:val="00077ADE"/>
    <w:rsid w:val="00080EC9"/>
    <w:rsid w:val="0008100E"/>
    <w:rsid w:val="0008120C"/>
    <w:rsid w:val="000819FE"/>
    <w:rsid w:val="00081DF2"/>
    <w:rsid w:val="000821B6"/>
    <w:rsid w:val="000821E6"/>
    <w:rsid w:val="000822E4"/>
    <w:rsid w:val="00082C6A"/>
    <w:rsid w:val="000836B4"/>
    <w:rsid w:val="000836E2"/>
    <w:rsid w:val="00084097"/>
    <w:rsid w:val="00084292"/>
    <w:rsid w:val="00085304"/>
    <w:rsid w:val="000872EF"/>
    <w:rsid w:val="0008732B"/>
    <w:rsid w:val="000911CB"/>
    <w:rsid w:val="00091231"/>
    <w:rsid w:val="000918FC"/>
    <w:rsid w:val="00091B6C"/>
    <w:rsid w:val="00091CB8"/>
    <w:rsid w:val="0009283D"/>
    <w:rsid w:val="00095EFF"/>
    <w:rsid w:val="000971B2"/>
    <w:rsid w:val="00097C65"/>
    <w:rsid w:val="00097CD0"/>
    <w:rsid w:val="00097D06"/>
    <w:rsid w:val="00097EDF"/>
    <w:rsid w:val="000A1AF7"/>
    <w:rsid w:val="000A25F7"/>
    <w:rsid w:val="000A2D6E"/>
    <w:rsid w:val="000A3AAB"/>
    <w:rsid w:val="000A41B8"/>
    <w:rsid w:val="000A49DF"/>
    <w:rsid w:val="000A557A"/>
    <w:rsid w:val="000A57DA"/>
    <w:rsid w:val="000A5A07"/>
    <w:rsid w:val="000A5CFB"/>
    <w:rsid w:val="000A675B"/>
    <w:rsid w:val="000A723E"/>
    <w:rsid w:val="000B0A9A"/>
    <w:rsid w:val="000B1599"/>
    <w:rsid w:val="000B2F10"/>
    <w:rsid w:val="000B5789"/>
    <w:rsid w:val="000B6359"/>
    <w:rsid w:val="000B7C4A"/>
    <w:rsid w:val="000B7D92"/>
    <w:rsid w:val="000C0592"/>
    <w:rsid w:val="000C086D"/>
    <w:rsid w:val="000C0A4C"/>
    <w:rsid w:val="000C0BFF"/>
    <w:rsid w:val="000C18DD"/>
    <w:rsid w:val="000C2A08"/>
    <w:rsid w:val="000C3B1F"/>
    <w:rsid w:val="000C4CB4"/>
    <w:rsid w:val="000C50F4"/>
    <w:rsid w:val="000C6FCF"/>
    <w:rsid w:val="000C732B"/>
    <w:rsid w:val="000C7FAC"/>
    <w:rsid w:val="000D01A6"/>
    <w:rsid w:val="000D172B"/>
    <w:rsid w:val="000D207F"/>
    <w:rsid w:val="000D21CE"/>
    <w:rsid w:val="000D23D2"/>
    <w:rsid w:val="000D2673"/>
    <w:rsid w:val="000D2D75"/>
    <w:rsid w:val="000D330A"/>
    <w:rsid w:val="000D3332"/>
    <w:rsid w:val="000D3519"/>
    <w:rsid w:val="000D479B"/>
    <w:rsid w:val="000D49BF"/>
    <w:rsid w:val="000D5420"/>
    <w:rsid w:val="000D56B7"/>
    <w:rsid w:val="000D5DC1"/>
    <w:rsid w:val="000D615F"/>
    <w:rsid w:val="000D6A42"/>
    <w:rsid w:val="000E0A0C"/>
    <w:rsid w:val="000E1E3D"/>
    <w:rsid w:val="000E2793"/>
    <w:rsid w:val="000E39B8"/>
    <w:rsid w:val="000E56F8"/>
    <w:rsid w:val="000E6658"/>
    <w:rsid w:val="000E6903"/>
    <w:rsid w:val="000E75B1"/>
    <w:rsid w:val="000E7906"/>
    <w:rsid w:val="000F06DF"/>
    <w:rsid w:val="000F070A"/>
    <w:rsid w:val="000F0D05"/>
    <w:rsid w:val="000F1874"/>
    <w:rsid w:val="000F18B9"/>
    <w:rsid w:val="000F1CA3"/>
    <w:rsid w:val="000F2454"/>
    <w:rsid w:val="000F2A3D"/>
    <w:rsid w:val="000F370E"/>
    <w:rsid w:val="000F4F72"/>
    <w:rsid w:val="000F654B"/>
    <w:rsid w:val="000F65A9"/>
    <w:rsid w:val="000F65E7"/>
    <w:rsid w:val="000F6CA0"/>
    <w:rsid w:val="000F7528"/>
    <w:rsid w:val="00101D1E"/>
    <w:rsid w:val="00102FF7"/>
    <w:rsid w:val="001035AB"/>
    <w:rsid w:val="00104884"/>
    <w:rsid w:val="00104B1E"/>
    <w:rsid w:val="001052F2"/>
    <w:rsid w:val="001066EE"/>
    <w:rsid w:val="00106B9B"/>
    <w:rsid w:val="00106E91"/>
    <w:rsid w:val="001073EB"/>
    <w:rsid w:val="00107771"/>
    <w:rsid w:val="00107C1A"/>
    <w:rsid w:val="00111B28"/>
    <w:rsid w:val="001127E6"/>
    <w:rsid w:val="00113415"/>
    <w:rsid w:val="00114AA9"/>
    <w:rsid w:val="00114EEC"/>
    <w:rsid w:val="001153A7"/>
    <w:rsid w:val="00117B9F"/>
    <w:rsid w:val="00120801"/>
    <w:rsid w:val="00120D8D"/>
    <w:rsid w:val="0012124A"/>
    <w:rsid w:val="00124518"/>
    <w:rsid w:val="00124847"/>
    <w:rsid w:val="0012515F"/>
    <w:rsid w:val="00126777"/>
    <w:rsid w:val="00126BAD"/>
    <w:rsid w:val="00127B44"/>
    <w:rsid w:val="00130DA8"/>
    <w:rsid w:val="00130FF0"/>
    <w:rsid w:val="00131744"/>
    <w:rsid w:val="00131BA9"/>
    <w:rsid w:val="00131CC0"/>
    <w:rsid w:val="0013216C"/>
    <w:rsid w:val="001325BB"/>
    <w:rsid w:val="001326B4"/>
    <w:rsid w:val="001328D5"/>
    <w:rsid w:val="001329FC"/>
    <w:rsid w:val="001330C6"/>
    <w:rsid w:val="0013346E"/>
    <w:rsid w:val="001340F9"/>
    <w:rsid w:val="00134192"/>
    <w:rsid w:val="00134A33"/>
    <w:rsid w:val="00136805"/>
    <w:rsid w:val="00137039"/>
    <w:rsid w:val="00137569"/>
    <w:rsid w:val="001402B4"/>
    <w:rsid w:val="001407C7"/>
    <w:rsid w:val="00140B4A"/>
    <w:rsid w:val="00140C12"/>
    <w:rsid w:val="00141394"/>
    <w:rsid w:val="0014166A"/>
    <w:rsid w:val="001418A5"/>
    <w:rsid w:val="001423C7"/>
    <w:rsid w:val="00145350"/>
    <w:rsid w:val="00147B37"/>
    <w:rsid w:val="00147B81"/>
    <w:rsid w:val="001507F7"/>
    <w:rsid w:val="00151F97"/>
    <w:rsid w:val="0015223C"/>
    <w:rsid w:val="0015225C"/>
    <w:rsid w:val="00152C3B"/>
    <w:rsid w:val="0015448C"/>
    <w:rsid w:val="001545AB"/>
    <w:rsid w:val="00154EE4"/>
    <w:rsid w:val="00154FEA"/>
    <w:rsid w:val="0015521E"/>
    <w:rsid w:val="00156317"/>
    <w:rsid w:val="00156FF8"/>
    <w:rsid w:val="0015715A"/>
    <w:rsid w:val="00157435"/>
    <w:rsid w:val="00160FE7"/>
    <w:rsid w:val="0016157D"/>
    <w:rsid w:val="0016173C"/>
    <w:rsid w:val="0016266C"/>
    <w:rsid w:val="00162760"/>
    <w:rsid w:val="001635BA"/>
    <w:rsid w:val="0016407E"/>
    <w:rsid w:val="001648EE"/>
    <w:rsid w:val="00164ACB"/>
    <w:rsid w:val="0016531F"/>
    <w:rsid w:val="0016648A"/>
    <w:rsid w:val="00170142"/>
    <w:rsid w:val="00170CF5"/>
    <w:rsid w:val="00172A27"/>
    <w:rsid w:val="00173EBC"/>
    <w:rsid w:val="00175653"/>
    <w:rsid w:val="00176BAA"/>
    <w:rsid w:val="00176F35"/>
    <w:rsid w:val="001805E1"/>
    <w:rsid w:val="0018081A"/>
    <w:rsid w:val="0018083F"/>
    <w:rsid w:val="0018173B"/>
    <w:rsid w:val="00181FA2"/>
    <w:rsid w:val="00182309"/>
    <w:rsid w:val="00183143"/>
    <w:rsid w:val="001832A0"/>
    <w:rsid w:val="0018331E"/>
    <w:rsid w:val="00183349"/>
    <w:rsid w:val="00184061"/>
    <w:rsid w:val="001844E3"/>
    <w:rsid w:val="00184C5A"/>
    <w:rsid w:val="00185158"/>
    <w:rsid w:val="00186EF9"/>
    <w:rsid w:val="00190011"/>
    <w:rsid w:val="001902BE"/>
    <w:rsid w:val="00190367"/>
    <w:rsid w:val="00190747"/>
    <w:rsid w:val="00191FBE"/>
    <w:rsid w:val="00192967"/>
    <w:rsid w:val="00192CDF"/>
    <w:rsid w:val="0019671A"/>
    <w:rsid w:val="00196E6D"/>
    <w:rsid w:val="00197A2D"/>
    <w:rsid w:val="001A0026"/>
    <w:rsid w:val="001A0220"/>
    <w:rsid w:val="001A053C"/>
    <w:rsid w:val="001A124A"/>
    <w:rsid w:val="001A14DD"/>
    <w:rsid w:val="001A1AFD"/>
    <w:rsid w:val="001A1FF3"/>
    <w:rsid w:val="001A30B4"/>
    <w:rsid w:val="001A55C5"/>
    <w:rsid w:val="001A5BEF"/>
    <w:rsid w:val="001A7811"/>
    <w:rsid w:val="001B0575"/>
    <w:rsid w:val="001B152F"/>
    <w:rsid w:val="001B17E4"/>
    <w:rsid w:val="001B205E"/>
    <w:rsid w:val="001B4153"/>
    <w:rsid w:val="001B496A"/>
    <w:rsid w:val="001B4EC4"/>
    <w:rsid w:val="001B54DB"/>
    <w:rsid w:val="001B5BB9"/>
    <w:rsid w:val="001B5F40"/>
    <w:rsid w:val="001B7BB7"/>
    <w:rsid w:val="001C1A65"/>
    <w:rsid w:val="001C1F33"/>
    <w:rsid w:val="001C395E"/>
    <w:rsid w:val="001C5091"/>
    <w:rsid w:val="001C54FB"/>
    <w:rsid w:val="001C572B"/>
    <w:rsid w:val="001C5963"/>
    <w:rsid w:val="001C7840"/>
    <w:rsid w:val="001C7923"/>
    <w:rsid w:val="001D05BA"/>
    <w:rsid w:val="001D1381"/>
    <w:rsid w:val="001D4721"/>
    <w:rsid w:val="001D49F5"/>
    <w:rsid w:val="001D6723"/>
    <w:rsid w:val="001D6805"/>
    <w:rsid w:val="001E0510"/>
    <w:rsid w:val="001E156D"/>
    <w:rsid w:val="001E30E4"/>
    <w:rsid w:val="001E3297"/>
    <w:rsid w:val="001E55FE"/>
    <w:rsid w:val="001F03BE"/>
    <w:rsid w:val="001F18A0"/>
    <w:rsid w:val="001F19E3"/>
    <w:rsid w:val="001F2A2D"/>
    <w:rsid w:val="001F2A62"/>
    <w:rsid w:val="001F3407"/>
    <w:rsid w:val="001F3967"/>
    <w:rsid w:val="001F4322"/>
    <w:rsid w:val="001F5C78"/>
    <w:rsid w:val="001F764D"/>
    <w:rsid w:val="00200AF3"/>
    <w:rsid w:val="00201604"/>
    <w:rsid w:val="00203681"/>
    <w:rsid w:val="00204122"/>
    <w:rsid w:val="0020421A"/>
    <w:rsid w:val="00204892"/>
    <w:rsid w:val="00205036"/>
    <w:rsid w:val="002054E5"/>
    <w:rsid w:val="002069C9"/>
    <w:rsid w:val="00206B77"/>
    <w:rsid w:val="00207606"/>
    <w:rsid w:val="002103F0"/>
    <w:rsid w:val="00210B8F"/>
    <w:rsid w:val="0021389D"/>
    <w:rsid w:val="00214AE9"/>
    <w:rsid w:val="00216213"/>
    <w:rsid w:val="00216E5B"/>
    <w:rsid w:val="00217320"/>
    <w:rsid w:val="00217BD1"/>
    <w:rsid w:val="00220ADC"/>
    <w:rsid w:val="00222181"/>
    <w:rsid w:val="00222430"/>
    <w:rsid w:val="002227B7"/>
    <w:rsid w:val="0022295B"/>
    <w:rsid w:val="002247A8"/>
    <w:rsid w:val="00224880"/>
    <w:rsid w:val="002250C6"/>
    <w:rsid w:val="00225E06"/>
    <w:rsid w:val="002270A0"/>
    <w:rsid w:val="002274AE"/>
    <w:rsid w:val="00227C0B"/>
    <w:rsid w:val="00232A96"/>
    <w:rsid w:val="00233318"/>
    <w:rsid w:val="0023497F"/>
    <w:rsid w:val="0023519A"/>
    <w:rsid w:val="002362C4"/>
    <w:rsid w:val="00236821"/>
    <w:rsid w:val="0023702A"/>
    <w:rsid w:val="00237835"/>
    <w:rsid w:val="00240048"/>
    <w:rsid w:val="00240BA3"/>
    <w:rsid w:val="00240F37"/>
    <w:rsid w:val="00241B5A"/>
    <w:rsid w:val="0024240F"/>
    <w:rsid w:val="00243F0D"/>
    <w:rsid w:val="002441DC"/>
    <w:rsid w:val="002449CC"/>
    <w:rsid w:val="002459F3"/>
    <w:rsid w:val="0024792A"/>
    <w:rsid w:val="002502A7"/>
    <w:rsid w:val="002509CC"/>
    <w:rsid w:val="00250EB6"/>
    <w:rsid w:val="00251F09"/>
    <w:rsid w:val="00252119"/>
    <w:rsid w:val="00252201"/>
    <w:rsid w:val="00252398"/>
    <w:rsid w:val="00253354"/>
    <w:rsid w:val="00254013"/>
    <w:rsid w:val="002557BB"/>
    <w:rsid w:val="00256208"/>
    <w:rsid w:val="0025626B"/>
    <w:rsid w:val="002577F2"/>
    <w:rsid w:val="00257887"/>
    <w:rsid w:val="00262107"/>
    <w:rsid w:val="0026227D"/>
    <w:rsid w:val="00263033"/>
    <w:rsid w:val="0026308B"/>
    <w:rsid w:val="0026321E"/>
    <w:rsid w:val="00263444"/>
    <w:rsid w:val="0026350B"/>
    <w:rsid w:val="00263D0E"/>
    <w:rsid w:val="0026482C"/>
    <w:rsid w:val="002666B1"/>
    <w:rsid w:val="00266F7C"/>
    <w:rsid w:val="00267398"/>
    <w:rsid w:val="0027002A"/>
    <w:rsid w:val="00270D31"/>
    <w:rsid w:val="00270F12"/>
    <w:rsid w:val="002717EE"/>
    <w:rsid w:val="00271A5F"/>
    <w:rsid w:val="00272AFB"/>
    <w:rsid w:val="00272FC8"/>
    <w:rsid w:val="002766B6"/>
    <w:rsid w:val="002779C0"/>
    <w:rsid w:val="00280474"/>
    <w:rsid w:val="00280F60"/>
    <w:rsid w:val="00282E62"/>
    <w:rsid w:val="00283443"/>
    <w:rsid w:val="00284110"/>
    <w:rsid w:val="0028625B"/>
    <w:rsid w:val="0028753D"/>
    <w:rsid w:val="00290680"/>
    <w:rsid w:val="002910EA"/>
    <w:rsid w:val="002916D5"/>
    <w:rsid w:val="0029176F"/>
    <w:rsid w:val="00292D12"/>
    <w:rsid w:val="00293CFF"/>
    <w:rsid w:val="00294552"/>
    <w:rsid w:val="002960D2"/>
    <w:rsid w:val="002966BA"/>
    <w:rsid w:val="00297197"/>
    <w:rsid w:val="002A0C78"/>
    <w:rsid w:val="002A1C09"/>
    <w:rsid w:val="002A2013"/>
    <w:rsid w:val="002A2289"/>
    <w:rsid w:val="002A2485"/>
    <w:rsid w:val="002A2CE2"/>
    <w:rsid w:val="002A2EAE"/>
    <w:rsid w:val="002A3AAD"/>
    <w:rsid w:val="002A492D"/>
    <w:rsid w:val="002A5A4A"/>
    <w:rsid w:val="002A5CC2"/>
    <w:rsid w:val="002A5DF9"/>
    <w:rsid w:val="002A6B0C"/>
    <w:rsid w:val="002A6FDC"/>
    <w:rsid w:val="002A7943"/>
    <w:rsid w:val="002A7A64"/>
    <w:rsid w:val="002B12DD"/>
    <w:rsid w:val="002B29A1"/>
    <w:rsid w:val="002B2BE5"/>
    <w:rsid w:val="002B2DF8"/>
    <w:rsid w:val="002B2FF2"/>
    <w:rsid w:val="002B4BC0"/>
    <w:rsid w:val="002B4F9A"/>
    <w:rsid w:val="002B5CB9"/>
    <w:rsid w:val="002B6CE8"/>
    <w:rsid w:val="002B7EB4"/>
    <w:rsid w:val="002C09D8"/>
    <w:rsid w:val="002C1927"/>
    <w:rsid w:val="002C1C0D"/>
    <w:rsid w:val="002C282D"/>
    <w:rsid w:val="002C3B15"/>
    <w:rsid w:val="002C4CE1"/>
    <w:rsid w:val="002C5C31"/>
    <w:rsid w:val="002C66BA"/>
    <w:rsid w:val="002C68CB"/>
    <w:rsid w:val="002C6AF2"/>
    <w:rsid w:val="002C715C"/>
    <w:rsid w:val="002C7FC4"/>
    <w:rsid w:val="002D128C"/>
    <w:rsid w:val="002D1584"/>
    <w:rsid w:val="002D1D2D"/>
    <w:rsid w:val="002D2EFE"/>
    <w:rsid w:val="002D3E1C"/>
    <w:rsid w:val="002D3F15"/>
    <w:rsid w:val="002D4983"/>
    <w:rsid w:val="002D54CF"/>
    <w:rsid w:val="002D62FB"/>
    <w:rsid w:val="002D6CEA"/>
    <w:rsid w:val="002E0A04"/>
    <w:rsid w:val="002E3FBA"/>
    <w:rsid w:val="002E4344"/>
    <w:rsid w:val="002E4E80"/>
    <w:rsid w:val="002E5AE0"/>
    <w:rsid w:val="002E5DD9"/>
    <w:rsid w:val="002E7533"/>
    <w:rsid w:val="002F0164"/>
    <w:rsid w:val="002F0439"/>
    <w:rsid w:val="002F0742"/>
    <w:rsid w:val="002F0776"/>
    <w:rsid w:val="002F0ABE"/>
    <w:rsid w:val="002F0E04"/>
    <w:rsid w:val="002F1A14"/>
    <w:rsid w:val="002F269A"/>
    <w:rsid w:val="002F2CB7"/>
    <w:rsid w:val="002F7424"/>
    <w:rsid w:val="002F7945"/>
    <w:rsid w:val="002F7BBB"/>
    <w:rsid w:val="00300022"/>
    <w:rsid w:val="0030015B"/>
    <w:rsid w:val="00300E95"/>
    <w:rsid w:val="0030144A"/>
    <w:rsid w:val="00301665"/>
    <w:rsid w:val="0030289A"/>
    <w:rsid w:val="00303A2B"/>
    <w:rsid w:val="00303F02"/>
    <w:rsid w:val="00305693"/>
    <w:rsid w:val="00305A95"/>
    <w:rsid w:val="00306A33"/>
    <w:rsid w:val="00306DAB"/>
    <w:rsid w:val="00307E0D"/>
    <w:rsid w:val="00312627"/>
    <w:rsid w:val="00312E87"/>
    <w:rsid w:val="00314505"/>
    <w:rsid w:val="00314C4B"/>
    <w:rsid w:val="00314F9F"/>
    <w:rsid w:val="00314FCB"/>
    <w:rsid w:val="00315A27"/>
    <w:rsid w:val="00315F88"/>
    <w:rsid w:val="00316F00"/>
    <w:rsid w:val="00317DC8"/>
    <w:rsid w:val="0032089E"/>
    <w:rsid w:val="0032098D"/>
    <w:rsid w:val="0032305F"/>
    <w:rsid w:val="00324103"/>
    <w:rsid w:val="003258D8"/>
    <w:rsid w:val="00325F42"/>
    <w:rsid w:val="00326599"/>
    <w:rsid w:val="0032665D"/>
    <w:rsid w:val="003279E5"/>
    <w:rsid w:val="00327DFA"/>
    <w:rsid w:val="0033042F"/>
    <w:rsid w:val="00330F84"/>
    <w:rsid w:val="003311F1"/>
    <w:rsid w:val="00331915"/>
    <w:rsid w:val="003334F0"/>
    <w:rsid w:val="00333A4F"/>
    <w:rsid w:val="00333B26"/>
    <w:rsid w:val="0033441B"/>
    <w:rsid w:val="00335190"/>
    <w:rsid w:val="003351C6"/>
    <w:rsid w:val="00335537"/>
    <w:rsid w:val="00335774"/>
    <w:rsid w:val="003364C6"/>
    <w:rsid w:val="00336AA6"/>
    <w:rsid w:val="0034068E"/>
    <w:rsid w:val="003406DA"/>
    <w:rsid w:val="00341C12"/>
    <w:rsid w:val="00341D83"/>
    <w:rsid w:val="00343751"/>
    <w:rsid w:val="00344545"/>
    <w:rsid w:val="00344A4E"/>
    <w:rsid w:val="00345398"/>
    <w:rsid w:val="003462E5"/>
    <w:rsid w:val="00347250"/>
    <w:rsid w:val="00347496"/>
    <w:rsid w:val="00347608"/>
    <w:rsid w:val="0035035E"/>
    <w:rsid w:val="00350814"/>
    <w:rsid w:val="00352A40"/>
    <w:rsid w:val="00352B0E"/>
    <w:rsid w:val="00353E80"/>
    <w:rsid w:val="00354EDF"/>
    <w:rsid w:val="00355227"/>
    <w:rsid w:val="0035717A"/>
    <w:rsid w:val="00360C40"/>
    <w:rsid w:val="00360D3C"/>
    <w:rsid w:val="003626E8"/>
    <w:rsid w:val="0036294C"/>
    <w:rsid w:val="003631D1"/>
    <w:rsid w:val="003641B4"/>
    <w:rsid w:val="003648E6"/>
    <w:rsid w:val="00364FBF"/>
    <w:rsid w:val="00365590"/>
    <w:rsid w:val="003659DD"/>
    <w:rsid w:val="00366222"/>
    <w:rsid w:val="003667FD"/>
    <w:rsid w:val="0036700C"/>
    <w:rsid w:val="00367AED"/>
    <w:rsid w:val="00367F60"/>
    <w:rsid w:val="003700AE"/>
    <w:rsid w:val="00370F6F"/>
    <w:rsid w:val="0037229C"/>
    <w:rsid w:val="003723E7"/>
    <w:rsid w:val="00372926"/>
    <w:rsid w:val="003729EF"/>
    <w:rsid w:val="00373E53"/>
    <w:rsid w:val="00374044"/>
    <w:rsid w:val="0037407A"/>
    <w:rsid w:val="00375214"/>
    <w:rsid w:val="00375567"/>
    <w:rsid w:val="0037632E"/>
    <w:rsid w:val="0037692E"/>
    <w:rsid w:val="00377287"/>
    <w:rsid w:val="00377552"/>
    <w:rsid w:val="003776E3"/>
    <w:rsid w:val="0038025A"/>
    <w:rsid w:val="0038084A"/>
    <w:rsid w:val="00381EFB"/>
    <w:rsid w:val="0038283C"/>
    <w:rsid w:val="00382CDE"/>
    <w:rsid w:val="00383068"/>
    <w:rsid w:val="003848AE"/>
    <w:rsid w:val="00384AAC"/>
    <w:rsid w:val="003855CB"/>
    <w:rsid w:val="003869EE"/>
    <w:rsid w:val="003870C7"/>
    <w:rsid w:val="00391EF7"/>
    <w:rsid w:val="00392567"/>
    <w:rsid w:val="00393703"/>
    <w:rsid w:val="00393CCA"/>
    <w:rsid w:val="00393FA5"/>
    <w:rsid w:val="00395E43"/>
    <w:rsid w:val="00396B75"/>
    <w:rsid w:val="003A041A"/>
    <w:rsid w:val="003A059B"/>
    <w:rsid w:val="003A0D37"/>
    <w:rsid w:val="003A0DE9"/>
    <w:rsid w:val="003A0FC2"/>
    <w:rsid w:val="003A1ADE"/>
    <w:rsid w:val="003A1F16"/>
    <w:rsid w:val="003A207A"/>
    <w:rsid w:val="003A2473"/>
    <w:rsid w:val="003A25C1"/>
    <w:rsid w:val="003A3B07"/>
    <w:rsid w:val="003A3FA6"/>
    <w:rsid w:val="003A4126"/>
    <w:rsid w:val="003A44A8"/>
    <w:rsid w:val="003A4556"/>
    <w:rsid w:val="003A4B1C"/>
    <w:rsid w:val="003A4CCB"/>
    <w:rsid w:val="003A57FE"/>
    <w:rsid w:val="003A643D"/>
    <w:rsid w:val="003A6FC0"/>
    <w:rsid w:val="003A782D"/>
    <w:rsid w:val="003B016D"/>
    <w:rsid w:val="003B0C20"/>
    <w:rsid w:val="003B13FB"/>
    <w:rsid w:val="003B2A25"/>
    <w:rsid w:val="003B41B0"/>
    <w:rsid w:val="003B4776"/>
    <w:rsid w:val="003B4AF3"/>
    <w:rsid w:val="003B510E"/>
    <w:rsid w:val="003B572F"/>
    <w:rsid w:val="003B5ABE"/>
    <w:rsid w:val="003B69BB"/>
    <w:rsid w:val="003C0ADD"/>
    <w:rsid w:val="003C1209"/>
    <w:rsid w:val="003C1CA6"/>
    <w:rsid w:val="003C5058"/>
    <w:rsid w:val="003C5202"/>
    <w:rsid w:val="003C6A88"/>
    <w:rsid w:val="003C7233"/>
    <w:rsid w:val="003C7B92"/>
    <w:rsid w:val="003D0221"/>
    <w:rsid w:val="003D0683"/>
    <w:rsid w:val="003D0C7B"/>
    <w:rsid w:val="003D0F4F"/>
    <w:rsid w:val="003D11C8"/>
    <w:rsid w:val="003D12D8"/>
    <w:rsid w:val="003D17F3"/>
    <w:rsid w:val="003D1CB6"/>
    <w:rsid w:val="003D2687"/>
    <w:rsid w:val="003D2E55"/>
    <w:rsid w:val="003D3213"/>
    <w:rsid w:val="003D373D"/>
    <w:rsid w:val="003D6B16"/>
    <w:rsid w:val="003D7BED"/>
    <w:rsid w:val="003D7F41"/>
    <w:rsid w:val="003E120A"/>
    <w:rsid w:val="003E2E13"/>
    <w:rsid w:val="003E33D3"/>
    <w:rsid w:val="003E4C9C"/>
    <w:rsid w:val="003E6238"/>
    <w:rsid w:val="003E6EBE"/>
    <w:rsid w:val="003E78D1"/>
    <w:rsid w:val="003E7DA6"/>
    <w:rsid w:val="003E7E0B"/>
    <w:rsid w:val="003F0DF2"/>
    <w:rsid w:val="003F1EED"/>
    <w:rsid w:val="003F1F33"/>
    <w:rsid w:val="003F1FCE"/>
    <w:rsid w:val="003F3C37"/>
    <w:rsid w:val="003F43A4"/>
    <w:rsid w:val="003F490E"/>
    <w:rsid w:val="003F4EBB"/>
    <w:rsid w:val="003F53D4"/>
    <w:rsid w:val="003F5835"/>
    <w:rsid w:val="003F6986"/>
    <w:rsid w:val="003F6DBE"/>
    <w:rsid w:val="003F6E85"/>
    <w:rsid w:val="003F7786"/>
    <w:rsid w:val="00401801"/>
    <w:rsid w:val="00401E86"/>
    <w:rsid w:val="00402BD4"/>
    <w:rsid w:val="0040321C"/>
    <w:rsid w:val="004039AF"/>
    <w:rsid w:val="00403C7C"/>
    <w:rsid w:val="00404C29"/>
    <w:rsid w:val="0040548D"/>
    <w:rsid w:val="004060D1"/>
    <w:rsid w:val="004066F7"/>
    <w:rsid w:val="004070EF"/>
    <w:rsid w:val="004078AA"/>
    <w:rsid w:val="00410150"/>
    <w:rsid w:val="00410E7F"/>
    <w:rsid w:val="004114F0"/>
    <w:rsid w:val="004115AC"/>
    <w:rsid w:val="004126E7"/>
    <w:rsid w:val="00412A72"/>
    <w:rsid w:val="0041301E"/>
    <w:rsid w:val="0041315B"/>
    <w:rsid w:val="004131E1"/>
    <w:rsid w:val="0041325F"/>
    <w:rsid w:val="00413400"/>
    <w:rsid w:val="004150F9"/>
    <w:rsid w:val="00415DA8"/>
    <w:rsid w:val="0041633D"/>
    <w:rsid w:val="00416A16"/>
    <w:rsid w:val="0041787A"/>
    <w:rsid w:val="00417A5A"/>
    <w:rsid w:val="0042099F"/>
    <w:rsid w:val="00420A89"/>
    <w:rsid w:val="0042256B"/>
    <w:rsid w:val="00424C45"/>
    <w:rsid w:val="00424DA0"/>
    <w:rsid w:val="0042530F"/>
    <w:rsid w:val="0042629B"/>
    <w:rsid w:val="0042660C"/>
    <w:rsid w:val="004268B5"/>
    <w:rsid w:val="004270EA"/>
    <w:rsid w:val="00427686"/>
    <w:rsid w:val="00427FEB"/>
    <w:rsid w:val="004303F7"/>
    <w:rsid w:val="004304E5"/>
    <w:rsid w:val="0043050B"/>
    <w:rsid w:val="0043126E"/>
    <w:rsid w:val="00431F64"/>
    <w:rsid w:val="0043220B"/>
    <w:rsid w:val="00433374"/>
    <w:rsid w:val="0043388D"/>
    <w:rsid w:val="00433B93"/>
    <w:rsid w:val="00433D28"/>
    <w:rsid w:val="00434279"/>
    <w:rsid w:val="0043483F"/>
    <w:rsid w:val="00435451"/>
    <w:rsid w:val="00435649"/>
    <w:rsid w:val="00435B4E"/>
    <w:rsid w:val="00436D25"/>
    <w:rsid w:val="00437253"/>
    <w:rsid w:val="0043729F"/>
    <w:rsid w:val="0043782A"/>
    <w:rsid w:val="00440031"/>
    <w:rsid w:val="00441F35"/>
    <w:rsid w:val="004439AF"/>
    <w:rsid w:val="00444151"/>
    <w:rsid w:val="00444F9A"/>
    <w:rsid w:val="00446140"/>
    <w:rsid w:val="00446E9B"/>
    <w:rsid w:val="00447303"/>
    <w:rsid w:val="00447A49"/>
    <w:rsid w:val="00447B73"/>
    <w:rsid w:val="00447ED3"/>
    <w:rsid w:val="00452D57"/>
    <w:rsid w:val="004533B2"/>
    <w:rsid w:val="004538A4"/>
    <w:rsid w:val="00454FAE"/>
    <w:rsid w:val="004550FD"/>
    <w:rsid w:val="00456137"/>
    <w:rsid w:val="0045636E"/>
    <w:rsid w:val="00456669"/>
    <w:rsid w:val="0045688D"/>
    <w:rsid w:val="00457CA2"/>
    <w:rsid w:val="0046018E"/>
    <w:rsid w:val="0046089A"/>
    <w:rsid w:val="00460FE5"/>
    <w:rsid w:val="004618B2"/>
    <w:rsid w:val="004636A0"/>
    <w:rsid w:val="00463C1C"/>
    <w:rsid w:val="00465B63"/>
    <w:rsid w:val="00466666"/>
    <w:rsid w:val="004669D4"/>
    <w:rsid w:val="00466DC7"/>
    <w:rsid w:val="00467A15"/>
    <w:rsid w:val="00472F19"/>
    <w:rsid w:val="00473267"/>
    <w:rsid w:val="004745B4"/>
    <w:rsid w:val="00475CA1"/>
    <w:rsid w:val="004769DA"/>
    <w:rsid w:val="00476DCE"/>
    <w:rsid w:val="004771CC"/>
    <w:rsid w:val="00477B2E"/>
    <w:rsid w:val="00480062"/>
    <w:rsid w:val="0048162D"/>
    <w:rsid w:val="00481971"/>
    <w:rsid w:val="00482558"/>
    <w:rsid w:val="004828B3"/>
    <w:rsid w:val="00482B2B"/>
    <w:rsid w:val="00483E53"/>
    <w:rsid w:val="00484595"/>
    <w:rsid w:val="00484EEB"/>
    <w:rsid w:val="004851EC"/>
    <w:rsid w:val="00485698"/>
    <w:rsid w:val="004879FE"/>
    <w:rsid w:val="00487C00"/>
    <w:rsid w:val="00490277"/>
    <w:rsid w:val="004914F7"/>
    <w:rsid w:val="004919FA"/>
    <w:rsid w:val="00493505"/>
    <w:rsid w:val="0049418C"/>
    <w:rsid w:val="00494754"/>
    <w:rsid w:val="00494C21"/>
    <w:rsid w:val="00494E16"/>
    <w:rsid w:val="004950DC"/>
    <w:rsid w:val="00495E29"/>
    <w:rsid w:val="00496774"/>
    <w:rsid w:val="004970BE"/>
    <w:rsid w:val="00497E07"/>
    <w:rsid w:val="00497E0D"/>
    <w:rsid w:val="004A1328"/>
    <w:rsid w:val="004A2ACA"/>
    <w:rsid w:val="004A3016"/>
    <w:rsid w:val="004A30E1"/>
    <w:rsid w:val="004A3162"/>
    <w:rsid w:val="004A33B9"/>
    <w:rsid w:val="004A3EDD"/>
    <w:rsid w:val="004A5773"/>
    <w:rsid w:val="004A5DDC"/>
    <w:rsid w:val="004A7141"/>
    <w:rsid w:val="004A7177"/>
    <w:rsid w:val="004B0168"/>
    <w:rsid w:val="004B0CE4"/>
    <w:rsid w:val="004B268B"/>
    <w:rsid w:val="004B31E0"/>
    <w:rsid w:val="004B3C9E"/>
    <w:rsid w:val="004B4611"/>
    <w:rsid w:val="004B5717"/>
    <w:rsid w:val="004B5E1D"/>
    <w:rsid w:val="004B6739"/>
    <w:rsid w:val="004C11F4"/>
    <w:rsid w:val="004C1A36"/>
    <w:rsid w:val="004C29F5"/>
    <w:rsid w:val="004C3E7E"/>
    <w:rsid w:val="004C4581"/>
    <w:rsid w:val="004C5B0C"/>
    <w:rsid w:val="004C645C"/>
    <w:rsid w:val="004C73CE"/>
    <w:rsid w:val="004C7838"/>
    <w:rsid w:val="004D0B82"/>
    <w:rsid w:val="004D128D"/>
    <w:rsid w:val="004D192A"/>
    <w:rsid w:val="004D1BDC"/>
    <w:rsid w:val="004D1FE1"/>
    <w:rsid w:val="004D20CE"/>
    <w:rsid w:val="004D2ADD"/>
    <w:rsid w:val="004D3A20"/>
    <w:rsid w:val="004D4C97"/>
    <w:rsid w:val="004D50F8"/>
    <w:rsid w:val="004D5D63"/>
    <w:rsid w:val="004D62D5"/>
    <w:rsid w:val="004D6683"/>
    <w:rsid w:val="004D786B"/>
    <w:rsid w:val="004D7A2C"/>
    <w:rsid w:val="004D7AA1"/>
    <w:rsid w:val="004E0945"/>
    <w:rsid w:val="004E162E"/>
    <w:rsid w:val="004E25C8"/>
    <w:rsid w:val="004E26DD"/>
    <w:rsid w:val="004E2BC8"/>
    <w:rsid w:val="004E3463"/>
    <w:rsid w:val="004E4AEE"/>
    <w:rsid w:val="004E5252"/>
    <w:rsid w:val="004E67EC"/>
    <w:rsid w:val="004E7562"/>
    <w:rsid w:val="004E7786"/>
    <w:rsid w:val="004F066C"/>
    <w:rsid w:val="004F06F0"/>
    <w:rsid w:val="004F153B"/>
    <w:rsid w:val="004F1733"/>
    <w:rsid w:val="004F29F0"/>
    <w:rsid w:val="004F2E75"/>
    <w:rsid w:val="004F2FEC"/>
    <w:rsid w:val="004F3615"/>
    <w:rsid w:val="004F367C"/>
    <w:rsid w:val="004F4C4C"/>
    <w:rsid w:val="004F53EC"/>
    <w:rsid w:val="004F6114"/>
    <w:rsid w:val="004F6266"/>
    <w:rsid w:val="004F66AC"/>
    <w:rsid w:val="004F73F7"/>
    <w:rsid w:val="004F7D6D"/>
    <w:rsid w:val="005012DB"/>
    <w:rsid w:val="005016D8"/>
    <w:rsid w:val="00501875"/>
    <w:rsid w:val="00502A28"/>
    <w:rsid w:val="00503D27"/>
    <w:rsid w:val="00504621"/>
    <w:rsid w:val="00505DB1"/>
    <w:rsid w:val="005069E0"/>
    <w:rsid w:val="005074AC"/>
    <w:rsid w:val="0051033A"/>
    <w:rsid w:val="0051198E"/>
    <w:rsid w:val="00512FD5"/>
    <w:rsid w:val="005143E2"/>
    <w:rsid w:val="00514EE0"/>
    <w:rsid w:val="00516E99"/>
    <w:rsid w:val="00517313"/>
    <w:rsid w:val="0052067D"/>
    <w:rsid w:val="005209BA"/>
    <w:rsid w:val="00520EE3"/>
    <w:rsid w:val="0052214F"/>
    <w:rsid w:val="005223DD"/>
    <w:rsid w:val="005229BD"/>
    <w:rsid w:val="0052304E"/>
    <w:rsid w:val="00523FD4"/>
    <w:rsid w:val="00523FD9"/>
    <w:rsid w:val="005251FE"/>
    <w:rsid w:val="005254A4"/>
    <w:rsid w:val="00530588"/>
    <w:rsid w:val="00530CD2"/>
    <w:rsid w:val="0053194D"/>
    <w:rsid w:val="00532AC2"/>
    <w:rsid w:val="00536BDE"/>
    <w:rsid w:val="0053747D"/>
    <w:rsid w:val="00537D25"/>
    <w:rsid w:val="005408C3"/>
    <w:rsid w:val="0054239F"/>
    <w:rsid w:val="00542980"/>
    <w:rsid w:val="00543159"/>
    <w:rsid w:val="00543828"/>
    <w:rsid w:val="00543CB8"/>
    <w:rsid w:val="00543DAB"/>
    <w:rsid w:val="00543FAB"/>
    <w:rsid w:val="00545CA3"/>
    <w:rsid w:val="005461DB"/>
    <w:rsid w:val="00546512"/>
    <w:rsid w:val="00546596"/>
    <w:rsid w:val="00546A0B"/>
    <w:rsid w:val="00546FCD"/>
    <w:rsid w:val="00547309"/>
    <w:rsid w:val="00550688"/>
    <w:rsid w:val="005506A2"/>
    <w:rsid w:val="0055119B"/>
    <w:rsid w:val="00551445"/>
    <w:rsid w:val="005517A4"/>
    <w:rsid w:val="00552125"/>
    <w:rsid w:val="00553BB2"/>
    <w:rsid w:val="00553CAF"/>
    <w:rsid w:val="0055529E"/>
    <w:rsid w:val="0055555A"/>
    <w:rsid w:val="00555676"/>
    <w:rsid w:val="005556E9"/>
    <w:rsid w:val="0055593C"/>
    <w:rsid w:val="0055659E"/>
    <w:rsid w:val="0055757E"/>
    <w:rsid w:val="00557768"/>
    <w:rsid w:val="00557A9E"/>
    <w:rsid w:val="00557B1A"/>
    <w:rsid w:val="00560BD3"/>
    <w:rsid w:val="00562B38"/>
    <w:rsid w:val="00563EBB"/>
    <w:rsid w:val="00564F74"/>
    <w:rsid w:val="00566D73"/>
    <w:rsid w:val="00570034"/>
    <w:rsid w:val="0057098E"/>
    <w:rsid w:val="00571120"/>
    <w:rsid w:val="005716E1"/>
    <w:rsid w:val="005717BD"/>
    <w:rsid w:val="0057331A"/>
    <w:rsid w:val="005733E4"/>
    <w:rsid w:val="00573411"/>
    <w:rsid w:val="00576D88"/>
    <w:rsid w:val="00580D5D"/>
    <w:rsid w:val="0058109F"/>
    <w:rsid w:val="00581502"/>
    <w:rsid w:val="00583AC3"/>
    <w:rsid w:val="00583B0E"/>
    <w:rsid w:val="00587207"/>
    <w:rsid w:val="00590263"/>
    <w:rsid w:val="00590A83"/>
    <w:rsid w:val="00590EBC"/>
    <w:rsid w:val="00590F0A"/>
    <w:rsid w:val="005918F5"/>
    <w:rsid w:val="005928DC"/>
    <w:rsid w:val="00593F2F"/>
    <w:rsid w:val="00595C00"/>
    <w:rsid w:val="00595F69"/>
    <w:rsid w:val="00596835"/>
    <w:rsid w:val="0059716F"/>
    <w:rsid w:val="005A02CF"/>
    <w:rsid w:val="005A2364"/>
    <w:rsid w:val="005A4399"/>
    <w:rsid w:val="005A43A0"/>
    <w:rsid w:val="005A733E"/>
    <w:rsid w:val="005A7579"/>
    <w:rsid w:val="005B0ABF"/>
    <w:rsid w:val="005B195A"/>
    <w:rsid w:val="005B1C54"/>
    <w:rsid w:val="005B1E63"/>
    <w:rsid w:val="005B30CE"/>
    <w:rsid w:val="005B34C9"/>
    <w:rsid w:val="005B3701"/>
    <w:rsid w:val="005B3C73"/>
    <w:rsid w:val="005B457A"/>
    <w:rsid w:val="005B4798"/>
    <w:rsid w:val="005B5871"/>
    <w:rsid w:val="005B5CAE"/>
    <w:rsid w:val="005B729F"/>
    <w:rsid w:val="005C13EB"/>
    <w:rsid w:val="005C151B"/>
    <w:rsid w:val="005C2342"/>
    <w:rsid w:val="005C2DA0"/>
    <w:rsid w:val="005C395A"/>
    <w:rsid w:val="005C3F83"/>
    <w:rsid w:val="005C4441"/>
    <w:rsid w:val="005C4690"/>
    <w:rsid w:val="005C514C"/>
    <w:rsid w:val="005C54E9"/>
    <w:rsid w:val="005C5B6B"/>
    <w:rsid w:val="005C5CA5"/>
    <w:rsid w:val="005C61D9"/>
    <w:rsid w:val="005C73B0"/>
    <w:rsid w:val="005C7730"/>
    <w:rsid w:val="005D1980"/>
    <w:rsid w:val="005D3A79"/>
    <w:rsid w:val="005D4E96"/>
    <w:rsid w:val="005D5511"/>
    <w:rsid w:val="005D6018"/>
    <w:rsid w:val="005D70E6"/>
    <w:rsid w:val="005D7E1D"/>
    <w:rsid w:val="005E0969"/>
    <w:rsid w:val="005E0D5C"/>
    <w:rsid w:val="005E236F"/>
    <w:rsid w:val="005E266F"/>
    <w:rsid w:val="005E380B"/>
    <w:rsid w:val="005E4BDC"/>
    <w:rsid w:val="005E5FAB"/>
    <w:rsid w:val="005E72B7"/>
    <w:rsid w:val="005E7EE7"/>
    <w:rsid w:val="005F3355"/>
    <w:rsid w:val="005F573C"/>
    <w:rsid w:val="005F5EFD"/>
    <w:rsid w:val="005F6960"/>
    <w:rsid w:val="00600328"/>
    <w:rsid w:val="006012C4"/>
    <w:rsid w:val="00601DCB"/>
    <w:rsid w:val="006030C4"/>
    <w:rsid w:val="0060606B"/>
    <w:rsid w:val="006061E1"/>
    <w:rsid w:val="00606396"/>
    <w:rsid w:val="00606488"/>
    <w:rsid w:val="00606BBE"/>
    <w:rsid w:val="00607700"/>
    <w:rsid w:val="00610F30"/>
    <w:rsid w:val="006116F3"/>
    <w:rsid w:val="006127D9"/>
    <w:rsid w:val="00613C47"/>
    <w:rsid w:val="00613E74"/>
    <w:rsid w:val="00614061"/>
    <w:rsid w:val="00614487"/>
    <w:rsid w:val="0061489B"/>
    <w:rsid w:val="00614D30"/>
    <w:rsid w:val="00614DA5"/>
    <w:rsid w:val="00615CE9"/>
    <w:rsid w:val="00616B22"/>
    <w:rsid w:val="00617472"/>
    <w:rsid w:val="006176B3"/>
    <w:rsid w:val="006212C9"/>
    <w:rsid w:val="0062173A"/>
    <w:rsid w:val="00621BE7"/>
    <w:rsid w:val="00622157"/>
    <w:rsid w:val="006231A9"/>
    <w:rsid w:val="006233F0"/>
    <w:rsid w:val="006255C9"/>
    <w:rsid w:val="006260E3"/>
    <w:rsid w:val="00626700"/>
    <w:rsid w:val="00626D11"/>
    <w:rsid w:val="006271CB"/>
    <w:rsid w:val="00630101"/>
    <w:rsid w:val="006305B8"/>
    <w:rsid w:val="00631B62"/>
    <w:rsid w:val="00632441"/>
    <w:rsid w:val="00635864"/>
    <w:rsid w:val="00635A92"/>
    <w:rsid w:val="006360A3"/>
    <w:rsid w:val="00636371"/>
    <w:rsid w:val="00636965"/>
    <w:rsid w:val="00641F5A"/>
    <w:rsid w:val="00642217"/>
    <w:rsid w:val="00643F38"/>
    <w:rsid w:val="00644621"/>
    <w:rsid w:val="00644653"/>
    <w:rsid w:val="0064474C"/>
    <w:rsid w:val="006450C9"/>
    <w:rsid w:val="00645852"/>
    <w:rsid w:val="006474FA"/>
    <w:rsid w:val="00647786"/>
    <w:rsid w:val="00647BC3"/>
    <w:rsid w:val="00647C0B"/>
    <w:rsid w:val="006517CB"/>
    <w:rsid w:val="00651B53"/>
    <w:rsid w:val="00652613"/>
    <w:rsid w:val="00652B26"/>
    <w:rsid w:val="00652EEF"/>
    <w:rsid w:val="00654445"/>
    <w:rsid w:val="0065453C"/>
    <w:rsid w:val="006546A3"/>
    <w:rsid w:val="00654783"/>
    <w:rsid w:val="00654B7D"/>
    <w:rsid w:val="006556F9"/>
    <w:rsid w:val="00655CD9"/>
    <w:rsid w:val="00656F90"/>
    <w:rsid w:val="00657935"/>
    <w:rsid w:val="00660267"/>
    <w:rsid w:val="00660E7C"/>
    <w:rsid w:val="00662179"/>
    <w:rsid w:val="006624B9"/>
    <w:rsid w:val="006633D4"/>
    <w:rsid w:val="00663697"/>
    <w:rsid w:val="006641BE"/>
    <w:rsid w:val="00664581"/>
    <w:rsid w:val="00664C29"/>
    <w:rsid w:val="00665233"/>
    <w:rsid w:val="00665FE4"/>
    <w:rsid w:val="00666072"/>
    <w:rsid w:val="00666D30"/>
    <w:rsid w:val="006704D8"/>
    <w:rsid w:val="00670CC0"/>
    <w:rsid w:val="00671274"/>
    <w:rsid w:val="00671F7C"/>
    <w:rsid w:val="0067219A"/>
    <w:rsid w:val="00672566"/>
    <w:rsid w:val="00672689"/>
    <w:rsid w:val="00672F8A"/>
    <w:rsid w:val="006737B7"/>
    <w:rsid w:val="00673A28"/>
    <w:rsid w:val="00673BE4"/>
    <w:rsid w:val="00675220"/>
    <w:rsid w:val="00676311"/>
    <w:rsid w:val="0067632F"/>
    <w:rsid w:val="006768B7"/>
    <w:rsid w:val="00676D14"/>
    <w:rsid w:val="00677A79"/>
    <w:rsid w:val="006803F0"/>
    <w:rsid w:val="00681F69"/>
    <w:rsid w:val="0068213F"/>
    <w:rsid w:val="006827AB"/>
    <w:rsid w:val="00683908"/>
    <w:rsid w:val="00685724"/>
    <w:rsid w:val="00687207"/>
    <w:rsid w:val="006873A4"/>
    <w:rsid w:val="006873C7"/>
    <w:rsid w:val="0068745E"/>
    <w:rsid w:val="006874D4"/>
    <w:rsid w:val="0068776D"/>
    <w:rsid w:val="00687899"/>
    <w:rsid w:val="00690176"/>
    <w:rsid w:val="00692715"/>
    <w:rsid w:val="0069382E"/>
    <w:rsid w:val="00694C51"/>
    <w:rsid w:val="0069645B"/>
    <w:rsid w:val="00696843"/>
    <w:rsid w:val="00697377"/>
    <w:rsid w:val="006975EE"/>
    <w:rsid w:val="00697629"/>
    <w:rsid w:val="00697A1E"/>
    <w:rsid w:val="00697B6B"/>
    <w:rsid w:val="006A0D3C"/>
    <w:rsid w:val="006A1424"/>
    <w:rsid w:val="006A14AB"/>
    <w:rsid w:val="006A19E5"/>
    <w:rsid w:val="006A20D7"/>
    <w:rsid w:val="006A3C46"/>
    <w:rsid w:val="006A48CA"/>
    <w:rsid w:val="006A4C34"/>
    <w:rsid w:val="006A6122"/>
    <w:rsid w:val="006A6AD0"/>
    <w:rsid w:val="006A7447"/>
    <w:rsid w:val="006A7E01"/>
    <w:rsid w:val="006B0257"/>
    <w:rsid w:val="006B0A2E"/>
    <w:rsid w:val="006B0DF5"/>
    <w:rsid w:val="006B1044"/>
    <w:rsid w:val="006B1E75"/>
    <w:rsid w:val="006B2276"/>
    <w:rsid w:val="006B2F22"/>
    <w:rsid w:val="006B2F88"/>
    <w:rsid w:val="006B461B"/>
    <w:rsid w:val="006B4B1F"/>
    <w:rsid w:val="006B6E42"/>
    <w:rsid w:val="006B74BF"/>
    <w:rsid w:val="006B7E0D"/>
    <w:rsid w:val="006C0CE3"/>
    <w:rsid w:val="006C18F6"/>
    <w:rsid w:val="006C1D65"/>
    <w:rsid w:val="006C1E23"/>
    <w:rsid w:val="006C1EB9"/>
    <w:rsid w:val="006C2155"/>
    <w:rsid w:val="006C24B4"/>
    <w:rsid w:val="006C29EB"/>
    <w:rsid w:val="006C2D32"/>
    <w:rsid w:val="006C47B2"/>
    <w:rsid w:val="006C5E7A"/>
    <w:rsid w:val="006C69C4"/>
    <w:rsid w:val="006C724A"/>
    <w:rsid w:val="006C7603"/>
    <w:rsid w:val="006C7EF2"/>
    <w:rsid w:val="006C7EFD"/>
    <w:rsid w:val="006D0D2A"/>
    <w:rsid w:val="006D108B"/>
    <w:rsid w:val="006D1D8C"/>
    <w:rsid w:val="006D1DCA"/>
    <w:rsid w:val="006D276F"/>
    <w:rsid w:val="006D2A58"/>
    <w:rsid w:val="006D2EFE"/>
    <w:rsid w:val="006D39D3"/>
    <w:rsid w:val="006D3D44"/>
    <w:rsid w:val="006D5732"/>
    <w:rsid w:val="006D62A1"/>
    <w:rsid w:val="006D73E3"/>
    <w:rsid w:val="006D792B"/>
    <w:rsid w:val="006D7C63"/>
    <w:rsid w:val="006E0E00"/>
    <w:rsid w:val="006E1BE4"/>
    <w:rsid w:val="006E294F"/>
    <w:rsid w:val="006E32AA"/>
    <w:rsid w:val="006E39FE"/>
    <w:rsid w:val="006E443C"/>
    <w:rsid w:val="006E48B5"/>
    <w:rsid w:val="006E4BB0"/>
    <w:rsid w:val="006E5120"/>
    <w:rsid w:val="006E6972"/>
    <w:rsid w:val="006E6E51"/>
    <w:rsid w:val="006E6F2E"/>
    <w:rsid w:val="006F0431"/>
    <w:rsid w:val="006F06CF"/>
    <w:rsid w:val="006F0F6A"/>
    <w:rsid w:val="006F3792"/>
    <w:rsid w:val="006F3887"/>
    <w:rsid w:val="006F3A0C"/>
    <w:rsid w:val="006F3FAF"/>
    <w:rsid w:val="006F4821"/>
    <w:rsid w:val="006F4ACC"/>
    <w:rsid w:val="006F60C3"/>
    <w:rsid w:val="007003C4"/>
    <w:rsid w:val="00700DFA"/>
    <w:rsid w:val="00700E3A"/>
    <w:rsid w:val="007013D6"/>
    <w:rsid w:val="00701525"/>
    <w:rsid w:val="00702533"/>
    <w:rsid w:val="00703269"/>
    <w:rsid w:val="00705154"/>
    <w:rsid w:val="00705C68"/>
    <w:rsid w:val="00705EC0"/>
    <w:rsid w:val="00706AE7"/>
    <w:rsid w:val="00706B13"/>
    <w:rsid w:val="00711BBD"/>
    <w:rsid w:val="00712246"/>
    <w:rsid w:val="0071231A"/>
    <w:rsid w:val="00712960"/>
    <w:rsid w:val="007140AD"/>
    <w:rsid w:val="007140D0"/>
    <w:rsid w:val="00714CEB"/>
    <w:rsid w:val="00715DE0"/>
    <w:rsid w:val="00716DE8"/>
    <w:rsid w:val="00720C17"/>
    <w:rsid w:val="00720FD6"/>
    <w:rsid w:val="0072100E"/>
    <w:rsid w:val="00722133"/>
    <w:rsid w:val="00722454"/>
    <w:rsid w:val="00723B57"/>
    <w:rsid w:val="00724533"/>
    <w:rsid w:val="00724545"/>
    <w:rsid w:val="00724BD0"/>
    <w:rsid w:val="007250B3"/>
    <w:rsid w:val="007257E6"/>
    <w:rsid w:val="00726E2E"/>
    <w:rsid w:val="00727332"/>
    <w:rsid w:val="007279B4"/>
    <w:rsid w:val="00727AE8"/>
    <w:rsid w:val="00727DEF"/>
    <w:rsid w:val="00727F20"/>
    <w:rsid w:val="007302B9"/>
    <w:rsid w:val="00730AD0"/>
    <w:rsid w:val="007312AD"/>
    <w:rsid w:val="007313FA"/>
    <w:rsid w:val="007335B7"/>
    <w:rsid w:val="0073394B"/>
    <w:rsid w:val="00734A2B"/>
    <w:rsid w:val="00735247"/>
    <w:rsid w:val="00735A8E"/>
    <w:rsid w:val="007365C1"/>
    <w:rsid w:val="00737BAF"/>
    <w:rsid w:val="007403F0"/>
    <w:rsid w:val="007411D9"/>
    <w:rsid w:val="007416B6"/>
    <w:rsid w:val="00742CBF"/>
    <w:rsid w:val="00743DAC"/>
    <w:rsid w:val="00745E81"/>
    <w:rsid w:val="00746A63"/>
    <w:rsid w:val="00747396"/>
    <w:rsid w:val="00747AA9"/>
    <w:rsid w:val="00750327"/>
    <w:rsid w:val="00750E22"/>
    <w:rsid w:val="007515AA"/>
    <w:rsid w:val="0075191A"/>
    <w:rsid w:val="00752BF4"/>
    <w:rsid w:val="0075346B"/>
    <w:rsid w:val="00753AE5"/>
    <w:rsid w:val="00753B7D"/>
    <w:rsid w:val="00754AA5"/>
    <w:rsid w:val="00754BD2"/>
    <w:rsid w:val="00755260"/>
    <w:rsid w:val="00756F15"/>
    <w:rsid w:val="00757068"/>
    <w:rsid w:val="00757EB6"/>
    <w:rsid w:val="007603FC"/>
    <w:rsid w:val="00760B96"/>
    <w:rsid w:val="00760C9A"/>
    <w:rsid w:val="007612B7"/>
    <w:rsid w:val="00761B7B"/>
    <w:rsid w:val="00764B40"/>
    <w:rsid w:val="00764FAE"/>
    <w:rsid w:val="00765102"/>
    <w:rsid w:val="0076520F"/>
    <w:rsid w:val="00765AFF"/>
    <w:rsid w:val="00766B63"/>
    <w:rsid w:val="007730DA"/>
    <w:rsid w:val="00773ADC"/>
    <w:rsid w:val="00774FFF"/>
    <w:rsid w:val="007759AC"/>
    <w:rsid w:val="00775C5E"/>
    <w:rsid w:val="00775C88"/>
    <w:rsid w:val="00780947"/>
    <w:rsid w:val="00780A6B"/>
    <w:rsid w:val="0078106F"/>
    <w:rsid w:val="007814EF"/>
    <w:rsid w:val="00781C63"/>
    <w:rsid w:val="00782239"/>
    <w:rsid w:val="00782366"/>
    <w:rsid w:val="00782674"/>
    <w:rsid w:val="0078623B"/>
    <w:rsid w:val="00787098"/>
    <w:rsid w:val="007870BE"/>
    <w:rsid w:val="00791391"/>
    <w:rsid w:val="007921B0"/>
    <w:rsid w:val="00793910"/>
    <w:rsid w:val="007939A4"/>
    <w:rsid w:val="00794168"/>
    <w:rsid w:val="00794486"/>
    <w:rsid w:val="0079448D"/>
    <w:rsid w:val="007946DA"/>
    <w:rsid w:val="007948C3"/>
    <w:rsid w:val="007949E3"/>
    <w:rsid w:val="00795AA3"/>
    <w:rsid w:val="0079660B"/>
    <w:rsid w:val="0079714F"/>
    <w:rsid w:val="0079716A"/>
    <w:rsid w:val="0079775F"/>
    <w:rsid w:val="007A03E5"/>
    <w:rsid w:val="007A2666"/>
    <w:rsid w:val="007A283C"/>
    <w:rsid w:val="007A3220"/>
    <w:rsid w:val="007A37D9"/>
    <w:rsid w:val="007A3C0E"/>
    <w:rsid w:val="007A5B42"/>
    <w:rsid w:val="007A5EC5"/>
    <w:rsid w:val="007A632E"/>
    <w:rsid w:val="007A6CCD"/>
    <w:rsid w:val="007A78AA"/>
    <w:rsid w:val="007B0EBF"/>
    <w:rsid w:val="007B17B7"/>
    <w:rsid w:val="007B1805"/>
    <w:rsid w:val="007B2E2C"/>
    <w:rsid w:val="007B2EC8"/>
    <w:rsid w:val="007B3841"/>
    <w:rsid w:val="007B3A00"/>
    <w:rsid w:val="007B3C88"/>
    <w:rsid w:val="007B5BBE"/>
    <w:rsid w:val="007B66C0"/>
    <w:rsid w:val="007B67D3"/>
    <w:rsid w:val="007B67F5"/>
    <w:rsid w:val="007B74C7"/>
    <w:rsid w:val="007B74CF"/>
    <w:rsid w:val="007B7B35"/>
    <w:rsid w:val="007B7E03"/>
    <w:rsid w:val="007C0049"/>
    <w:rsid w:val="007C28C4"/>
    <w:rsid w:val="007C2EB4"/>
    <w:rsid w:val="007C2FCD"/>
    <w:rsid w:val="007C389C"/>
    <w:rsid w:val="007C43E6"/>
    <w:rsid w:val="007C6C2B"/>
    <w:rsid w:val="007C6F87"/>
    <w:rsid w:val="007C7D4A"/>
    <w:rsid w:val="007D0057"/>
    <w:rsid w:val="007D0FB3"/>
    <w:rsid w:val="007D10D1"/>
    <w:rsid w:val="007D11E3"/>
    <w:rsid w:val="007D1619"/>
    <w:rsid w:val="007D2495"/>
    <w:rsid w:val="007D27D2"/>
    <w:rsid w:val="007D3AD6"/>
    <w:rsid w:val="007D62A7"/>
    <w:rsid w:val="007D63B1"/>
    <w:rsid w:val="007D773A"/>
    <w:rsid w:val="007E0C2E"/>
    <w:rsid w:val="007E0F4D"/>
    <w:rsid w:val="007E1E49"/>
    <w:rsid w:val="007E2593"/>
    <w:rsid w:val="007E2CF2"/>
    <w:rsid w:val="007E33F0"/>
    <w:rsid w:val="007E3B58"/>
    <w:rsid w:val="007E3DB6"/>
    <w:rsid w:val="007E5AFB"/>
    <w:rsid w:val="007E6F44"/>
    <w:rsid w:val="007E7CB4"/>
    <w:rsid w:val="007E7EE6"/>
    <w:rsid w:val="007F0FF8"/>
    <w:rsid w:val="007F11CB"/>
    <w:rsid w:val="007F1224"/>
    <w:rsid w:val="007F1E09"/>
    <w:rsid w:val="007F24BE"/>
    <w:rsid w:val="007F24D7"/>
    <w:rsid w:val="007F2818"/>
    <w:rsid w:val="007F467D"/>
    <w:rsid w:val="007F4A71"/>
    <w:rsid w:val="007F4A7A"/>
    <w:rsid w:val="007F57AF"/>
    <w:rsid w:val="007F5AEA"/>
    <w:rsid w:val="007F6BAA"/>
    <w:rsid w:val="007F792F"/>
    <w:rsid w:val="00800E3B"/>
    <w:rsid w:val="00800EB1"/>
    <w:rsid w:val="008011BA"/>
    <w:rsid w:val="00801ECE"/>
    <w:rsid w:val="00802695"/>
    <w:rsid w:val="00803D59"/>
    <w:rsid w:val="008056C7"/>
    <w:rsid w:val="0080616B"/>
    <w:rsid w:val="0080628A"/>
    <w:rsid w:val="00807050"/>
    <w:rsid w:val="00810E0A"/>
    <w:rsid w:val="00812976"/>
    <w:rsid w:val="00812AA3"/>
    <w:rsid w:val="00812B53"/>
    <w:rsid w:val="00813E17"/>
    <w:rsid w:val="00814673"/>
    <w:rsid w:val="00815DFE"/>
    <w:rsid w:val="00820663"/>
    <w:rsid w:val="00821750"/>
    <w:rsid w:val="00821851"/>
    <w:rsid w:val="00823922"/>
    <w:rsid w:val="008244B9"/>
    <w:rsid w:val="00824585"/>
    <w:rsid w:val="00824C8B"/>
    <w:rsid w:val="00827888"/>
    <w:rsid w:val="008300B8"/>
    <w:rsid w:val="00830DD6"/>
    <w:rsid w:val="00832577"/>
    <w:rsid w:val="0083288D"/>
    <w:rsid w:val="0083337E"/>
    <w:rsid w:val="00833454"/>
    <w:rsid w:val="0083360A"/>
    <w:rsid w:val="00833CE0"/>
    <w:rsid w:val="00834469"/>
    <w:rsid w:val="008345F6"/>
    <w:rsid w:val="008370A4"/>
    <w:rsid w:val="00837150"/>
    <w:rsid w:val="00837C54"/>
    <w:rsid w:val="0084035E"/>
    <w:rsid w:val="00841175"/>
    <w:rsid w:val="00842EAF"/>
    <w:rsid w:val="0084580C"/>
    <w:rsid w:val="00845883"/>
    <w:rsid w:val="00846B0A"/>
    <w:rsid w:val="00847E11"/>
    <w:rsid w:val="0085253B"/>
    <w:rsid w:val="008527E1"/>
    <w:rsid w:val="008529D0"/>
    <w:rsid w:val="00852B70"/>
    <w:rsid w:val="008535EF"/>
    <w:rsid w:val="0085390A"/>
    <w:rsid w:val="00853985"/>
    <w:rsid w:val="00854EB7"/>
    <w:rsid w:val="008553F1"/>
    <w:rsid w:val="0085598A"/>
    <w:rsid w:val="00856278"/>
    <w:rsid w:val="00856D92"/>
    <w:rsid w:val="00857EA4"/>
    <w:rsid w:val="00860541"/>
    <w:rsid w:val="0086097B"/>
    <w:rsid w:val="008609C0"/>
    <w:rsid w:val="00861D26"/>
    <w:rsid w:val="008625BB"/>
    <w:rsid w:val="0086282C"/>
    <w:rsid w:val="008632AA"/>
    <w:rsid w:val="008637EE"/>
    <w:rsid w:val="00865883"/>
    <w:rsid w:val="0086592F"/>
    <w:rsid w:val="008661BA"/>
    <w:rsid w:val="008675F5"/>
    <w:rsid w:val="00871322"/>
    <w:rsid w:val="00871696"/>
    <w:rsid w:val="008716BA"/>
    <w:rsid w:val="00872BF5"/>
    <w:rsid w:val="00872F53"/>
    <w:rsid w:val="008730E5"/>
    <w:rsid w:val="00873606"/>
    <w:rsid w:val="008738C1"/>
    <w:rsid w:val="0087503E"/>
    <w:rsid w:val="00876CD7"/>
    <w:rsid w:val="00880695"/>
    <w:rsid w:val="00880788"/>
    <w:rsid w:val="00880819"/>
    <w:rsid w:val="00883AF8"/>
    <w:rsid w:val="00883E78"/>
    <w:rsid w:val="008844D1"/>
    <w:rsid w:val="008864FA"/>
    <w:rsid w:val="0088733D"/>
    <w:rsid w:val="00890DAC"/>
    <w:rsid w:val="00890EE5"/>
    <w:rsid w:val="008923BF"/>
    <w:rsid w:val="00892A90"/>
    <w:rsid w:val="00892D5D"/>
    <w:rsid w:val="00893723"/>
    <w:rsid w:val="00893C7B"/>
    <w:rsid w:val="008946DD"/>
    <w:rsid w:val="00894C0C"/>
    <w:rsid w:val="00896E5A"/>
    <w:rsid w:val="008A0D63"/>
    <w:rsid w:val="008A1104"/>
    <w:rsid w:val="008A158D"/>
    <w:rsid w:val="008A372A"/>
    <w:rsid w:val="008A37F9"/>
    <w:rsid w:val="008A4538"/>
    <w:rsid w:val="008A611E"/>
    <w:rsid w:val="008A6725"/>
    <w:rsid w:val="008A71F6"/>
    <w:rsid w:val="008B07ED"/>
    <w:rsid w:val="008B0B4E"/>
    <w:rsid w:val="008B0C2E"/>
    <w:rsid w:val="008B1B84"/>
    <w:rsid w:val="008B1C7F"/>
    <w:rsid w:val="008B3443"/>
    <w:rsid w:val="008B3739"/>
    <w:rsid w:val="008B52B9"/>
    <w:rsid w:val="008B6044"/>
    <w:rsid w:val="008C0DF8"/>
    <w:rsid w:val="008C0E37"/>
    <w:rsid w:val="008C1AE2"/>
    <w:rsid w:val="008C3A5C"/>
    <w:rsid w:val="008C3D13"/>
    <w:rsid w:val="008C4305"/>
    <w:rsid w:val="008C48C1"/>
    <w:rsid w:val="008C4BAF"/>
    <w:rsid w:val="008C4D57"/>
    <w:rsid w:val="008C55AE"/>
    <w:rsid w:val="008C6090"/>
    <w:rsid w:val="008C7996"/>
    <w:rsid w:val="008C7C58"/>
    <w:rsid w:val="008D0C21"/>
    <w:rsid w:val="008D15FF"/>
    <w:rsid w:val="008D26BE"/>
    <w:rsid w:val="008D26E9"/>
    <w:rsid w:val="008D3352"/>
    <w:rsid w:val="008D4124"/>
    <w:rsid w:val="008D5576"/>
    <w:rsid w:val="008D5AE4"/>
    <w:rsid w:val="008D6660"/>
    <w:rsid w:val="008D7687"/>
    <w:rsid w:val="008D7F12"/>
    <w:rsid w:val="008E2088"/>
    <w:rsid w:val="008E21E1"/>
    <w:rsid w:val="008E2F90"/>
    <w:rsid w:val="008E466C"/>
    <w:rsid w:val="008E4C3A"/>
    <w:rsid w:val="008E4DD6"/>
    <w:rsid w:val="008E5090"/>
    <w:rsid w:val="008E5BC2"/>
    <w:rsid w:val="008F0461"/>
    <w:rsid w:val="008F05B6"/>
    <w:rsid w:val="008F14F5"/>
    <w:rsid w:val="008F1CDC"/>
    <w:rsid w:val="008F28B9"/>
    <w:rsid w:val="008F3090"/>
    <w:rsid w:val="008F413C"/>
    <w:rsid w:val="008F517A"/>
    <w:rsid w:val="008F67E0"/>
    <w:rsid w:val="008F6FF5"/>
    <w:rsid w:val="008F75A2"/>
    <w:rsid w:val="008F77B5"/>
    <w:rsid w:val="008F7ED7"/>
    <w:rsid w:val="0090043B"/>
    <w:rsid w:val="009004B1"/>
    <w:rsid w:val="00902E1D"/>
    <w:rsid w:val="00903281"/>
    <w:rsid w:val="009036A4"/>
    <w:rsid w:val="009037C1"/>
    <w:rsid w:val="00905052"/>
    <w:rsid w:val="00905BE1"/>
    <w:rsid w:val="00906B6E"/>
    <w:rsid w:val="00910526"/>
    <w:rsid w:val="0091159A"/>
    <w:rsid w:val="009115FE"/>
    <w:rsid w:val="00911653"/>
    <w:rsid w:val="00911770"/>
    <w:rsid w:val="009122AF"/>
    <w:rsid w:val="00914580"/>
    <w:rsid w:val="00914ED4"/>
    <w:rsid w:val="00915308"/>
    <w:rsid w:val="00915F06"/>
    <w:rsid w:val="009161EF"/>
    <w:rsid w:val="00916F9A"/>
    <w:rsid w:val="009208C9"/>
    <w:rsid w:val="00920E20"/>
    <w:rsid w:val="00921A84"/>
    <w:rsid w:val="00921BC0"/>
    <w:rsid w:val="00922C97"/>
    <w:rsid w:val="00923846"/>
    <w:rsid w:val="009239E0"/>
    <w:rsid w:val="00924A94"/>
    <w:rsid w:val="00926570"/>
    <w:rsid w:val="00927473"/>
    <w:rsid w:val="0093165F"/>
    <w:rsid w:val="00931D71"/>
    <w:rsid w:val="009335E7"/>
    <w:rsid w:val="0093396C"/>
    <w:rsid w:val="0093438D"/>
    <w:rsid w:val="00935A0D"/>
    <w:rsid w:val="009362B4"/>
    <w:rsid w:val="0093639F"/>
    <w:rsid w:val="0094064B"/>
    <w:rsid w:val="00940A66"/>
    <w:rsid w:val="00940CBA"/>
    <w:rsid w:val="00940E7F"/>
    <w:rsid w:val="0094102B"/>
    <w:rsid w:val="00943094"/>
    <w:rsid w:val="00943AC8"/>
    <w:rsid w:val="009450DE"/>
    <w:rsid w:val="00945BD6"/>
    <w:rsid w:val="00945F7D"/>
    <w:rsid w:val="00946000"/>
    <w:rsid w:val="00946004"/>
    <w:rsid w:val="00946872"/>
    <w:rsid w:val="0094697F"/>
    <w:rsid w:val="00946A33"/>
    <w:rsid w:val="009478D7"/>
    <w:rsid w:val="00947DC8"/>
    <w:rsid w:val="00950315"/>
    <w:rsid w:val="00950BE9"/>
    <w:rsid w:val="00951523"/>
    <w:rsid w:val="00951A6A"/>
    <w:rsid w:val="00951E66"/>
    <w:rsid w:val="00953826"/>
    <w:rsid w:val="00954EB1"/>
    <w:rsid w:val="00956B84"/>
    <w:rsid w:val="0095762F"/>
    <w:rsid w:val="00957655"/>
    <w:rsid w:val="009604E7"/>
    <w:rsid w:val="009615BF"/>
    <w:rsid w:val="009629EF"/>
    <w:rsid w:val="00962DF7"/>
    <w:rsid w:val="00962FA5"/>
    <w:rsid w:val="00963144"/>
    <w:rsid w:val="00963E32"/>
    <w:rsid w:val="0096421B"/>
    <w:rsid w:val="0096534D"/>
    <w:rsid w:val="009667AA"/>
    <w:rsid w:val="00966E62"/>
    <w:rsid w:val="009673E6"/>
    <w:rsid w:val="00970684"/>
    <w:rsid w:val="009706AB"/>
    <w:rsid w:val="00971E0C"/>
    <w:rsid w:val="00971EE7"/>
    <w:rsid w:val="00971F6D"/>
    <w:rsid w:val="00972262"/>
    <w:rsid w:val="00972BB1"/>
    <w:rsid w:val="0097337D"/>
    <w:rsid w:val="00973F5B"/>
    <w:rsid w:val="00974BA3"/>
    <w:rsid w:val="00974FFF"/>
    <w:rsid w:val="009753B8"/>
    <w:rsid w:val="0097548C"/>
    <w:rsid w:val="009759A6"/>
    <w:rsid w:val="009765B8"/>
    <w:rsid w:val="00976BF7"/>
    <w:rsid w:val="00976E17"/>
    <w:rsid w:val="00977C9B"/>
    <w:rsid w:val="0098048D"/>
    <w:rsid w:val="0098058D"/>
    <w:rsid w:val="0098397C"/>
    <w:rsid w:val="00983B69"/>
    <w:rsid w:val="009842F8"/>
    <w:rsid w:val="00984F5E"/>
    <w:rsid w:val="00984F7D"/>
    <w:rsid w:val="009851AC"/>
    <w:rsid w:val="00985B3C"/>
    <w:rsid w:val="00986D77"/>
    <w:rsid w:val="00987149"/>
    <w:rsid w:val="00987DF0"/>
    <w:rsid w:val="00987DF7"/>
    <w:rsid w:val="0099017A"/>
    <w:rsid w:val="00990523"/>
    <w:rsid w:val="009908A5"/>
    <w:rsid w:val="009911F1"/>
    <w:rsid w:val="00991697"/>
    <w:rsid w:val="00991F9D"/>
    <w:rsid w:val="00992A4C"/>
    <w:rsid w:val="009932C6"/>
    <w:rsid w:val="00994F4D"/>
    <w:rsid w:val="009955C2"/>
    <w:rsid w:val="009958E4"/>
    <w:rsid w:val="00995C9E"/>
    <w:rsid w:val="0099653C"/>
    <w:rsid w:val="00996DB9"/>
    <w:rsid w:val="009A0AA2"/>
    <w:rsid w:val="009A12FB"/>
    <w:rsid w:val="009A13C4"/>
    <w:rsid w:val="009A1609"/>
    <w:rsid w:val="009A2B83"/>
    <w:rsid w:val="009A335F"/>
    <w:rsid w:val="009A3D2F"/>
    <w:rsid w:val="009A5143"/>
    <w:rsid w:val="009A59B5"/>
    <w:rsid w:val="009B0AA3"/>
    <w:rsid w:val="009B0D22"/>
    <w:rsid w:val="009B0D47"/>
    <w:rsid w:val="009B1E87"/>
    <w:rsid w:val="009B1EAD"/>
    <w:rsid w:val="009B3EF9"/>
    <w:rsid w:val="009B4279"/>
    <w:rsid w:val="009B5D43"/>
    <w:rsid w:val="009B684D"/>
    <w:rsid w:val="009B75AC"/>
    <w:rsid w:val="009B7C8D"/>
    <w:rsid w:val="009B7CC8"/>
    <w:rsid w:val="009C3375"/>
    <w:rsid w:val="009C3457"/>
    <w:rsid w:val="009C3B4E"/>
    <w:rsid w:val="009C3B5F"/>
    <w:rsid w:val="009C4898"/>
    <w:rsid w:val="009C5310"/>
    <w:rsid w:val="009C7E70"/>
    <w:rsid w:val="009C7F7D"/>
    <w:rsid w:val="009C7FD2"/>
    <w:rsid w:val="009D0177"/>
    <w:rsid w:val="009D1071"/>
    <w:rsid w:val="009D108C"/>
    <w:rsid w:val="009D1096"/>
    <w:rsid w:val="009D1FEC"/>
    <w:rsid w:val="009D20B3"/>
    <w:rsid w:val="009D27A1"/>
    <w:rsid w:val="009D3323"/>
    <w:rsid w:val="009D395D"/>
    <w:rsid w:val="009D4879"/>
    <w:rsid w:val="009D5DB5"/>
    <w:rsid w:val="009D63A5"/>
    <w:rsid w:val="009D67BA"/>
    <w:rsid w:val="009D6D24"/>
    <w:rsid w:val="009D7F38"/>
    <w:rsid w:val="009E01EB"/>
    <w:rsid w:val="009E0A2E"/>
    <w:rsid w:val="009E0B8A"/>
    <w:rsid w:val="009E1021"/>
    <w:rsid w:val="009E1479"/>
    <w:rsid w:val="009E14C3"/>
    <w:rsid w:val="009E3F34"/>
    <w:rsid w:val="009E622E"/>
    <w:rsid w:val="009E699A"/>
    <w:rsid w:val="009E7BDB"/>
    <w:rsid w:val="009F04E1"/>
    <w:rsid w:val="009F1573"/>
    <w:rsid w:val="009F1BB3"/>
    <w:rsid w:val="009F25A4"/>
    <w:rsid w:val="009F273A"/>
    <w:rsid w:val="009F3860"/>
    <w:rsid w:val="009F4227"/>
    <w:rsid w:val="009F43D0"/>
    <w:rsid w:val="009F49B9"/>
    <w:rsid w:val="009F4BAD"/>
    <w:rsid w:val="009F656D"/>
    <w:rsid w:val="009F660C"/>
    <w:rsid w:val="00A00525"/>
    <w:rsid w:val="00A0055D"/>
    <w:rsid w:val="00A00628"/>
    <w:rsid w:val="00A00BCA"/>
    <w:rsid w:val="00A00ECB"/>
    <w:rsid w:val="00A028B8"/>
    <w:rsid w:val="00A038DE"/>
    <w:rsid w:val="00A04992"/>
    <w:rsid w:val="00A04F07"/>
    <w:rsid w:val="00A050A1"/>
    <w:rsid w:val="00A058DF"/>
    <w:rsid w:val="00A06BAE"/>
    <w:rsid w:val="00A10F6C"/>
    <w:rsid w:val="00A1112E"/>
    <w:rsid w:val="00A11310"/>
    <w:rsid w:val="00A14A76"/>
    <w:rsid w:val="00A165EA"/>
    <w:rsid w:val="00A20C4A"/>
    <w:rsid w:val="00A20C68"/>
    <w:rsid w:val="00A22CF1"/>
    <w:rsid w:val="00A22D04"/>
    <w:rsid w:val="00A2420E"/>
    <w:rsid w:val="00A245A9"/>
    <w:rsid w:val="00A25EB6"/>
    <w:rsid w:val="00A26342"/>
    <w:rsid w:val="00A26585"/>
    <w:rsid w:val="00A3005B"/>
    <w:rsid w:val="00A3132F"/>
    <w:rsid w:val="00A31C74"/>
    <w:rsid w:val="00A32963"/>
    <w:rsid w:val="00A32F64"/>
    <w:rsid w:val="00A332F4"/>
    <w:rsid w:val="00A337EB"/>
    <w:rsid w:val="00A34B17"/>
    <w:rsid w:val="00A34B60"/>
    <w:rsid w:val="00A34C0F"/>
    <w:rsid w:val="00A355C7"/>
    <w:rsid w:val="00A35F17"/>
    <w:rsid w:val="00A3757B"/>
    <w:rsid w:val="00A377B0"/>
    <w:rsid w:val="00A4064A"/>
    <w:rsid w:val="00A40830"/>
    <w:rsid w:val="00A4165F"/>
    <w:rsid w:val="00A418F6"/>
    <w:rsid w:val="00A41A77"/>
    <w:rsid w:val="00A42464"/>
    <w:rsid w:val="00A4261A"/>
    <w:rsid w:val="00A42A52"/>
    <w:rsid w:val="00A43194"/>
    <w:rsid w:val="00A437B5"/>
    <w:rsid w:val="00A4401A"/>
    <w:rsid w:val="00A44358"/>
    <w:rsid w:val="00A450BF"/>
    <w:rsid w:val="00A455BF"/>
    <w:rsid w:val="00A45B86"/>
    <w:rsid w:val="00A50705"/>
    <w:rsid w:val="00A50D06"/>
    <w:rsid w:val="00A524F3"/>
    <w:rsid w:val="00A528D8"/>
    <w:rsid w:val="00A53D5B"/>
    <w:rsid w:val="00A53D79"/>
    <w:rsid w:val="00A55A90"/>
    <w:rsid w:val="00A55B75"/>
    <w:rsid w:val="00A56281"/>
    <w:rsid w:val="00A56D2C"/>
    <w:rsid w:val="00A603DC"/>
    <w:rsid w:val="00A61B5B"/>
    <w:rsid w:val="00A62B2B"/>
    <w:rsid w:val="00A63676"/>
    <w:rsid w:val="00A63769"/>
    <w:rsid w:val="00A639D0"/>
    <w:rsid w:val="00A65A8A"/>
    <w:rsid w:val="00A66721"/>
    <w:rsid w:val="00A713E3"/>
    <w:rsid w:val="00A71F0A"/>
    <w:rsid w:val="00A724BC"/>
    <w:rsid w:val="00A7291D"/>
    <w:rsid w:val="00A73598"/>
    <w:rsid w:val="00A735FB"/>
    <w:rsid w:val="00A73BF2"/>
    <w:rsid w:val="00A73D33"/>
    <w:rsid w:val="00A74772"/>
    <w:rsid w:val="00A751AB"/>
    <w:rsid w:val="00A752FE"/>
    <w:rsid w:val="00A755A1"/>
    <w:rsid w:val="00A75887"/>
    <w:rsid w:val="00A76265"/>
    <w:rsid w:val="00A764D1"/>
    <w:rsid w:val="00A76783"/>
    <w:rsid w:val="00A8003E"/>
    <w:rsid w:val="00A802E6"/>
    <w:rsid w:val="00A80739"/>
    <w:rsid w:val="00A80ABF"/>
    <w:rsid w:val="00A8150C"/>
    <w:rsid w:val="00A81EF8"/>
    <w:rsid w:val="00A81F79"/>
    <w:rsid w:val="00A8343B"/>
    <w:rsid w:val="00A837DD"/>
    <w:rsid w:val="00A83C46"/>
    <w:rsid w:val="00A83CC8"/>
    <w:rsid w:val="00A83F83"/>
    <w:rsid w:val="00A84B86"/>
    <w:rsid w:val="00A85FF7"/>
    <w:rsid w:val="00A86184"/>
    <w:rsid w:val="00A862D1"/>
    <w:rsid w:val="00A86764"/>
    <w:rsid w:val="00A86B8D"/>
    <w:rsid w:val="00A90216"/>
    <w:rsid w:val="00A9086C"/>
    <w:rsid w:val="00A90ACA"/>
    <w:rsid w:val="00A9219A"/>
    <w:rsid w:val="00A9231E"/>
    <w:rsid w:val="00A92673"/>
    <w:rsid w:val="00A92AE7"/>
    <w:rsid w:val="00A92C51"/>
    <w:rsid w:val="00A92E06"/>
    <w:rsid w:val="00A93BEE"/>
    <w:rsid w:val="00A95538"/>
    <w:rsid w:val="00A9559F"/>
    <w:rsid w:val="00A95938"/>
    <w:rsid w:val="00A96D08"/>
    <w:rsid w:val="00A96DE4"/>
    <w:rsid w:val="00A97FC0"/>
    <w:rsid w:val="00AA0530"/>
    <w:rsid w:val="00AA12F6"/>
    <w:rsid w:val="00AA1826"/>
    <w:rsid w:val="00AA2529"/>
    <w:rsid w:val="00AA27CD"/>
    <w:rsid w:val="00AA2A95"/>
    <w:rsid w:val="00AA312B"/>
    <w:rsid w:val="00AA3461"/>
    <w:rsid w:val="00AA35F1"/>
    <w:rsid w:val="00AA3F66"/>
    <w:rsid w:val="00AA4ACB"/>
    <w:rsid w:val="00AA4AD5"/>
    <w:rsid w:val="00AA4B39"/>
    <w:rsid w:val="00AB098E"/>
    <w:rsid w:val="00AB10B9"/>
    <w:rsid w:val="00AB1AA5"/>
    <w:rsid w:val="00AB1BB2"/>
    <w:rsid w:val="00AB1CA1"/>
    <w:rsid w:val="00AB1D7F"/>
    <w:rsid w:val="00AB1FC8"/>
    <w:rsid w:val="00AB227B"/>
    <w:rsid w:val="00AB3E52"/>
    <w:rsid w:val="00AB404B"/>
    <w:rsid w:val="00AB42B5"/>
    <w:rsid w:val="00AB45E6"/>
    <w:rsid w:val="00AB4E2A"/>
    <w:rsid w:val="00AB584B"/>
    <w:rsid w:val="00AB665C"/>
    <w:rsid w:val="00AB6C5C"/>
    <w:rsid w:val="00AB6DD2"/>
    <w:rsid w:val="00AB7144"/>
    <w:rsid w:val="00AB72EB"/>
    <w:rsid w:val="00AC04A5"/>
    <w:rsid w:val="00AC09CE"/>
    <w:rsid w:val="00AC3F64"/>
    <w:rsid w:val="00AC4EC5"/>
    <w:rsid w:val="00AD1F05"/>
    <w:rsid w:val="00AD2C7E"/>
    <w:rsid w:val="00AD323F"/>
    <w:rsid w:val="00AD3345"/>
    <w:rsid w:val="00AD3D4E"/>
    <w:rsid w:val="00AD4980"/>
    <w:rsid w:val="00AD4FE3"/>
    <w:rsid w:val="00AD57CF"/>
    <w:rsid w:val="00AD585E"/>
    <w:rsid w:val="00AD599B"/>
    <w:rsid w:val="00AD5A4F"/>
    <w:rsid w:val="00AD5ADD"/>
    <w:rsid w:val="00AD5D4F"/>
    <w:rsid w:val="00AD5F18"/>
    <w:rsid w:val="00AE0A8C"/>
    <w:rsid w:val="00AE1131"/>
    <w:rsid w:val="00AE11C0"/>
    <w:rsid w:val="00AE19B6"/>
    <w:rsid w:val="00AE2673"/>
    <w:rsid w:val="00AE28D1"/>
    <w:rsid w:val="00AE31E1"/>
    <w:rsid w:val="00AE3D1D"/>
    <w:rsid w:val="00AE3E49"/>
    <w:rsid w:val="00AE56C7"/>
    <w:rsid w:val="00AE615E"/>
    <w:rsid w:val="00AE6AD9"/>
    <w:rsid w:val="00AE71A9"/>
    <w:rsid w:val="00AE7237"/>
    <w:rsid w:val="00AE79C4"/>
    <w:rsid w:val="00AE7CCE"/>
    <w:rsid w:val="00AF0658"/>
    <w:rsid w:val="00AF0C0A"/>
    <w:rsid w:val="00AF1B55"/>
    <w:rsid w:val="00AF1EF2"/>
    <w:rsid w:val="00AF2A5A"/>
    <w:rsid w:val="00AF2D35"/>
    <w:rsid w:val="00AF37DB"/>
    <w:rsid w:val="00AF43BD"/>
    <w:rsid w:val="00AF448D"/>
    <w:rsid w:val="00AF4747"/>
    <w:rsid w:val="00AF5413"/>
    <w:rsid w:val="00AF5C3F"/>
    <w:rsid w:val="00AF606A"/>
    <w:rsid w:val="00AF7A42"/>
    <w:rsid w:val="00B006D8"/>
    <w:rsid w:val="00B00ABD"/>
    <w:rsid w:val="00B010C8"/>
    <w:rsid w:val="00B024DF"/>
    <w:rsid w:val="00B02CAE"/>
    <w:rsid w:val="00B02E95"/>
    <w:rsid w:val="00B02F24"/>
    <w:rsid w:val="00B03C9A"/>
    <w:rsid w:val="00B0440F"/>
    <w:rsid w:val="00B05879"/>
    <w:rsid w:val="00B05BF0"/>
    <w:rsid w:val="00B06310"/>
    <w:rsid w:val="00B066B6"/>
    <w:rsid w:val="00B0697F"/>
    <w:rsid w:val="00B101FB"/>
    <w:rsid w:val="00B110E7"/>
    <w:rsid w:val="00B117B7"/>
    <w:rsid w:val="00B11F67"/>
    <w:rsid w:val="00B12603"/>
    <w:rsid w:val="00B13699"/>
    <w:rsid w:val="00B147B2"/>
    <w:rsid w:val="00B1498B"/>
    <w:rsid w:val="00B212B4"/>
    <w:rsid w:val="00B212FC"/>
    <w:rsid w:val="00B21317"/>
    <w:rsid w:val="00B21D21"/>
    <w:rsid w:val="00B22964"/>
    <w:rsid w:val="00B229ED"/>
    <w:rsid w:val="00B23119"/>
    <w:rsid w:val="00B23CE5"/>
    <w:rsid w:val="00B23F32"/>
    <w:rsid w:val="00B254CD"/>
    <w:rsid w:val="00B25BAE"/>
    <w:rsid w:val="00B25DF4"/>
    <w:rsid w:val="00B25F34"/>
    <w:rsid w:val="00B26046"/>
    <w:rsid w:val="00B2653F"/>
    <w:rsid w:val="00B27FF1"/>
    <w:rsid w:val="00B30319"/>
    <w:rsid w:val="00B30FFE"/>
    <w:rsid w:val="00B31A2A"/>
    <w:rsid w:val="00B31BDF"/>
    <w:rsid w:val="00B32F8F"/>
    <w:rsid w:val="00B347C3"/>
    <w:rsid w:val="00B37B55"/>
    <w:rsid w:val="00B37E72"/>
    <w:rsid w:val="00B40CF2"/>
    <w:rsid w:val="00B413D0"/>
    <w:rsid w:val="00B41919"/>
    <w:rsid w:val="00B421C8"/>
    <w:rsid w:val="00B42DD9"/>
    <w:rsid w:val="00B43533"/>
    <w:rsid w:val="00B43679"/>
    <w:rsid w:val="00B44B36"/>
    <w:rsid w:val="00B45D36"/>
    <w:rsid w:val="00B4794E"/>
    <w:rsid w:val="00B5106B"/>
    <w:rsid w:val="00B52653"/>
    <w:rsid w:val="00B52819"/>
    <w:rsid w:val="00B5348E"/>
    <w:rsid w:val="00B53659"/>
    <w:rsid w:val="00B552A4"/>
    <w:rsid w:val="00B55B02"/>
    <w:rsid w:val="00B57183"/>
    <w:rsid w:val="00B57477"/>
    <w:rsid w:val="00B60224"/>
    <w:rsid w:val="00B604F8"/>
    <w:rsid w:val="00B608A6"/>
    <w:rsid w:val="00B6099C"/>
    <w:rsid w:val="00B60D9A"/>
    <w:rsid w:val="00B60DD0"/>
    <w:rsid w:val="00B61417"/>
    <w:rsid w:val="00B61608"/>
    <w:rsid w:val="00B61677"/>
    <w:rsid w:val="00B620AD"/>
    <w:rsid w:val="00B62B0C"/>
    <w:rsid w:val="00B634E5"/>
    <w:rsid w:val="00B6417F"/>
    <w:rsid w:val="00B64DC7"/>
    <w:rsid w:val="00B65423"/>
    <w:rsid w:val="00B658E2"/>
    <w:rsid w:val="00B664A7"/>
    <w:rsid w:val="00B667DA"/>
    <w:rsid w:val="00B668E6"/>
    <w:rsid w:val="00B676A8"/>
    <w:rsid w:val="00B7043B"/>
    <w:rsid w:val="00B726A4"/>
    <w:rsid w:val="00B7338C"/>
    <w:rsid w:val="00B7341D"/>
    <w:rsid w:val="00B745B6"/>
    <w:rsid w:val="00B74ECF"/>
    <w:rsid w:val="00B75802"/>
    <w:rsid w:val="00B75934"/>
    <w:rsid w:val="00B75A31"/>
    <w:rsid w:val="00B764BB"/>
    <w:rsid w:val="00B76A11"/>
    <w:rsid w:val="00B76B14"/>
    <w:rsid w:val="00B80289"/>
    <w:rsid w:val="00B803B4"/>
    <w:rsid w:val="00B80ED0"/>
    <w:rsid w:val="00B813EB"/>
    <w:rsid w:val="00B82932"/>
    <w:rsid w:val="00B82BAE"/>
    <w:rsid w:val="00B8455F"/>
    <w:rsid w:val="00B851EE"/>
    <w:rsid w:val="00B85FE4"/>
    <w:rsid w:val="00B8656E"/>
    <w:rsid w:val="00B86A94"/>
    <w:rsid w:val="00B87D7A"/>
    <w:rsid w:val="00B908A5"/>
    <w:rsid w:val="00B909F5"/>
    <w:rsid w:val="00B91873"/>
    <w:rsid w:val="00B92FB3"/>
    <w:rsid w:val="00B9414D"/>
    <w:rsid w:val="00B94AA1"/>
    <w:rsid w:val="00B94FCE"/>
    <w:rsid w:val="00B95457"/>
    <w:rsid w:val="00B95AD7"/>
    <w:rsid w:val="00B96115"/>
    <w:rsid w:val="00B96CE1"/>
    <w:rsid w:val="00B975B2"/>
    <w:rsid w:val="00B97AC5"/>
    <w:rsid w:val="00BA0B36"/>
    <w:rsid w:val="00BA219D"/>
    <w:rsid w:val="00BA2864"/>
    <w:rsid w:val="00BA2F57"/>
    <w:rsid w:val="00BA3F4C"/>
    <w:rsid w:val="00BA5A5B"/>
    <w:rsid w:val="00BA5ECE"/>
    <w:rsid w:val="00BA5F05"/>
    <w:rsid w:val="00BA6546"/>
    <w:rsid w:val="00BA6E1C"/>
    <w:rsid w:val="00BA6E22"/>
    <w:rsid w:val="00BA71BC"/>
    <w:rsid w:val="00BA7DA2"/>
    <w:rsid w:val="00BB11BD"/>
    <w:rsid w:val="00BB28F8"/>
    <w:rsid w:val="00BB2E96"/>
    <w:rsid w:val="00BB3866"/>
    <w:rsid w:val="00BB3C33"/>
    <w:rsid w:val="00BB53C7"/>
    <w:rsid w:val="00BB60A8"/>
    <w:rsid w:val="00BC0708"/>
    <w:rsid w:val="00BC2C54"/>
    <w:rsid w:val="00BC346C"/>
    <w:rsid w:val="00BC6D39"/>
    <w:rsid w:val="00BC7CE1"/>
    <w:rsid w:val="00BD05F9"/>
    <w:rsid w:val="00BD089B"/>
    <w:rsid w:val="00BD218C"/>
    <w:rsid w:val="00BD248E"/>
    <w:rsid w:val="00BD3236"/>
    <w:rsid w:val="00BD3AB5"/>
    <w:rsid w:val="00BD4A87"/>
    <w:rsid w:val="00BD7229"/>
    <w:rsid w:val="00BE06B0"/>
    <w:rsid w:val="00BE1653"/>
    <w:rsid w:val="00BE1C43"/>
    <w:rsid w:val="00BE2A68"/>
    <w:rsid w:val="00BE2B70"/>
    <w:rsid w:val="00BE311A"/>
    <w:rsid w:val="00BE3DE8"/>
    <w:rsid w:val="00BE4174"/>
    <w:rsid w:val="00BE45E3"/>
    <w:rsid w:val="00BE60AA"/>
    <w:rsid w:val="00BE62B2"/>
    <w:rsid w:val="00BE7610"/>
    <w:rsid w:val="00BE778B"/>
    <w:rsid w:val="00BE7ECB"/>
    <w:rsid w:val="00BF11A7"/>
    <w:rsid w:val="00BF13E2"/>
    <w:rsid w:val="00BF23D2"/>
    <w:rsid w:val="00BF29D6"/>
    <w:rsid w:val="00BF3102"/>
    <w:rsid w:val="00BF3938"/>
    <w:rsid w:val="00BF434D"/>
    <w:rsid w:val="00BF4752"/>
    <w:rsid w:val="00BF48FF"/>
    <w:rsid w:val="00BF4AF6"/>
    <w:rsid w:val="00BF695C"/>
    <w:rsid w:val="00BF77B3"/>
    <w:rsid w:val="00C0029E"/>
    <w:rsid w:val="00C011FF"/>
    <w:rsid w:val="00C01D80"/>
    <w:rsid w:val="00C030CB"/>
    <w:rsid w:val="00C05C3F"/>
    <w:rsid w:val="00C062BD"/>
    <w:rsid w:val="00C06F4B"/>
    <w:rsid w:val="00C07792"/>
    <w:rsid w:val="00C07E4B"/>
    <w:rsid w:val="00C10F3D"/>
    <w:rsid w:val="00C127E7"/>
    <w:rsid w:val="00C12AFD"/>
    <w:rsid w:val="00C12EAA"/>
    <w:rsid w:val="00C1501F"/>
    <w:rsid w:val="00C165F0"/>
    <w:rsid w:val="00C17664"/>
    <w:rsid w:val="00C21849"/>
    <w:rsid w:val="00C21F01"/>
    <w:rsid w:val="00C22675"/>
    <w:rsid w:val="00C22DE2"/>
    <w:rsid w:val="00C24F84"/>
    <w:rsid w:val="00C2504C"/>
    <w:rsid w:val="00C250E4"/>
    <w:rsid w:val="00C2575B"/>
    <w:rsid w:val="00C25C51"/>
    <w:rsid w:val="00C26699"/>
    <w:rsid w:val="00C279A8"/>
    <w:rsid w:val="00C317F2"/>
    <w:rsid w:val="00C33BDC"/>
    <w:rsid w:val="00C35A12"/>
    <w:rsid w:val="00C40295"/>
    <w:rsid w:val="00C40E1C"/>
    <w:rsid w:val="00C412DB"/>
    <w:rsid w:val="00C41FA0"/>
    <w:rsid w:val="00C428AC"/>
    <w:rsid w:val="00C44220"/>
    <w:rsid w:val="00C45298"/>
    <w:rsid w:val="00C453C8"/>
    <w:rsid w:val="00C454ED"/>
    <w:rsid w:val="00C4574A"/>
    <w:rsid w:val="00C45BE4"/>
    <w:rsid w:val="00C461E1"/>
    <w:rsid w:val="00C46725"/>
    <w:rsid w:val="00C46B03"/>
    <w:rsid w:val="00C47EB6"/>
    <w:rsid w:val="00C47F06"/>
    <w:rsid w:val="00C504EC"/>
    <w:rsid w:val="00C50B3E"/>
    <w:rsid w:val="00C51556"/>
    <w:rsid w:val="00C51B00"/>
    <w:rsid w:val="00C5211A"/>
    <w:rsid w:val="00C52404"/>
    <w:rsid w:val="00C53683"/>
    <w:rsid w:val="00C537AC"/>
    <w:rsid w:val="00C54E24"/>
    <w:rsid w:val="00C601CF"/>
    <w:rsid w:val="00C6024F"/>
    <w:rsid w:val="00C6122A"/>
    <w:rsid w:val="00C616F6"/>
    <w:rsid w:val="00C61932"/>
    <w:rsid w:val="00C63400"/>
    <w:rsid w:val="00C63525"/>
    <w:rsid w:val="00C64589"/>
    <w:rsid w:val="00C66057"/>
    <w:rsid w:val="00C668E5"/>
    <w:rsid w:val="00C66EBD"/>
    <w:rsid w:val="00C67B9C"/>
    <w:rsid w:val="00C705E8"/>
    <w:rsid w:val="00C70E3A"/>
    <w:rsid w:val="00C71794"/>
    <w:rsid w:val="00C719A3"/>
    <w:rsid w:val="00C71E6D"/>
    <w:rsid w:val="00C71E95"/>
    <w:rsid w:val="00C726EB"/>
    <w:rsid w:val="00C733F7"/>
    <w:rsid w:val="00C738B5"/>
    <w:rsid w:val="00C73A94"/>
    <w:rsid w:val="00C7432B"/>
    <w:rsid w:val="00C7449E"/>
    <w:rsid w:val="00C74A3C"/>
    <w:rsid w:val="00C74E08"/>
    <w:rsid w:val="00C755C3"/>
    <w:rsid w:val="00C76150"/>
    <w:rsid w:val="00C764BF"/>
    <w:rsid w:val="00C80B8E"/>
    <w:rsid w:val="00C812E9"/>
    <w:rsid w:val="00C81C05"/>
    <w:rsid w:val="00C82EC8"/>
    <w:rsid w:val="00C831B6"/>
    <w:rsid w:val="00C83BF0"/>
    <w:rsid w:val="00C85D14"/>
    <w:rsid w:val="00C8634B"/>
    <w:rsid w:val="00C86596"/>
    <w:rsid w:val="00C86C03"/>
    <w:rsid w:val="00C86F5F"/>
    <w:rsid w:val="00C87934"/>
    <w:rsid w:val="00C879FA"/>
    <w:rsid w:val="00C87CA3"/>
    <w:rsid w:val="00C90814"/>
    <w:rsid w:val="00C92A2C"/>
    <w:rsid w:val="00C93A63"/>
    <w:rsid w:val="00C93BC6"/>
    <w:rsid w:val="00C93BD7"/>
    <w:rsid w:val="00C94C1E"/>
    <w:rsid w:val="00C95A54"/>
    <w:rsid w:val="00C96C62"/>
    <w:rsid w:val="00C97647"/>
    <w:rsid w:val="00CA02D9"/>
    <w:rsid w:val="00CA144F"/>
    <w:rsid w:val="00CA17A5"/>
    <w:rsid w:val="00CA1A75"/>
    <w:rsid w:val="00CA1AE6"/>
    <w:rsid w:val="00CA3ABD"/>
    <w:rsid w:val="00CA4A1A"/>
    <w:rsid w:val="00CA4C32"/>
    <w:rsid w:val="00CA6D9F"/>
    <w:rsid w:val="00CA6E0F"/>
    <w:rsid w:val="00CA752D"/>
    <w:rsid w:val="00CA7D18"/>
    <w:rsid w:val="00CB05BD"/>
    <w:rsid w:val="00CB0AFD"/>
    <w:rsid w:val="00CB1DA5"/>
    <w:rsid w:val="00CB3A6E"/>
    <w:rsid w:val="00CB3E36"/>
    <w:rsid w:val="00CB4F93"/>
    <w:rsid w:val="00CB610B"/>
    <w:rsid w:val="00CC28C3"/>
    <w:rsid w:val="00CC3BF8"/>
    <w:rsid w:val="00CC3EA3"/>
    <w:rsid w:val="00CC4C3B"/>
    <w:rsid w:val="00CC612B"/>
    <w:rsid w:val="00CC686F"/>
    <w:rsid w:val="00CC68BB"/>
    <w:rsid w:val="00CC693D"/>
    <w:rsid w:val="00CC6E3F"/>
    <w:rsid w:val="00CD05F4"/>
    <w:rsid w:val="00CD1163"/>
    <w:rsid w:val="00CD1CCA"/>
    <w:rsid w:val="00CD3A8C"/>
    <w:rsid w:val="00CD3CBD"/>
    <w:rsid w:val="00CD4401"/>
    <w:rsid w:val="00CD612C"/>
    <w:rsid w:val="00CD7B1B"/>
    <w:rsid w:val="00CE005B"/>
    <w:rsid w:val="00CE030B"/>
    <w:rsid w:val="00CE1366"/>
    <w:rsid w:val="00CE1539"/>
    <w:rsid w:val="00CE223C"/>
    <w:rsid w:val="00CE3A63"/>
    <w:rsid w:val="00CE5C9F"/>
    <w:rsid w:val="00CE6B9D"/>
    <w:rsid w:val="00CE6BFB"/>
    <w:rsid w:val="00CE7124"/>
    <w:rsid w:val="00CE792B"/>
    <w:rsid w:val="00CF048D"/>
    <w:rsid w:val="00CF098D"/>
    <w:rsid w:val="00CF18EC"/>
    <w:rsid w:val="00CF1AB4"/>
    <w:rsid w:val="00CF1C14"/>
    <w:rsid w:val="00CF2C07"/>
    <w:rsid w:val="00CF4B7D"/>
    <w:rsid w:val="00CF57E0"/>
    <w:rsid w:val="00CF5A06"/>
    <w:rsid w:val="00CF5BD0"/>
    <w:rsid w:val="00CF6935"/>
    <w:rsid w:val="00CF697E"/>
    <w:rsid w:val="00CF6DD7"/>
    <w:rsid w:val="00CF7865"/>
    <w:rsid w:val="00D0048E"/>
    <w:rsid w:val="00D008E6"/>
    <w:rsid w:val="00D009BA"/>
    <w:rsid w:val="00D00E12"/>
    <w:rsid w:val="00D00F71"/>
    <w:rsid w:val="00D01A31"/>
    <w:rsid w:val="00D03A35"/>
    <w:rsid w:val="00D040B3"/>
    <w:rsid w:val="00D04A82"/>
    <w:rsid w:val="00D1037C"/>
    <w:rsid w:val="00D10973"/>
    <w:rsid w:val="00D10AB5"/>
    <w:rsid w:val="00D10C0E"/>
    <w:rsid w:val="00D11118"/>
    <w:rsid w:val="00D12DF2"/>
    <w:rsid w:val="00D13DF2"/>
    <w:rsid w:val="00D13E8F"/>
    <w:rsid w:val="00D14965"/>
    <w:rsid w:val="00D15282"/>
    <w:rsid w:val="00D15455"/>
    <w:rsid w:val="00D1568B"/>
    <w:rsid w:val="00D1612B"/>
    <w:rsid w:val="00D167DC"/>
    <w:rsid w:val="00D176C4"/>
    <w:rsid w:val="00D20CA6"/>
    <w:rsid w:val="00D2198C"/>
    <w:rsid w:val="00D22168"/>
    <w:rsid w:val="00D2341C"/>
    <w:rsid w:val="00D23B00"/>
    <w:rsid w:val="00D23BEB"/>
    <w:rsid w:val="00D23EF7"/>
    <w:rsid w:val="00D24435"/>
    <w:rsid w:val="00D25F3B"/>
    <w:rsid w:val="00D263F4"/>
    <w:rsid w:val="00D26E5E"/>
    <w:rsid w:val="00D26F5B"/>
    <w:rsid w:val="00D27627"/>
    <w:rsid w:val="00D27CBF"/>
    <w:rsid w:val="00D30247"/>
    <w:rsid w:val="00D3055B"/>
    <w:rsid w:val="00D30823"/>
    <w:rsid w:val="00D30916"/>
    <w:rsid w:val="00D30C99"/>
    <w:rsid w:val="00D31889"/>
    <w:rsid w:val="00D3191C"/>
    <w:rsid w:val="00D3202D"/>
    <w:rsid w:val="00D325AA"/>
    <w:rsid w:val="00D3335D"/>
    <w:rsid w:val="00D336E9"/>
    <w:rsid w:val="00D348A8"/>
    <w:rsid w:val="00D348EC"/>
    <w:rsid w:val="00D36EFA"/>
    <w:rsid w:val="00D3770D"/>
    <w:rsid w:val="00D379AD"/>
    <w:rsid w:val="00D37FEA"/>
    <w:rsid w:val="00D4080C"/>
    <w:rsid w:val="00D4159D"/>
    <w:rsid w:val="00D42EA7"/>
    <w:rsid w:val="00D43B8D"/>
    <w:rsid w:val="00D442AC"/>
    <w:rsid w:val="00D463B7"/>
    <w:rsid w:val="00D5060C"/>
    <w:rsid w:val="00D51B1D"/>
    <w:rsid w:val="00D51F56"/>
    <w:rsid w:val="00D55466"/>
    <w:rsid w:val="00D56C4B"/>
    <w:rsid w:val="00D56CE9"/>
    <w:rsid w:val="00D576D7"/>
    <w:rsid w:val="00D5797F"/>
    <w:rsid w:val="00D57A43"/>
    <w:rsid w:val="00D606EF"/>
    <w:rsid w:val="00D62A44"/>
    <w:rsid w:val="00D637DD"/>
    <w:rsid w:val="00D6525A"/>
    <w:rsid w:val="00D65938"/>
    <w:rsid w:val="00D65F47"/>
    <w:rsid w:val="00D664BE"/>
    <w:rsid w:val="00D66602"/>
    <w:rsid w:val="00D67124"/>
    <w:rsid w:val="00D67EF6"/>
    <w:rsid w:val="00D7000F"/>
    <w:rsid w:val="00D70A8B"/>
    <w:rsid w:val="00D726FE"/>
    <w:rsid w:val="00D72935"/>
    <w:rsid w:val="00D737B0"/>
    <w:rsid w:val="00D73906"/>
    <w:rsid w:val="00D7462B"/>
    <w:rsid w:val="00D74E63"/>
    <w:rsid w:val="00D75FEB"/>
    <w:rsid w:val="00D76239"/>
    <w:rsid w:val="00D76A9E"/>
    <w:rsid w:val="00D803C5"/>
    <w:rsid w:val="00D8092E"/>
    <w:rsid w:val="00D80969"/>
    <w:rsid w:val="00D80FC3"/>
    <w:rsid w:val="00D81E02"/>
    <w:rsid w:val="00D826E1"/>
    <w:rsid w:val="00D82952"/>
    <w:rsid w:val="00D82E71"/>
    <w:rsid w:val="00D83A48"/>
    <w:rsid w:val="00D840DC"/>
    <w:rsid w:val="00D84A44"/>
    <w:rsid w:val="00D855BB"/>
    <w:rsid w:val="00D85D04"/>
    <w:rsid w:val="00D868E0"/>
    <w:rsid w:val="00D87EAA"/>
    <w:rsid w:val="00D910E8"/>
    <w:rsid w:val="00D91647"/>
    <w:rsid w:val="00D923DD"/>
    <w:rsid w:val="00D92898"/>
    <w:rsid w:val="00D928E3"/>
    <w:rsid w:val="00D93217"/>
    <w:rsid w:val="00D9424E"/>
    <w:rsid w:val="00D9525F"/>
    <w:rsid w:val="00D95332"/>
    <w:rsid w:val="00D95A67"/>
    <w:rsid w:val="00D95C14"/>
    <w:rsid w:val="00D96875"/>
    <w:rsid w:val="00D97D6A"/>
    <w:rsid w:val="00DA10E4"/>
    <w:rsid w:val="00DA146C"/>
    <w:rsid w:val="00DA2ACA"/>
    <w:rsid w:val="00DA35C5"/>
    <w:rsid w:val="00DA5AA3"/>
    <w:rsid w:val="00DA6CD9"/>
    <w:rsid w:val="00DB12CC"/>
    <w:rsid w:val="00DB28F9"/>
    <w:rsid w:val="00DB36CE"/>
    <w:rsid w:val="00DB4054"/>
    <w:rsid w:val="00DB5A66"/>
    <w:rsid w:val="00DB6624"/>
    <w:rsid w:val="00DB6B58"/>
    <w:rsid w:val="00DB7721"/>
    <w:rsid w:val="00DB7760"/>
    <w:rsid w:val="00DB7E4A"/>
    <w:rsid w:val="00DC0117"/>
    <w:rsid w:val="00DC07E3"/>
    <w:rsid w:val="00DC140A"/>
    <w:rsid w:val="00DC15D1"/>
    <w:rsid w:val="00DC1634"/>
    <w:rsid w:val="00DC1B17"/>
    <w:rsid w:val="00DC1D10"/>
    <w:rsid w:val="00DC2DA9"/>
    <w:rsid w:val="00DC4B7E"/>
    <w:rsid w:val="00DC504E"/>
    <w:rsid w:val="00DC6232"/>
    <w:rsid w:val="00DC64D8"/>
    <w:rsid w:val="00DC712B"/>
    <w:rsid w:val="00DD0FDC"/>
    <w:rsid w:val="00DD200D"/>
    <w:rsid w:val="00DD2F0A"/>
    <w:rsid w:val="00DD49D7"/>
    <w:rsid w:val="00DD50C8"/>
    <w:rsid w:val="00DD58D7"/>
    <w:rsid w:val="00DD598B"/>
    <w:rsid w:val="00DD5990"/>
    <w:rsid w:val="00DD5B92"/>
    <w:rsid w:val="00DD5BD7"/>
    <w:rsid w:val="00DD61EF"/>
    <w:rsid w:val="00DD6672"/>
    <w:rsid w:val="00DD68BE"/>
    <w:rsid w:val="00DD707D"/>
    <w:rsid w:val="00DE0107"/>
    <w:rsid w:val="00DE0FB2"/>
    <w:rsid w:val="00DE14D5"/>
    <w:rsid w:val="00DE23AC"/>
    <w:rsid w:val="00DE247F"/>
    <w:rsid w:val="00DE2E39"/>
    <w:rsid w:val="00DE3477"/>
    <w:rsid w:val="00DE35C6"/>
    <w:rsid w:val="00DE3E16"/>
    <w:rsid w:val="00DE472D"/>
    <w:rsid w:val="00DE4AAD"/>
    <w:rsid w:val="00DE4F39"/>
    <w:rsid w:val="00DE52E7"/>
    <w:rsid w:val="00DE605B"/>
    <w:rsid w:val="00DE6290"/>
    <w:rsid w:val="00DE65C2"/>
    <w:rsid w:val="00DE6EE5"/>
    <w:rsid w:val="00DE6F1F"/>
    <w:rsid w:val="00DE7426"/>
    <w:rsid w:val="00DE7622"/>
    <w:rsid w:val="00DE7D3B"/>
    <w:rsid w:val="00DF1C9A"/>
    <w:rsid w:val="00DF2966"/>
    <w:rsid w:val="00DF41A4"/>
    <w:rsid w:val="00DF60F3"/>
    <w:rsid w:val="00DF687C"/>
    <w:rsid w:val="00DF6FCF"/>
    <w:rsid w:val="00DF7B29"/>
    <w:rsid w:val="00E0057D"/>
    <w:rsid w:val="00E00744"/>
    <w:rsid w:val="00E00B02"/>
    <w:rsid w:val="00E01CA2"/>
    <w:rsid w:val="00E02C3C"/>
    <w:rsid w:val="00E05518"/>
    <w:rsid w:val="00E05EF4"/>
    <w:rsid w:val="00E0658A"/>
    <w:rsid w:val="00E1073A"/>
    <w:rsid w:val="00E11097"/>
    <w:rsid w:val="00E1121C"/>
    <w:rsid w:val="00E116F4"/>
    <w:rsid w:val="00E12FFF"/>
    <w:rsid w:val="00E130BE"/>
    <w:rsid w:val="00E13375"/>
    <w:rsid w:val="00E1348C"/>
    <w:rsid w:val="00E13BD2"/>
    <w:rsid w:val="00E15729"/>
    <w:rsid w:val="00E16382"/>
    <w:rsid w:val="00E166B1"/>
    <w:rsid w:val="00E2074A"/>
    <w:rsid w:val="00E20C12"/>
    <w:rsid w:val="00E21FEB"/>
    <w:rsid w:val="00E22731"/>
    <w:rsid w:val="00E25AD9"/>
    <w:rsid w:val="00E25DB1"/>
    <w:rsid w:val="00E2634D"/>
    <w:rsid w:val="00E26DF0"/>
    <w:rsid w:val="00E27805"/>
    <w:rsid w:val="00E31655"/>
    <w:rsid w:val="00E32E7C"/>
    <w:rsid w:val="00E32E7E"/>
    <w:rsid w:val="00E338D5"/>
    <w:rsid w:val="00E33EE9"/>
    <w:rsid w:val="00E34C2A"/>
    <w:rsid w:val="00E3509D"/>
    <w:rsid w:val="00E35325"/>
    <w:rsid w:val="00E36E02"/>
    <w:rsid w:val="00E37529"/>
    <w:rsid w:val="00E37B81"/>
    <w:rsid w:val="00E40D77"/>
    <w:rsid w:val="00E40FB1"/>
    <w:rsid w:val="00E41018"/>
    <w:rsid w:val="00E4303C"/>
    <w:rsid w:val="00E43489"/>
    <w:rsid w:val="00E436D1"/>
    <w:rsid w:val="00E439F2"/>
    <w:rsid w:val="00E43E48"/>
    <w:rsid w:val="00E43FC3"/>
    <w:rsid w:val="00E47516"/>
    <w:rsid w:val="00E51261"/>
    <w:rsid w:val="00E5195A"/>
    <w:rsid w:val="00E51D01"/>
    <w:rsid w:val="00E51EB8"/>
    <w:rsid w:val="00E52869"/>
    <w:rsid w:val="00E52CCD"/>
    <w:rsid w:val="00E5369B"/>
    <w:rsid w:val="00E537CE"/>
    <w:rsid w:val="00E54490"/>
    <w:rsid w:val="00E547F1"/>
    <w:rsid w:val="00E548B0"/>
    <w:rsid w:val="00E55206"/>
    <w:rsid w:val="00E574F1"/>
    <w:rsid w:val="00E57C06"/>
    <w:rsid w:val="00E61950"/>
    <w:rsid w:val="00E61D14"/>
    <w:rsid w:val="00E645B2"/>
    <w:rsid w:val="00E6482D"/>
    <w:rsid w:val="00E64AAF"/>
    <w:rsid w:val="00E65FC5"/>
    <w:rsid w:val="00E664FD"/>
    <w:rsid w:val="00E674C4"/>
    <w:rsid w:val="00E67C45"/>
    <w:rsid w:val="00E67D09"/>
    <w:rsid w:val="00E70F42"/>
    <w:rsid w:val="00E71124"/>
    <w:rsid w:val="00E71429"/>
    <w:rsid w:val="00E72A60"/>
    <w:rsid w:val="00E72B2A"/>
    <w:rsid w:val="00E75603"/>
    <w:rsid w:val="00E756B5"/>
    <w:rsid w:val="00E7585B"/>
    <w:rsid w:val="00E765C2"/>
    <w:rsid w:val="00E8061A"/>
    <w:rsid w:val="00E815DE"/>
    <w:rsid w:val="00E86C9E"/>
    <w:rsid w:val="00E872ED"/>
    <w:rsid w:val="00E87580"/>
    <w:rsid w:val="00E91B93"/>
    <w:rsid w:val="00E92E4D"/>
    <w:rsid w:val="00E936F3"/>
    <w:rsid w:val="00E95188"/>
    <w:rsid w:val="00E95585"/>
    <w:rsid w:val="00E95708"/>
    <w:rsid w:val="00E95A58"/>
    <w:rsid w:val="00E95F3C"/>
    <w:rsid w:val="00E96BAF"/>
    <w:rsid w:val="00E96D2E"/>
    <w:rsid w:val="00E972CD"/>
    <w:rsid w:val="00EA0C8D"/>
    <w:rsid w:val="00EA0DC3"/>
    <w:rsid w:val="00EA194A"/>
    <w:rsid w:val="00EA1E46"/>
    <w:rsid w:val="00EA2800"/>
    <w:rsid w:val="00EA4137"/>
    <w:rsid w:val="00EA4A3E"/>
    <w:rsid w:val="00EA4B15"/>
    <w:rsid w:val="00EA64A3"/>
    <w:rsid w:val="00EA64E1"/>
    <w:rsid w:val="00EA6E88"/>
    <w:rsid w:val="00EA748E"/>
    <w:rsid w:val="00EA7D58"/>
    <w:rsid w:val="00EB2158"/>
    <w:rsid w:val="00EB3329"/>
    <w:rsid w:val="00EB4954"/>
    <w:rsid w:val="00EB4A17"/>
    <w:rsid w:val="00EB5177"/>
    <w:rsid w:val="00EB5574"/>
    <w:rsid w:val="00EB7C38"/>
    <w:rsid w:val="00EC00F4"/>
    <w:rsid w:val="00EC0343"/>
    <w:rsid w:val="00EC03C2"/>
    <w:rsid w:val="00EC0569"/>
    <w:rsid w:val="00EC2320"/>
    <w:rsid w:val="00EC2988"/>
    <w:rsid w:val="00EC29DE"/>
    <w:rsid w:val="00EC3345"/>
    <w:rsid w:val="00EC356E"/>
    <w:rsid w:val="00EC4062"/>
    <w:rsid w:val="00EC4DCE"/>
    <w:rsid w:val="00EC53D7"/>
    <w:rsid w:val="00EC5494"/>
    <w:rsid w:val="00ED0155"/>
    <w:rsid w:val="00ED075C"/>
    <w:rsid w:val="00ED09DE"/>
    <w:rsid w:val="00ED0CBC"/>
    <w:rsid w:val="00ED3AB6"/>
    <w:rsid w:val="00ED3CC3"/>
    <w:rsid w:val="00ED446A"/>
    <w:rsid w:val="00ED4A18"/>
    <w:rsid w:val="00ED516D"/>
    <w:rsid w:val="00ED571C"/>
    <w:rsid w:val="00ED5AD2"/>
    <w:rsid w:val="00ED6AFD"/>
    <w:rsid w:val="00ED74D8"/>
    <w:rsid w:val="00ED7778"/>
    <w:rsid w:val="00ED78B7"/>
    <w:rsid w:val="00EE02A9"/>
    <w:rsid w:val="00EE15F2"/>
    <w:rsid w:val="00EE17FC"/>
    <w:rsid w:val="00EE32E7"/>
    <w:rsid w:val="00EE48AB"/>
    <w:rsid w:val="00EE4BD6"/>
    <w:rsid w:val="00EE4ED3"/>
    <w:rsid w:val="00EE6DEB"/>
    <w:rsid w:val="00EE78E7"/>
    <w:rsid w:val="00EF0742"/>
    <w:rsid w:val="00EF130F"/>
    <w:rsid w:val="00EF140B"/>
    <w:rsid w:val="00EF1E4E"/>
    <w:rsid w:val="00EF2192"/>
    <w:rsid w:val="00EF2DCF"/>
    <w:rsid w:val="00EF35DA"/>
    <w:rsid w:val="00EF4E7E"/>
    <w:rsid w:val="00EF5B3C"/>
    <w:rsid w:val="00EF5BBA"/>
    <w:rsid w:val="00EF6467"/>
    <w:rsid w:val="00EF690A"/>
    <w:rsid w:val="00EF6E22"/>
    <w:rsid w:val="00EF77F2"/>
    <w:rsid w:val="00EF7F5D"/>
    <w:rsid w:val="00F0088C"/>
    <w:rsid w:val="00F03A3D"/>
    <w:rsid w:val="00F0429C"/>
    <w:rsid w:val="00F05493"/>
    <w:rsid w:val="00F0631B"/>
    <w:rsid w:val="00F069F2"/>
    <w:rsid w:val="00F07824"/>
    <w:rsid w:val="00F07AF2"/>
    <w:rsid w:val="00F07EDE"/>
    <w:rsid w:val="00F103A8"/>
    <w:rsid w:val="00F123BD"/>
    <w:rsid w:val="00F12AEA"/>
    <w:rsid w:val="00F13854"/>
    <w:rsid w:val="00F138D2"/>
    <w:rsid w:val="00F13D22"/>
    <w:rsid w:val="00F14024"/>
    <w:rsid w:val="00F17768"/>
    <w:rsid w:val="00F17C2B"/>
    <w:rsid w:val="00F2033F"/>
    <w:rsid w:val="00F20858"/>
    <w:rsid w:val="00F216B3"/>
    <w:rsid w:val="00F226A4"/>
    <w:rsid w:val="00F23332"/>
    <w:rsid w:val="00F236F3"/>
    <w:rsid w:val="00F26B8F"/>
    <w:rsid w:val="00F276C9"/>
    <w:rsid w:val="00F3195C"/>
    <w:rsid w:val="00F31B3A"/>
    <w:rsid w:val="00F3238C"/>
    <w:rsid w:val="00F3357F"/>
    <w:rsid w:val="00F338A2"/>
    <w:rsid w:val="00F34605"/>
    <w:rsid w:val="00F350F6"/>
    <w:rsid w:val="00F35317"/>
    <w:rsid w:val="00F354AB"/>
    <w:rsid w:val="00F35719"/>
    <w:rsid w:val="00F37430"/>
    <w:rsid w:val="00F37E61"/>
    <w:rsid w:val="00F4008D"/>
    <w:rsid w:val="00F409A1"/>
    <w:rsid w:val="00F416DD"/>
    <w:rsid w:val="00F463B7"/>
    <w:rsid w:val="00F4700E"/>
    <w:rsid w:val="00F478C1"/>
    <w:rsid w:val="00F50457"/>
    <w:rsid w:val="00F50521"/>
    <w:rsid w:val="00F50526"/>
    <w:rsid w:val="00F50934"/>
    <w:rsid w:val="00F52C76"/>
    <w:rsid w:val="00F5372D"/>
    <w:rsid w:val="00F53DC7"/>
    <w:rsid w:val="00F5413A"/>
    <w:rsid w:val="00F543D8"/>
    <w:rsid w:val="00F55115"/>
    <w:rsid w:val="00F5619E"/>
    <w:rsid w:val="00F56314"/>
    <w:rsid w:val="00F56E01"/>
    <w:rsid w:val="00F5719C"/>
    <w:rsid w:val="00F60653"/>
    <w:rsid w:val="00F60816"/>
    <w:rsid w:val="00F60AD1"/>
    <w:rsid w:val="00F61264"/>
    <w:rsid w:val="00F62856"/>
    <w:rsid w:val="00F62B6F"/>
    <w:rsid w:val="00F62FBA"/>
    <w:rsid w:val="00F63260"/>
    <w:rsid w:val="00F63ACD"/>
    <w:rsid w:val="00F63EE2"/>
    <w:rsid w:val="00F642A3"/>
    <w:rsid w:val="00F653F8"/>
    <w:rsid w:val="00F65AF6"/>
    <w:rsid w:val="00F65CCB"/>
    <w:rsid w:val="00F65E32"/>
    <w:rsid w:val="00F6618C"/>
    <w:rsid w:val="00F66340"/>
    <w:rsid w:val="00F663A8"/>
    <w:rsid w:val="00F66987"/>
    <w:rsid w:val="00F72748"/>
    <w:rsid w:val="00F72ADF"/>
    <w:rsid w:val="00F73913"/>
    <w:rsid w:val="00F73C98"/>
    <w:rsid w:val="00F74885"/>
    <w:rsid w:val="00F74E2A"/>
    <w:rsid w:val="00F75BA8"/>
    <w:rsid w:val="00F766B2"/>
    <w:rsid w:val="00F76845"/>
    <w:rsid w:val="00F76C57"/>
    <w:rsid w:val="00F76F59"/>
    <w:rsid w:val="00F7794F"/>
    <w:rsid w:val="00F77D43"/>
    <w:rsid w:val="00F77DB6"/>
    <w:rsid w:val="00F80430"/>
    <w:rsid w:val="00F80780"/>
    <w:rsid w:val="00F80D45"/>
    <w:rsid w:val="00F8230A"/>
    <w:rsid w:val="00F83DFA"/>
    <w:rsid w:val="00F844A5"/>
    <w:rsid w:val="00F84985"/>
    <w:rsid w:val="00F855A4"/>
    <w:rsid w:val="00F87430"/>
    <w:rsid w:val="00F87EEF"/>
    <w:rsid w:val="00F912EE"/>
    <w:rsid w:val="00F9240A"/>
    <w:rsid w:val="00F92612"/>
    <w:rsid w:val="00F938E8"/>
    <w:rsid w:val="00F94CB9"/>
    <w:rsid w:val="00F95DF1"/>
    <w:rsid w:val="00F96670"/>
    <w:rsid w:val="00F966AE"/>
    <w:rsid w:val="00F96CF3"/>
    <w:rsid w:val="00FA0143"/>
    <w:rsid w:val="00FA065C"/>
    <w:rsid w:val="00FA089F"/>
    <w:rsid w:val="00FA20F1"/>
    <w:rsid w:val="00FA2217"/>
    <w:rsid w:val="00FA26A1"/>
    <w:rsid w:val="00FA3158"/>
    <w:rsid w:val="00FA4B93"/>
    <w:rsid w:val="00FA5BB4"/>
    <w:rsid w:val="00FA628A"/>
    <w:rsid w:val="00FA6892"/>
    <w:rsid w:val="00FA79D3"/>
    <w:rsid w:val="00FA7D99"/>
    <w:rsid w:val="00FB17BE"/>
    <w:rsid w:val="00FB2111"/>
    <w:rsid w:val="00FB2DF7"/>
    <w:rsid w:val="00FB3283"/>
    <w:rsid w:val="00FB529D"/>
    <w:rsid w:val="00FB5BF2"/>
    <w:rsid w:val="00FB5E28"/>
    <w:rsid w:val="00FC00CD"/>
    <w:rsid w:val="00FC0315"/>
    <w:rsid w:val="00FC094B"/>
    <w:rsid w:val="00FC0D38"/>
    <w:rsid w:val="00FC1B26"/>
    <w:rsid w:val="00FC2727"/>
    <w:rsid w:val="00FC2A8D"/>
    <w:rsid w:val="00FC2F53"/>
    <w:rsid w:val="00FC3072"/>
    <w:rsid w:val="00FC355D"/>
    <w:rsid w:val="00FC3A59"/>
    <w:rsid w:val="00FC3A79"/>
    <w:rsid w:val="00FC3FAF"/>
    <w:rsid w:val="00FC4673"/>
    <w:rsid w:val="00FC5261"/>
    <w:rsid w:val="00FC5A93"/>
    <w:rsid w:val="00FC6487"/>
    <w:rsid w:val="00FD023D"/>
    <w:rsid w:val="00FD1D11"/>
    <w:rsid w:val="00FD2421"/>
    <w:rsid w:val="00FD2833"/>
    <w:rsid w:val="00FD37C5"/>
    <w:rsid w:val="00FD4398"/>
    <w:rsid w:val="00FD4BA9"/>
    <w:rsid w:val="00FD4BE3"/>
    <w:rsid w:val="00FD5623"/>
    <w:rsid w:val="00FD6729"/>
    <w:rsid w:val="00FE080A"/>
    <w:rsid w:val="00FE0C64"/>
    <w:rsid w:val="00FE11D1"/>
    <w:rsid w:val="00FE2439"/>
    <w:rsid w:val="00FE271A"/>
    <w:rsid w:val="00FE3858"/>
    <w:rsid w:val="00FE5108"/>
    <w:rsid w:val="00FE6330"/>
    <w:rsid w:val="00FE6AAE"/>
    <w:rsid w:val="00FE7E2F"/>
    <w:rsid w:val="00FF0C94"/>
    <w:rsid w:val="00FF1853"/>
    <w:rsid w:val="00FF37DD"/>
    <w:rsid w:val="00FF3806"/>
    <w:rsid w:val="00FF3A23"/>
    <w:rsid w:val="00FF3E62"/>
    <w:rsid w:val="00FF4160"/>
    <w:rsid w:val="00FF453E"/>
    <w:rsid w:val="00FF4B64"/>
    <w:rsid w:val="00FF7462"/>
    <w:rsid w:val="00FF7703"/>
    <w:rsid w:val="01C4132A"/>
    <w:rsid w:val="038E46D1"/>
    <w:rsid w:val="050529AC"/>
    <w:rsid w:val="06145E9F"/>
    <w:rsid w:val="079F313F"/>
    <w:rsid w:val="0C3912C3"/>
    <w:rsid w:val="0C3E7E2B"/>
    <w:rsid w:val="0CAE40A9"/>
    <w:rsid w:val="119B4CA3"/>
    <w:rsid w:val="12FA3693"/>
    <w:rsid w:val="13A15301"/>
    <w:rsid w:val="16684CDB"/>
    <w:rsid w:val="18221C4B"/>
    <w:rsid w:val="186A7088"/>
    <w:rsid w:val="1A0464FE"/>
    <w:rsid w:val="1CC50465"/>
    <w:rsid w:val="1D1027C1"/>
    <w:rsid w:val="1E0E6B4E"/>
    <w:rsid w:val="25F47DBB"/>
    <w:rsid w:val="27E436F5"/>
    <w:rsid w:val="29D929BA"/>
    <w:rsid w:val="2BD414BD"/>
    <w:rsid w:val="2BF35FE8"/>
    <w:rsid w:val="2D2654A6"/>
    <w:rsid w:val="327C6408"/>
    <w:rsid w:val="37EC05BD"/>
    <w:rsid w:val="380F46F3"/>
    <w:rsid w:val="383D3BC6"/>
    <w:rsid w:val="38D20558"/>
    <w:rsid w:val="39467826"/>
    <w:rsid w:val="3C935626"/>
    <w:rsid w:val="3D094855"/>
    <w:rsid w:val="3E3B044A"/>
    <w:rsid w:val="3E596E9E"/>
    <w:rsid w:val="469C5E39"/>
    <w:rsid w:val="47432F29"/>
    <w:rsid w:val="48D52C50"/>
    <w:rsid w:val="4A327EAD"/>
    <w:rsid w:val="4A450B36"/>
    <w:rsid w:val="4C5263E2"/>
    <w:rsid w:val="5277697A"/>
    <w:rsid w:val="52E9344A"/>
    <w:rsid w:val="533B0478"/>
    <w:rsid w:val="55995B41"/>
    <w:rsid w:val="55CA6E02"/>
    <w:rsid w:val="55CB7074"/>
    <w:rsid w:val="575050D9"/>
    <w:rsid w:val="59766A54"/>
    <w:rsid w:val="5A23726B"/>
    <w:rsid w:val="5C006662"/>
    <w:rsid w:val="5E347220"/>
    <w:rsid w:val="602E4289"/>
    <w:rsid w:val="61D26CB9"/>
    <w:rsid w:val="6205543F"/>
    <w:rsid w:val="639E501F"/>
    <w:rsid w:val="677C5A0B"/>
    <w:rsid w:val="6A961A43"/>
    <w:rsid w:val="6AE93075"/>
    <w:rsid w:val="6B885541"/>
    <w:rsid w:val="6C4A3631"/>
    <w:rsid w:val="6FD23A5D"/>
    <w:rsid w:val="7023627A"/>
    <w:rsid w:val="70655F33"/>
    <w:rsid w:val="775B137D"/>
    <w:rsid w:val="78312F74"/>
    <w:rsid w:val="79FA0C50"/>
    <w:rsid w:val="7AB9131A"/>
    <w:rsid w:val="7C2B18AB"/>
    <w:rsid w:val="7DCF7117"/>
    <w:rsid w:val="7E844F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80" w:firstLineChars="200"/>
      <w:jc w:val="both"/>
    </w:pPr>
    <w:rPr>
      <w:rFonts w:ascii="Times New Roman" w:hAnsi="Times New Roman" w:eastAsia="仿宋_GB2312" w:cs="Times New Roman"/>
      <w:kern w:val="2"/>
      <w:sz w:val="24"/>
      <w:lang w:val="en-US" w:eastAsia="zh-CN" w:bidi="ar-SA"/>
    </w:rPr>
  </w:style>
  <w:style w:type="paragraph" w:styleId="2">
    <w:name w:val="heading 1"/>
    <w:basedOn w:val="1"/>
    <w:next w:val="1"/>
    <w:qFormat/>
    <w:uiPriority w:val="0"/>
    <w:pPr>
      <w:keepNext/>
      <w:keepLines/>
      <w:ind w:firstLine="0" w:firstLineChars="0"/>
      <w:jc w:val="center"/>
      <w:outlineLvl w:val="0"/>
    </w:pPr>
    <w:rPr>
      <w:rFonts w:eastAsiaTheme="majorEastAsia"/>
      <w:b/>
      <w:bCs/>
      <w:kern w:val="44"/>
      <w:sz w:val="32"/>
      <w:szCs w:val="44"/>
    </w:rPr>
  </w:style>
  <w:style w:type="paragraph" w:styleId="3">
    <w:name w:val="heading 2"/>
    <w:basedOn w:val="1"/>
    <w:next w:val="1"/>
    <w:link w:val="46"/>
    <w:qFormat/>
    <w:uiPriority w:val="0"/>
    <w:pPr>
      <w:keepNext/>
      <w:keepLines/>
      <w:ind w:firstLine="0" w:firstLineChars="0"/>
      <w:jc w:val="left"/>
      <w:outlineLvl w:val="1"/>
    </w:pPr>
    <w:rPr>
      <w:rFonts w:eastAsia="仿宋"/>
      <w:b/>
      <w:sz w:val="28"/>
    </w:rPr>
  </w:style>
  <w:style w:type="paragraph" w:styleId="4">
    <w:name w:val="heading 3"/>
    <w:basedOn w:val="1"/>
    <w:next w:val="1"/>
    <w:link w:val="64"/>
    <w:qFormat/>
    <w:uiPriority w:val="0"/>
    <w:pPr>
      <w:keepNext/>
      <w:keepLines/>
      <w:ind w:firstLine="0" w:firstLineChars="0"/>
      <w:jc w:val="left"/>
      <w:outlineLvl w:val="2"/>
    </w:pPr>
    <w:rPr>
      <w:rFonts w:eastAsia="宋体"/>
      <w:b/>
    </w:rPr>
  </w:style>
  <w:style w:type="paragraph" w:styleId="5">
    <w:name w:val="heading 4"/>
    <w:basedOn w:val="1"/>
    <w:next w:val="1"/>
    <w:qFormat/>
    <w:uiPriority w:val="0"/>
    <w:pPr>
      <w:keepNext/>
      <w:keepLines/>
      <w:jc w:val="left"/>
      <w:outlineLvl w:val="3"/>
    </w:pPr>
    <w:rPr>
      <w:rFonts w:eastAsia="黑体"/>
      <w:b/>
      <w:bCs/>
      <w:sz w:val="30"/>
      <w:szCs w:val="28"/>
    </w:rPr>
  </w:style>
  <w:style w:type="character" w:default="1" w:styleId="34">
    <w:name w:val="Default Paragraph Font"/>
    <w:semiHidden/>
    <w:unhideWhenUsed/>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qFormat/>
    <w:uiPriority w:val="0"/>
    <w:pPr>
      <w:ind w:left="1260"/>
      <w:jc w:val="left"/>
    </w:pPr>
    <w:rPr>
      <w:rFonts w:ascii="Calibri" w:hAnsi="Calibri" w:cs="Calibri"/>
      <w:sz w:val="18"/>
      <w:szCs w:val="18"/>
    </w:rPr>
  </w:style>
  <w:style w:type="paragraph" w:styleId="7">
    <w:name w:val="Normal Indent"/>
    <w:link w:val="65"/>
    <w:qFormat/>
    <w:uiPriority w:val="0"/>
    <w:pPr>
      <w:spacing w:after="100" w:afterAutospacing="1" w:line="360" w:lineRule="auto"/>
      <w:ind w:firstLine="482"/>
      <w:jc w:val="both"/>
    </w:pPr>
    <w:rPr>
      <w:rFonts w:ascii="Times New Roman" w:hAnsi="Times New Roman" w:eastAsia="宋体" w:cs="Times New Roman"/>
      <w:kern w:val="2"/>
      <w:sz w:val="24"/>
      <w:szCs w:val="24"/>
      <w:lang w:val="en-US" w:eastAsia="zh-CN" w:bidi="ar-SA"/>
    </w:rPr>
  </w:style>
  <w:style w:type="paragraph" w:styleId="8">
    <w:name w:val="Document Map"/>
    <w:basedOn w:val="1"/>
    <w:qFormat/>
    <w:uiPriority w:val="0"/>
    <w:pPr>
      <w:shd w:val="clear" w:color="auto" w:fill="000080"/>
    </w:pPr>
  </w:style>
  <w:style w:type="paragraph" w:styleId="9">
    <w:name w:val="annotation text"/>
    <w:basedOn w:val="1"/>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link w:val="54"/>
    <w:qFormat/>
    <w:uiPriority w:val="0"/>
    <w:pPr>
      <w:spacing w:after="120"/>
    </w:pPr>
  </w:style>
  <w:style w:type="paragraph" w:styleId="12">
    <w:name w:val="Body Text Indent"/>
    <w:basedOn w:val="1"/>
    <w:link w:val="50"/>
    <w:qFormat/>
    <w:uiPriority w:val="0"/>
    <w:pPr>
      <w:spacing w:after="120"/>
      <w:ind w:left="420" w:leftChars="200"/>
    </w:pPr>
  </w:style>
  <w:style w:type="paragraph" w:styleId="13">
    <w:name w:val="toc 5"/>
    <w:basedOn w:val="1"/>
    <w:next w:val="1"/>
    <w:qFormat/>
    <w:uiPriority w:val="0"/>
    <w:pPr>
      <w:ind w:left="840"/>
      <w:jc w:val="left"/>
    </w:pPr>
    <w:rPr>
      <w:rFonts w:ascii="Calibri" w:hAnsi="Calibri" w:cs="Calibri"/>
      <w:sz w:val="18"/>
      <w:szCs w:val="18"/>
    </w:rPr>
  </w:style>
  <w:style w:type="paragraph" w:styleId="14">
    <w:name w:val="toc 3"/>
    <w:basedOn w:val="1"/>
    <w:next w:val="1"/>
    <w:qFormat/>
    <w:uiPriority w:val="39"/>
    <w:pPr>
      <w:tabs>
        <w:tab w:val="right" w:leader="dot" w:pos="9016"/>
      </w:tabs>
      <w:ind w:left="210"/>
      <w:jc w:val="left"/>
    </w:pPr>
    <w:rPr>
      <w:rFonts w:ascii="宋体" w:hAnsi="宋体" w:cs="Calibri"/>
      <w:iCs/>
      <w:sz w:val="28"/>
      <w:szCs w:val="28"/>
    </w:rPr>
  </w:style>
  <w:style w:type="paragraph" w:styleId="15">
    <w:name w:val="Plain Text"/>
    <w:basedOn w:val="1"/>
    <w:link w:val="58"/>
    <w:qFormat/>
    <w:uiPriority w:val="0"/>
    <w:rPr>
      <w:rFonts w:ascii="宋体" w:hAnsi="Courier New"/>
    </w:rPr>
  </w:style>
  <w:style w:type="paragraph" w:styleId="16">
    <w:name w:val="toc 8"/>
    <w:basedOn w:val="1"/>
    <w:next w:val="1"/>
    <w:qFormat/>
    <w:uiPriority w:val="0"/>
    <w:pPr>
      <w:ind w:left="1470"/>
      <w:jc w:val="left"/>
    </w:pPr>
    <w:rPr>
      <w:rFonts w:ascii="Calibri" w:hAnsi="Calibri" w:cs="Calibri"/>
      <w:sz w:val="18"/>
      <w:szCs w:val="18"/>
    </w:rPr>
  </w:style>
  <w:style w:type="paragraph" w:styleId="17">
    <w:name w:val="Date"/>
    <w:basedOn w:val="1"/>
    <w:next w:val="1"/>
    <w:qFormat/>
    <w:uiPriority w:val="0"/>
    <w:pPr>
      <w:ind w:left="100" w:leftChars="2500"/>
    </w:pPr>
    <w:rPr>
      <w:szCs w:val="24"/>
    </w:rPr>
  </w:style>
  <w:style w:type="paragraph" w:styleId="18">
    <w:name w:val="Body Text Indent 2"/>
    <w:basedOn w:val="1"/>
    <w:qFormat/>
    <w:uiPriority w:val="0"/>
    <w:pPr>
      <w:ind w:firstLine="560"/>
    </w:pPr>
    <w:rPr>
      <w:rFonts w:ascii="仿宋_GB2312"/>
      <w:sz w:val="28"/>
      <w:szCs w:val="24"/>
    </w:rPr>
  </w:style>
  <w:style w:type="paragraph" w:styleId="19">
    <w:name w:val="Balloon Text"/>
    <w:basedOn w:val="1"/>
    <w:qFormat/>
    <w:uiPriority w:val="0"/>
    <w:rPr>
      <w:sz w:val="18"/>
      <w:szCs w:val="18"/>
    </w:rPr>
  </w:style>
  <w:style w:type="paragraph" w:styleId="20">
    <w:name w:val="footer"/>
    <w:basedOn w:val="1"/>
    <w:link w:val="47"/>
    <w:qFormat/>
    <w:uiPriority w:val="99"/>
    <w:pPr>
      <w:tabs>
        <w:tab w:val="center" w:pos="4153"/>
        <w:tab w:val="right" w:pos="8306"/>
      </w:tabs>
      <w:snapToGrid w:val="0"/>
      <w:jc w:val="left"/>
    </w:pPr>
    <w:rPr>
      <w:sz w:val="18"/>
    </w:rPr>
  </w:style>
  <w:style w:type="paragraph" w:styleId="21">
    <w:name w:val="header"/>
    <w:basedOn w:val="1"/>
    <w:link w:val="39"/>
    <w:qFormat/>
    <w:uiPriority w:val="0"/>
    <w:pPr>
      <w:pBdr>
        <w:bottom w:val="single" w:color="auto" w:sz="6" w:space="1"/>
      </w:pBdr>
      <w:tabs>
        <w:tab w:val="center" w:pos="4153"/>
        <w:tab w:val="right" w:pos="8306"/>
      </w:tabs>
      <w:snapToGrid w:val="0"/>
      <w:jc w:val="center"/>
    </w:pPr>
    <w:rPr>
      <w:sz w:val="18"/>
    </w:rPr>
  </w:style>
  <w:style w:type="paragraph" w:styleId="22">
    <w:name w:val="toc 1"/>
    <w:basedOn w:val="1"/>
    <w:next w:val="1"/>
    <w:qFormat/>
    <w:uiPriority w:val="39"/>
    <w:pPr>
      <w:tabs>
        <w:tab w:val="right" w:leader="dot" w:pos="9016"/>
      </w:tabs>
      <w:adjustRightInd w:val="0"/>
      <w:snapToGrid w:val="0"/>
      <w:spacing w:before="120" w:after="120" w:line="300" w:lineRule="auto"/>
      <w:jc w:val="left"/>
    </w:pPr>
    <w:rPr>
      <w:rFonts w:ascii="仿宋_GB2312" w:hAnsi="Calibri"/>
      <w:b/>
      <w:bCs/>
      <w:caps/>
      <w:sz w:val="28"/>
      <w:szCs w:val="28"/>
    </w:rPr>
  </w:style>
  <w:style w:type="paragraph" w:styleId="23">
    <w:name w:val="toc 4"/>
    <w:basedOn w:val="1"/>
    <w:next w:val="1"/>
    <w:qFormat/>
    <w:uiPriority w:val="0"/>
    <w:pPr>
      <w:ind w:left="630"/>
      <w:jc w:val="left"/>
    </w:pPr>
    <w:rPr>
      <w:rFonts w:ascii="Calibri" w:hAnsi="Calibri" w:cs="Calibri"/>
      <w:sz w:val="18"/>
      <w:szCs w:val="18"/>
    </w:rPr>
  </w:style>
  <w:style w:type="paragraph" w:styleId="24">
    <w:name w:val="toc 6"/>
    <w:basedOn w:val="1"/>
    <w:next w:val="1"/>
    <w:uiPriority w:val="0"/>
    <w:pPr>
      <w:ind w:left="1050"/>
      <w:jc w:val="left"/>
    </w:pPr>
    <w:rPr>
      <w:rFonts w:ascii="Calibri" w:hAnsi="Calibri" w:cs="Calibri"/>
      <w:sz w:val="18"/>
      <w:szCs w:val="18"/>
    </w:rPr>
  </w:style>
  <w:style w:type="paragraph" w:styleId="25">
    <w:name w:val="Body Text Indent 3"/>
    <w:basedOn w:val="1"/>
    <w:qFormat/>
    <w:uiPriority w:val="0"/>
    <w:pPr>
      <w:spacing w:after="120"/>
      <w:ind w:left="420" w:leftChars="200"/>
    </w:pPr>
    <w:rPr>
      <w:sz w:val="16"/>
      <w:szCs w:val="16"/>
    </w:rPr>
  </w:style>
  <w:style w:type="paragraph" w:styleId="26">
    <w:name w:val="toc 2"/>
    <w:basedOn w:val="1"/>
    <w:next w:val="1"/>
    <w:qFormat/>
    <w:uiPriority w:val="39"/>
    <w:pPr>
      <w:tabs>
        <w:tab w:val="right" w:leader="dot" w:pos="9016"/>
      </w:tabs>
      <w:spacing w:line="336" w:lineRule="auto"/>
      <w:ind w:left="210"/>
      <w:jc w:val="left"/>
    </w:pPr>
    <w:rPr>
      <w:rFonts w:ascii="仿宋_GB2312"/>
      <w:smallCaps/>
      <w:sz w:val="28"/>
      <w:szCs w:val="28"/>
    </w:rPr>
  </w:style>
  <w:style w:type="paragraph" w:styleId="27">
    <w:name w:val="toc 9"/>
    <w:basedOn w:val="1"/>
    <w:next w:val="1"/>
    <w:qFormat/>
    <w:uiPriority w:val="0"/>
    <w:pPr>
      <w:ind w:left="1680"/>
      <w:jc w:val="left"/>
    </w:pPr>
    <w:rPr>
      <w:rFonts w:ascii="Calibri" w:hAnsi="Calibri" w:cs="Calibri"/>
      <w:sz w:val="18"/>
      <w:szCs w:val="18"/>
    </w:rPr>
  </w:style>
  <w:style w:type="paragraph" w:styleId="28">
    <w:name w:val="Normal (Web)"/>
    <w:basedOn w:val="1"/>
    <w:qFormat/>
    <w:uiPriority w:val="0"/>
    <w:pPr>
      <w:widowControl/>
      <w:spacing w:before="100" w:beforeAutospacing="1" w:after="100" w:afterAutospacing="1"/>
      <w:jc w:val="left"/>
    </w:pPr>
    <w:rPr>
      <w:rFonts w:ascii="宋体" w:hAnsi="宋体" w:cs="宋体"/>
      <w:kern w:val="0"/>
      <w:szCs w:val="24"/>
    </w:rPr>
  </w:style>
  <w:style w:type="paragraph" w:styleId="29">
    <w:name w:val="Title"/>
    <w:basedOn w:val="1"/>
    <w:next w:val="1"/>
    <w:link w:val="59"/>
    <w:qFormat/>
    <w:uiPriority w:val="0"/>
    <w:pPr>
      <w:jc w:val="left"/>
      <w:outlineLvl w:val="0"/>
    </w:pPr>
    <w:rPr>
      <w:rFonts w:ascii="time new roman" w:hAnsi="time new roman" w:eastAsia="黑体"/>
      <w:b/>
      <w:sz w:val="36"/>
    </w:rPr>
  </w:style>
  <w:style w:type="paragraph" w:styleId="30">
    <w:name w:val="annotation subject"/>
    <w:basedOn w:val="9"/>
    <w:next w:val="9"/>
    <w:qFormat/>
    <w:uiPriority w:val="0"/>
    <w:rPr>
      <w:b/>
      <w:bCs/>
    </w:rPr>
  </w:style>
  <w:style w:type="paragraph" w:styleId="31">
    <w:name w:val="Body Text First Indent 2"/>
    <w:basedOn w:val="12"/>
    <w:link w:val="109"/>
    <w:qFormat/>
    <w:uiPriority w:val="0"/>
    <w:pPr>
      <w:ind w:firstLine="420"/>
    </w:pPr>
    <w:rPr>
      <w:szCs w:val="22"/>
    </w:rPr>
  </w:style>
  <w:style w:type="table" w:styleId="33">
    <w:name w:val="Table Grid"/>
    <w:basedOn w:val="32"/>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5">
    <w:name w:val="page number"/>
    <w:basedOn w:val="34"/>
    <w:qFormat/>
    <w:uiPriority w:val="0"/>
  </w:style>
  <w:style w:type="character" w:styleId="36">
    <w:name w:val="line number"/>
    <w:uiPriority w:val="0"/>
  </w:style>
  <w:style w:type="character" w:styleId="37">
    <w:name w:val="Hyperlink"/>
    <w:qFormat/>
    <w:uiPriority w:val="99"/>
    <w:rPr>
      <w:color w:val="0000FF"/>
      <w:u w:val="single"/>
    </w:rPr>
  </w:style>
  <w:style w:type="character" w:styleId="38">
    <w:name w:val="annotation reference"/>
    <w:qFormat/>
    <w:uiPriority w:val="0"/>
    <w:rPr>
      <w:sz w:val="21"/>
      <w:szCs w:val="21"/>
    </w:rPr>
  </w:style>
  <w:style w:type="character" w:customStyle="1" w:styleId="39">
    <w:name w:val="页眉 Char"/>
    <w:link w:val="21"/>
    <w:qFormat/>
    <w:uiPriority w:val="0"/>
    <w:rPr>
      <w:kern w:val="2"/>
      <w:sz w:val="18"/>
      <w:lang w:bidi="ar-SA"/>
    </w:rPr>
  </w:style>
  <w:style w:type="character" w:customStyle="1" w:styleId="40">
    <w:name w:val="Inko-正文 Char Char Char"/>
    <w:link w:val="41"/>
    <w:uiPriority w:val="0"/>
    <w:rPr>
      <w:kern w:val="2"/>
      <w:sz w:val="28"/>
    </w:rPr>
  </w:style>
  <w:style w:type="paragraph" w:customStyle="1" w:styleId="41">
    <w:name w:val="Inko-正文 Char"/>
    <w:basedOn w:val="1"/>
    <w:link w:val="40"/>
    <w:qFormat/>
    <w:uiPriority w:val="0"/>
    <w:pPr>
      <w:ind w:firstLine="560"/>
    </w:pPr>
    <w:rPr>
      <w:sz w:val="28"/>
    </w:rPr>
  </w:style>
  <w:style w:type="character" w:customStyle="1" w:styleId="42">
    <w:name w:val="文章正文 Char Char"/>
    <w:link w:val="43"/>
    <w:qFormat/>
    <w:uiPriority w:val="0"/>
    <w:rPr>
      <w:rFonts w:eastAsia="仿宋_GB2312"/>
      <w:kern w:val="2"/>
      <w:sz w:val="28"/>
      <w:szCs w:val="24"/>
      <w:lang w:val="en-US" w:eastAsia="zh-CN" w:bidi="ar-SA"/>
    </w:rPr>
  </w:style>
  <w:style w:type="paragraph" w:customStyle="1" w:styleId="43">
    <w:name w:val="文章正文"/>
    <w:basedOn w:val="1"/>
    <w:link w:val="42"/>
    <w:qFormat/>
    <w:uiPriority w:val="0"/>
    <w:pPr>
      <w:ind w:firstLine="200"/>
      <w:jc w:val="left"/>
    </w:pPr>
    <w:rPr>
      <w:sz w:val="28"/>
      <w:szCs w:val="24"/>
    </w:rPr>
  </w:style>
  <w:style w:type="character" w:customStyle="1" w:styleId="44">
    <w:name w:val="普通文字 Char Char1"/>
    <w:qFormat/>
    <w:uiPriority w:val="0"/>
    <w:rPr>
      <w:rFonts w:ascii="宋体" w:hAnsi="Courier New" w:eastAsia="宋体" w:cs="Courier New"/>
      <w:kern w:val="2"/>
      <w:sz w:val="21"/>
      <w:szCs w:val="21"/>
      <w:lang w:val="en-US" w:eastAsia="zh-CN" w:bidi="ar-SA"/>
    </w:rPr>
  </w:style>
  <w:style w:type="character" w:customStyle="1" w:styleId="45">
    <w:name w:val="正文缩进 Char2"/>
    <w:uiPriority w:val="0"/>
    <w:rPr>
      <w:kern w:val="2"/>
      <w:sz w:val="24"/>
      <w:szCs w:val="24"/>
      <w:lang w:bidi="ar-SA"/>
    </w:rPr>
  </w:style>
  <w:style w:type="character" w:customStyle="1" w:styleId="46">
    <w:name w:val="标题 2 Char"/>
    <w:link w:val="3"/>
    <w:qFormat/>
    <w:uiPriority w:val="0"/>
    <w:rPr>
      <w:rFonts w:eastAsia="仿宋"/>
      <w:b/>
      <w:kern w:val="2"/>
      <w:sz w:val="28"/>
    </w:rPr>
  </w:style>
  <w:style w:type="character" w:customStyle="1" w:styleId="47">
    <w:name w:val="页脚 Char"/>
    <w:link w:val="20"/>
    <w:qFormat/>
    <w:uiPriority w:val="99"/>
    <w:rPr>
      <w:kern w:val="2"/>
      <w:sz w:val="18"/>
      <w:lang w:bidi="ar-SA"/>
    </w:rPr>
  </w:style>
  <w:style w:type="character" w:customStyle="1" w:styleId="48">
    <w:name w:val="样式 (中文) 仿宋_GB2312 四号 行距: 1.5 倍行距 Char Char"/>
    <w:link w:val="49"/>
    <w:qFormat/>
    <w:uiPriority w:val="0"/>
    <w:rPr>
      <w:rFonts w:eastAsia="仿宋_GB2312" w:cs="宋体"/>
      <w:kern w:val="2"/>
      <w:sz w:val="28"/>
      <w:lang w:val="en-US" w:eastAsia="zh-CN" w:bidi="ar-SA"/>
    </w:rPr>
  </w:style>
  <w:style w:type="paragraph" w:customStyle="1" w:styleId="49">
    <w:name w:val="样式 (中文) 仿宋_GB2312 四号 行距: 1.5 倍行距"/>
    <w:basedOn w:val="1"/>
    <w:link w:val="48"/>
    <w:qFormat/>
    <w:uiPriority w:val="0"/>
    <w:pPr>
      <w:ind w:firstLine="200"/>
    </w:pPr>
    <w:rPr>
      <w:rFonts w:cs="宋体"/>
      <w:sz w:val="28"/>
    </w:rPr>
  </w:style>
  <w:style w:type="character" w:customStyle="1" w:styleId="50">
    <w:name w:val="正文文本缩进 Char"/>
    <w:link w:val="12"/>
    <w:qFormat/>
    <w:uiPriority w:val="0"/>
    <w:rPr>
      <w:kern w:val="2"/>
      <w:sz w:val="21"/>
      <w:lang w:bidi="ar-SA"/>
    </w:rPr>
  </w:style>
  <w:style w:type="character" w:customStyle="1" w:styleId="51">
    <w:name w:val="样式 标题 1 + 黑体 小二 非加粗 Char Char"/>
    <w:link w:val="52"/>
    <w:qFormat/>
    <w:uiPriority w:val="0"/>
    <w:rPr>
      <w:rFonts w:ascii="黑体" w:hAnsi="黑体" w:eastAsia="黑体"/>
      <w:b/>
      <w:kern w:val="44"/>
      <w:sz w:val="36"/>
      <w:szCs w:val="44"/>
      <w:lang w:val="en-US" w:eastAsia="zh-CN" w:bidi="ar-SA"/>
    </w:rPr>
  </w:style>
  <w:style w:type="paragraph" w:customStyle="1" w:styleId="52">
    <w:name w:val="样式 标题 1 + 黑体 小二 非加粗"/>
    <w:basedOn w:val="2"/>
    <w:link w:val="51"/>
    <w:qFormat/>
    <w:uiPriority w:val="0"/>
    <w:rPr>
      <w:rFonts w:ascii="黑体" w:hAnsi="黑体"/>
      <w:bCs w:val="0"/>
      <w:sz w:val="36"/>
    </w:rPr>
  </w:style>
  <w:style w:type="character" w:customStyle="1" w:styleId="53">
    <w:name w:val="纯文本 Char1"/>
    <w:qFormat/>
    <w:uiPriority w:val="0"/>
    <w:rPr>
      <w:rFonts w:ascii="宋体" w:hAnsi="Courier New" w:eastAsia="宋体"/>
      <w:kern w:val="2"/>
      <w:sz w:val="21"/>
      <w:szCs w:val="21"/>
      <w:lang w:val="en-US" w:eastAsia="zh-CN" w:bidi="ar-SA"/>
    </w:rPr>
  </w:style>
  <w:style w:type="character" w:customStyle="1" w:styleId="54">
    <w:name w:val="正文文本 Char"/>
    <w:link w:val="11"/>
    <w:qFormat/>
    <w:uiPriority w:val="0"/>
    <w:rPr>
      <w:kern w:val="2"/>
      <w:sz w:val="21"/>
    </w:rPr>
  </w:style>
  <w:style w:type="character" w:customStyle="1" w:styleId="55">
    <w:name w:val="标题 2 Char Char"/>
    <w:qFormat/>
    <w:uiPriority w:val="0"/>
    <w:rPr>
      <w:rFonts w:eastAsia="黑体"/>
      <w:b/>
      <w:kern w:val="2"/>
      <w:sz w:val="36"/>
    </w:rPr>
  </w:style>
  <w:style w:type="character" w:customStyle="1" w:styleId="56">
    <w:name w:val="默认段落 Char Char"/>
    <w:link w:val="57"/>
    <w:qFormat/>
    <w:uiPriority w:val="0"/>
    <w:rPr>
      <w:rFonts w:eastAsia="宋体" w:cs="宋体"/>
      <w:kern w:val="2"/>
      <w:sz w:val="21"/>
      <w:lang w:val="en-US" w:eastAsia="zh-CN" w:bidi="ar-SA"/>
    </w:rPr>
  </w:style>
  <w:style w:type="paragraph" w:customStyle="1" w:styleId="57">
    <w:name w:val="默认段落"/>
    <w:basedOn w:val="1"/>
    <w:link w:val="56"/>
    <w:qFormat/>
    <w:uiPriority w:val="0"/>
    <w:rPr>
      <w:rFonts w:cs="宋体"/>
    </w:rPr>
  </w:style>
  <w:style w:type="character" w:customStyle="1" w:styleId="58">
    <w:name w:val="纯文本 Char"/>
    <w:link w:val="15"/>
    <w:qFormat/>
    <w:uiPriority w:val="0"/>
    <w:rPr>
      <w:rFonts w:ascii="宋体" w:hAnsi="Courier New" w:eastAsia="宋体"/>
      <w:kern w:val="2"/>
      <w:sz w:val="21"/>
      <w:lang w:val="en-US" w:eastAsia="zh-CN"/>
    </w:rPr>
  </w:style>
  <w:style w:type="character" w:customStyle="1" w:styleId="59">
    <w:name w:val="标题 Char"/>
    <w:link w:val="29"/>
    <w:uiPriority w:val="0"/>
    <w:rPr>
      <w:rFonts w:ascii="time new roman" w:hAnsi="time new roman" w:eastAsia="黑体"/>
      <w:b/>
      <w:kern w:val="2"/>
      <w:sz w:val="36"/>
    </w:rPr>
  </w:style>
  <w:style w:type="character" w:customStyle="1" w:styleId="60">
    <w:name w:val="标题 1 Char Char"/>
    <w:qFormat/>
    <w:uiPriority w:val="0"/>
    <w:rPr>
      <w:rFonts w:eastAsia="宋体"/>
      <w:b/>
      <w:bCs/>
      <w:kern w:val="44"/>
      <w:sz w:val="44"/>
      <w:szCs w:val="44"/>
      <w:lang w:val="en-US" w:eastAsia="zh-CN" w:bidi="ar-SA"/>
    </w:rPr>
  </w:style>
  <w:style w:type="character" w:customStyle="1" w:styleId="61">
    <w:name w:val="已访问的超链接1"/>
    <w:qFormat/>
    <w:uiPriority w:val="0"/>
    <w:rPr>
      <w:color w:val="800080"/>
      <w:u w:val="single"/>
    </w:rPr>
  </w:style>
  <w:style w:type="character" w:customStyle="1" w:styleId="62">
    <w:name w:val="正文29 Char Char"/>
    <w:link w:val="63"/>
    <w:qFormat/>
    <w:uiPriority w:val="0"/>
    <w:rPr>
      <w:sz w:val="28"/>
      <w:szCs w:val="28"/>
    </w:rPr>
  </w:style>
  <w:style w:type="paragraph" w:customStyle="1" w:styleId="63">
    <w:name w:val="正文29"/>
    <w:basedOn w:val="1"/>
    <w:link w:val="62"/>
    <w:qFormat/>
    <w:uiPriority w:val="0"/>
    <w:pPr>
      <w:overflowPunct w:val="0"/>
      <w:topLinePunct/>
      <w:snapToGrid w:val="0"/>
      <w:spacing w:line="580" w:lineRule="exact"/>
      <w:ind w:firstLine="567"/>
    </w:pPr>
    <w:rPr>
      <w:sz w:val="28"/>
      <w:szCs w:val="28"/>
    </w:rPr>
  </w:style>
  <w:style w:type="character" w:customStyle="1" w:styleId="64">
    <w:name w:val="标题 3 Char"/>
    <w:link w:val="4"/>
    <w:qFormat/>
    <w:uiPriority w:val="0"/>
    <w:rPr>
      <w:b/>
      <w:kern w:val="2"/>
      <w:sz w:val="24"/>
    </w:rPr>
  </w:style>
  <w:style w:type="character" w:customStyle="1" w:styleId="65">
    <w:name w:val="正文缩进 Char"/>
    <w:link w:val="7"/>
    <w:qFormat/>
    <w:uiPriority w:val="0"/>
    <w:rPr>
      <w:kern w:val="2"/>
      <w:sz w:val="24"/>
      <w:szCs w:val="24"/>
      <w:lang w:val="en-US" w:eastAsia="zh-CN" w:bidi="ar-SA"/>
    </w:rPr>
  </w:style>
  <w:style w:type="paragraph" w:customStyle="1" w:styleId="66">
    <w:name w:val="1"/>
    <w:basedOn w:val="1"/>
    <w:next w:val="15"/>
    <w:qFormat/>
    <w:uiPriority w:val="0"/>
    <w:rPr>
      <w:rFonts w:ascii="宋体" w:hAnsi="Courier New" w:cs="Courier New"/>
      <w:szCs w:val="21"/>
    </w:rPr>
  </w:style>
  <w:style w:type="paragraph" w:customStyle="1" w:styleId="67">
    <w:name w:val="Char1 Char Char Char Char Char Char"/>
    <w:basedOn w:val="1"/>
    <w:qFormat/>
    <w:uiPriority w:val="0"/>
    <w:pPr>
      <w:keepNext/>
      <w:widowControl/>
      <w:tabs>
        <w:tab w:val="left" w:pos="425"/>
      </w:tabs>
      <w:autoSpaceDE w:val="0"/>
      <w:autoSpaceDN w:val="0"/>
      <w:adjustRightInd w:val="0"/>
      <w:spacing w:before="80" w:after="80"/>
      <w:ind w:hanging="425"/>
    </w:pPr>
    <w:rPr>
      <w:rFonts w:ascii="Arial" w:hAnsi="Arial" w:cs="Arial"/>
      <w:sz w:val="20"/>
    </w:rPr>
  </w:style>
  <w:style w:type="paragraph" w:customStyle="1" w:styleId="68">
    <w:name w:val="Char Char Char Char Char Char Char"/>
    <w:basedOn w:val="1"/>
    <w:qFormat/>
    <w:uiPriority w:val="0"/>
    <w:pPr>
      <w:ind w:firstLine="200"/>
    </w:pPr>
    <w:rPr>
      <w:rFonts w:ascii="宋体" w:hAnsi="宋体" w:cs="宋体"/>
      <w:szCs w:val="24"/>
    </w:rPr>
  </w:style>
  <w:style w:type="paragraph" w:customStyle="1" w:styleId="69">
    <w:name w:val="Revision"/>
    <w:qFormat/>
    <w:uiPriority w:val="0"/>
    <w:rPr>
      <w:rFonts w:ascii="Times New Roman" w:hAnsi="Times New Roman" w:eastAsia="宋体" w:cs="Times New Roman"/>
      <w:kern w:val="2"/>
      <w:sz w:val="21"/>
      <w:lang w:val="en-US" w:eastAsia="zh-CN" w:bidi="ar-SA"/>
    </w:rPr>
  </w:style>
  <w:style w:type="paragraph" w:customStyle="1" w:styleId="70">
    <w:name w:val="表"/>
    <w:basedOn w:val="7"/>
    <w:qFormat/>
    <w:uiPriority w:val="0"/>
    <w:pPr>
      <w:widowControl w:val="0"/>
      <w:spacing w:after="0" w:afterAutospacing="0" w:line="0" w:lineRule="atLeast"/>
      <w:ind w:firstLine="0"/>
      <w:jc w:val="center"/>
    </w:pPr>
    <w:rPr>
      <w:color w:val="000000"/>
      <w:sz w:val="21"/>
    </w:rPr>
  </w:style>
  <w:style w:type="paragraph" w:customStyle="1" w:styleId="71">
    <w:name w:val="xl47"/>
    <w:basedOn w:val="1"/>
    <w:qFormat/>
    <w:uiPriority w:val="0"/>
    <w:pPr>
      <w:widowControl/>
      <w:pBdr>
        <w:left w:val="single" w:color="auto" w:sz="4" w:space="0"/>
      </w:pBdr>
      <w:spacing w:before="100" w:beforeAutospacing="1" w:after="100" w:afterAutospacing="1"/>
      <w:jc w:val="center"/>
    </w:pPr>
    <w:rPr>
      <w:rFonts w:ascii="Arial Unicode MS" w:hAnsi="Arial Unicode MS"/>
      <w:kern w:val="0"/>
      <w:szCs w:val="21"/>
    </w:rPr>
  </w:style>
  <w:style w:type="paragraph" w:customStyle="1" w:styleId="72">
    <w:name w:val="一级标题"/>
    <w:basedOn w:val="73"/>
    <w:qFormat/>
    <w:uiPriority w:val="0"/>
  </w:style>
  <w:style w:type="paragraph" w:customStyle="1" w:styleId="73">
    <w:name w:val="样式 标题 2 + Times New Roman 三号 非加粗 左 段前: 5 磅 段后: 0.5 行"/>
    <w:basedOn w:val="3"/>
    <w:qFormat/>
    <w:uiPriority w:val="0"/>
    <w:pPr>
      <w:adjustRightInd w:val="0"/>
      <w:snapToGrid w:val="0"/>
    </w:pPr>
    <w:rPr>
      <w:rFonts w:cs="宋体"/>
    </w:rPr>
  </w:style>
  <w:style w:type="paragraph" w:customStyle="1" w:styleId="74">
    <w:name w:val="2"/>
    <w:basedOn w:val="1"/>
    <w:next w:val="18"/>
    <w:qFormat/>
    <w:uiPriority w:val="0"/>
    <w:pPr>
      <w:ind w:firstLine="560"/>
    </w:pPr>
    <w:rPr>
      <w:rFonts w:ascii="仿宋_GB2312"/>
      <w:kern w:val="30"/>
      <w:sz w:val="28"/>
      <w:szCs w:val="30"/>
    </w:rPr>
  </w:style>
  <w:style w:type="paragraph" w:customStyle="1" w:styleId="75">
    <w:name w:val="Char Char Char Char Char Char Char Char Char Char Char Char Char Char Char Char"/>
    <w:basedOn w:val="1"/>
    <w:qFormat/>
    <w:uiPriority w:val="0"/>
    <w:pPr>
      <w:ind w:firstLine="560"/>
    </w:pPr>
    <w:rPr>
      <w:rFonts w:ascii="仿宋_GB2312" w:hAnsi="宋体" w:cs="宋体"/>
      <w:sz w:val="28"/>
      <w:szCs w:val="28"/>
    </w:rPr>
  </w:style>
  <w:style w:type="paragraph" w:customStyle="1" w:styleId="76">
    <w:name w:val="Char Char Char Char"/>
    <w:basedOn w:val="1"/>
    <w:qFormat/>
    <w:uiPriority w:val="0"/>
    <w:pPr>
      <w:ind w:firstLine="200"/>
    </w:pPr>
    <w:rPr>
      <w:rFonts w:ascii="宋体" w:hAnsi="宋体" w:cs="宋体"/>
      <w:szCs w:val="24"/>
    </w:rPr>
  </w:style>
  <w:style w:type="paragraph" w:customStyle="1" w:styleId="77">
    <w:name w:val="11111"/>
    <w:basedOn w:val="25"/>
    <w:qFormat/>
    <w:uiPriority w:val="0"/>
    <w:pPr>
      <w:spacing w:after="0" w:line="500" w:lineRule="exact"/>
      <w:ind w:left="0" w:leftChars="0"/>
    </w:pPr>
    <w:rPr>
      <w:rFonts w:ascii="宋体" w:hAnsi="宋体"/>
      <w:sz w:val="24"/>
      <w:szCs w:val="24"/>
    </w:rPr>
  </w:style>
  <w:style w:type="paragraph" w:customStyle="1" w:styleId="78">
    <w:name w:val="1 Char Char Char Char"/>
    <w:basedOn w:val="1"/>
    <w:qFormat/>
    <w:uiPriority w:val="0"/>
    <w:pPr>
      <w:ind w:firstLine="200"/>
    </w:pPr>
    <w:rPr>
      <w:rFonts w:ascii="宋体" w:hAnsi="宋体" w:cs="宋体"/>
      <w:szCs w:val="24"/>
    </w:rPr>
  </w:style>
  <w:style w:type="paragraph" w:customStyle="1" w:styleId="79">
    <w:name w:val="TOC Heading"/>
    <w:basedOn w:val="2"/>
    <w:next w:val="1"/>
    <w:qFormat/>
    <w:uiPriority w:val="0"/>
    <w:pPr>
      <w:widowControl/>
      <w:spacing w:before="480" w:line="276" w:lineRule="auto"/>
      <w:jc w:val="left"/>
      <w:outlineLvl w:val="9"/>
    </w:pPr>
    <w:rPr>
      <w:rFonts w:ascii="Cambria" w:hAnsi="Cambria"/>
      <w:color w:val="365F91"/>
      <w:kern w:val="0"/>
      <w:sz w:val="28"/>
      <w:szCs w:val="28"/>
    </w:rPr>
  </w:style>
  <w:style w:type="paragraph" w:customStyle="1" w:styleId="80">
    <w:name w:val="Char2"/>
    <w:basedOn w:val="1"/>
    <w:qFormat/>
    <w:uiPriority w:val="0"/>
    <w:pPr>
      <w:ind w:firstLine="200"/>
    </w:pPr>
    <w:rPr>
      <w:rFonts w:ascii="宋体" w:hAnsi="宋体" w:cs="宋体"/>
      <w:szCs w:val="24"/>
    </w:rPr>
  </w:style>
  <w:style w:type="paragraph" w:customStyle="1" w:styleId="81">
    <w:name w:val="Char"/>
    <w:basedOn w:val="1"/>
    <w:qFormat/>
    <w:uiPriority w:val="0"/>
    <w:pPr>
      <w:ind w:firstLine="200"/>
    </w:pPr>
    <w:rPr>
      <w:rFonts w:ascii="宋体" w:hAnsi="宋体" w:cs="宋体"/>
      <w:szCs w:val="24"/>
    </w:rPr>
  </w:style>
  <w:style w:type="paragraph" w:customStyle="1" w:styleId="82">
    <w:name w:val="表格文字"/>
    <w:basedOn w:val="11"/>
    <w:next w:val="1"/>
    <w:uiPriority w:val="0"/>
    <w:pPr>
      <w:tabs>
        <w:tab w:val="left" w:pos="3720"/>
      </w:tabs>
      <w:autoSpaceDE w:val="0"/>
      <w:autoSpaceDN w:val="0"/>
      <w:adjustRightInd w:val="0"/>
      <w:spacing w:after="0" w:line="315" w:lineRule="exact"/>
      <w:jc w:val="center"/>
      <w:textAlignment w:val="bottom"/>
    </w:pPr>
    <w:rPr>
      <w:rFonts w:ascii="宋体" w:hAnsi="宋体"/>
      <w:kern w:val="0"/>
    </w:rPr>
  </w:style>
  <w:style w:type="paragraph" w:customStyle="1" w:styleId="83">
    <w:name w:val="正文15"/>
    <w:basedOn w:val="1"/>
    <w:qFormat/>
    <w:uiPriority w:val="0"/>
    <w:pPr>
      <w:overflowPunct w:val="0"/>
      <w:topLinePunct/>
      <w:snapToGrid w:val="0"/>
      <w:ind w:firstLine="567"/>
    </w:pPr>
    <w:rPr>
      <w:rFonts w:eastAsia="宋体"/>
      <w:sz w:val="28"/>
      <w:szCs w:val="28"/>
    </w:rPr>
  </w:style>
  <w:style w:type="paragraph" w:customStyle="1" w:styleId="84">
    <w:name w:val="表格2"/>
    <w:basedOn w:val="1"/>
    <w:qFormat/>
    <w:uiPriority w:val="0"/>
    <w:pPr>
      <w:snapToGrid w:val="0"/>
      <w:spacing w:line="280" w:lineRule="exact"/>
      <w:jc w:val="center"/>
    </w:pPr>
  </w:style>
  <w:style w:type="paragraph" w:customStyle="1" w:styleId="85">
    <w:name w:val="正文缩进0"/>
    <w:basedOn w:val="1"/>
    <w:qFormat/>
    <w:uiPriority w:val="0"/>
    <w:pPr>
      <w:ind w:firstLine="590"/>
    </w:pPr>
    <w:rPr>
      <w:sz w:val="28"/>
      <w:szCs w:val="28"/>
    </w:rPr>
  </w:style>
  <w:style w:type="paragraph" w:customStyle="1" w:styleId="86">
    <w:name w:val="样式 样式 标题 3 + (中文) 黑体 小三 非加粗 + 非加粗"/>
    <w:basedOn w:val="1"/>
    <w:uiPriority w:val="0"/>
    <w:pPr>
      <w:keepNext/>
      <w:keepLines/>
      <w:tabs>
        <w:tab w:val="left" w:pos="1260"/>
      </w:tabs>
      <w:outlineLvl w:val="2"/>
    </w:pPr>
    <w:rPr>
      <w:rFonts w:eastAsia="黑体"/>
      <w:b/>
      <w:bCs/>
      <w:sz w:val="30"/>
      <w:szCs w:val="32"/>
    </w:rPr>
  </w:style>
  <w:style w:type="paragraph" w:customStyle="1" w:styleId="87">
    <w:name w:val="1 Char Char"/>
    <w:basedOn w:val="1"/>
    <w:qFormat/>
    <w:uiPriority w:val="0"/>
    <w:pPr>
      <w:ind w:firstLine="200"/>
    </w:pPr>
    <w:rPr>
      <w:rFonts w:ascii="宋体" w:hAnsi="宋体" w:cs="宋体"/>
      <w:szCs w:val="24"/>
    </w:rPr>
  </w:style>
  <w:style w:type="paragraph" w:customStyle="1" w:styleId="88">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89">
    <w:name w:val="Char Char Char Char Char Char Char Char Char Char"/>
    <w:basedOn w:val="1"/>
    <w:qFormat/>
    <w:uiPriority w:val="0"/>
    <w:pPr>
      <w:ind w:firstLine="560"/>
    </w:pPr>
    <w:rPr>
      <w:rFonts w:ascii="仿宋_GB2312" w:hAnsi="宋体" w:cs="宋体"/>
      <w:sz w:val="28"/>
      <w:szCs w:val="28"/>
    </w:rPr>
  </w:style>
  <w:style w:type="paragraph" w:customStyle="1" w:styleId="90">
    <w:name w:val="Footer Odd"/>
    <w:basedOn w:val="1"/>
    <w:qFormat/>
    <w:uiPriority w:val="0"/>
    <w:pPr>
      <w:widowControl/>
      <w:pBdr>
        <w:top w:val="single" w:color="4F81BD" w:sz="4" w:space="1"/>
      </w:pBdr>
      <w:spacing w:after="180" w:line="264" w:lineRule="auto"/>
      <w:jc w:val="right"/>
    </w:pPr>
    <w:rPr>
      <w:rFonts w:ascii="Calibri" w:hAnsi="Calibri"/>
      <w:color w:val="1F497D"/>
      <w:kern w:val="0"/>
      <w:sz w:val="20"/>
      <w:szCs w:val="23"/>
    </w:rPr>
  </w:style>
  <w:style w:type="paragraph" w:customStyle="1" w:styleId="91">
    <w:name w:val="正文26"/>
    <w:basedOn w:val="1"/>
    <w:qFormat/>
    <w:uiPriority w:val="0"/>
    <w:pPr>
      <w:overflowPunct w:val="0"/>
      <w:topLinePunct/>
      <w:snapToGrid w:val="0"/>
      <w:spacing w:line="520" w:lineRule="exact"/>
      <w:ind w:firstLine="482"/>
    </w:pPr>
    <w:rPr>
      <w:szCs w:val="28"/>
    </w:rPr>
  </w:style>
  <w:style w:type="paragraph" w:customStyle="1" w:styleId="92">
    <w:name w:val="样式 标题 1 + 黑体 四号"/>
    <w:basedOn w:val="2"/>
    <w:qFormat/>
    <w:uiPriority w:val="0"/>
    <w:pPr>
      <w:spacing w:before="120" w:after="120"/>
    </w:pPr>
    <w:rPr>
      <w:rFonts w:ascii="黑体" w:hAnsi="黑体"/>
      <w:sz w:val="28"/>
    </w:rPr>
  </w:style>
  <w:style w:type="paragraph" w:customStyle="1" w:styleId="93">
    <w:name w:val="p0"/>
    <w:basedOn w:val="1"/>
    <w:qFormat/>
    <w:uiPriority w:val="0"/>
    <w:pPr>
      <w:widowControl/>
    </w:pPr>
    <w:rPr>
      <w:kern w:val="0"/>
      <w:szCs w:val="21"/>
    </w:rPr>
  </w:style>
  <w:style w:type="paragraph" w:customStyle="1" w:styleId="94">
    <w:name w:val="Char Char Char Char Char Char Char Char Char Char Char Char Char"/>
    <w:basedOn w:val="1"/>
    <w:qFormat/>
    <w:uiPriority w:val="0"/>
    <w:pPr>
      <w:widowControl/>
      <w:spacing w:after="160" w:line="240" w:lineRule="exact"/>
      <w:jc w:val="left"/>
    </w:pPr>
    <w:rPr>
      <w:rFonts w:hAnsi="宋体"/>
      <w:szCs w:val="24"/>
    </w:rPr>
  </w:style>
  <w:style w:type="paragraph" w:customStyle="1" w:styleId="95">
    <w:name w:val="样式 样式 标题 1 + (中文) 黑体 小二 非加粗 行距: 1.5 倍行距 + 非加粗"/>
    <w:basedOn w:val="1"/>
    <w:qFormat/>
    <w:uiPriority w:val="0"/>
    <w:pPr>
      <w:keepNext/>
      <w:keepLines/>
      <w:jc w:val="center"/>
      <w:outlineLvl w:val="0"/>
    </w:pPr>
    <w:rPr>
      <w:rFonts w:eastAsia="黑体" w:cs="宋体"/>
      <w:b/>
      <w:kern w:val="44"/>
      <w:sz w:val="32"/>
    </w:rPr>
  </w:style>
  <w:style w:type="paragraph" w:customStyle="1" w:styleId="96">
    <w:name w:val="默认段落字体 Para Char Char Char Char"/>
    <w:basedOn w:val="1"/>
    <w:uiPriority w:val="0"/>
    <w:pPr>
      <w:snapToGrid w:val="0"/>
      <w:ind w:firstLine="200"/>
    </w:pPr>
    <w:rPr>
      <w:szCs w:val="24"/>
    </w:rPr>
  </w:style>
  <w:style w:type="paragraph" w:customStyle="1" w:styleId="97">
    <w:name w:val="00 正文"/>
    <w:basedOn w:val="1"/>
    <w:qFormat/>
    <w:uiPriority w:val="0"/>
    <w:pPr>
      <w:adjustRightInd w:val="0"/>
      <w:snapToGrid w:val="0"/>
      <w:ind w:firstLine="200"/>
    </w:pPr>
    <w:rPr>
      <w:sz w:val="28"/>
      <w:szCs w:val="28"/>
    </w:rPr>
  </w:style>
  <w:style w:type="paragraph" w:customStyle="1" w:styleId="98">
    <w:name w:val="1正文小四 Char Char Char Char"/>
    <w:basedOn w:val="1"/>
    <w:qFormat/>
    <w:uiPriority w:val="0"/>
    <w:pPr>
      <w:ind w:firstLine="560"/>
    </w:pPr>
    <w:rPr>
      <w:rFonts w:ascii="仿宋_GB2312" w:hAnsi="宋体" w:cs="宋体"/>
      <w:sz w:val="28"/>
      <w:szCs w:val="28"/>
    </w:rPr>
  </w:style>
  <w:style w:type="paragraph" w:customStyle="1" w:styleId="99">
    <w:name w:val="样式2"/>
    <w:basedOn w:val="3"/>
    <w:qFormat/>
    <w:uiPriority w:val="0"/>
    <w:pPr>
      <w:spacing w:line="600" w:lineRule="exact"/>
    </w:pPr>
    <w:rPr>
      <w:rFonts w:eastAsia="宋体"/>
      <w:bCs/>
      <w:szCs w:val="32"/>
    </w:rPr>
  </w:style>
  <w:style w:type="paragraph" w:customStyle="1" w:styleId="100">
    <w:name w:val="表格"/>
    <w:basedOn w:val="1"/>
    <w:qFormat/>
    <w:uiPriority w:val="0"/>
    <w:pPr>
      <w:suppressAutoHyphens/>
      <w:snapToGrid w:val="0"/>
      <w:spacing w:line="580" w:lineRule="exact"/>
      <w:jc w:val="center"/>
    </w:pPr>
    <w:rPr>
      <w:b/>
      <w:szCs w:val="28"/>
      <w:lang w:eastAsia="ar-SA"/>
    </w:rPr>
  </w:style>
  <w:style w:type="paragraph" w:customStyle="1" w:styleId="101">
    <w:name w:val="手册10"/>
    <w:basedOn w:val="1"/>
    <w:qFormat/>
    <w:uiPriority w:val="0"/>
    <w:pPr>
      <w:tabs>
        <w:tab w:val="left" w:pos="1247"/>
      </w:tabs>
      <w:ind w:left="1247" w:hanging="748"/>
    </w:pPr>
    <w:rPr>
      <w:rFonts w:ascii="宋体" w:hAnsi="宋体"/>
      <w:szCs w:val="24"/>
    </w:rPr>
  </w:style>
  <w:style w:type="paragraph" w:customStyle="1" w:styleId="102">
    <w:name w:val="xl65"/>
    <w:basedOn w:val="1"/>
    <w:qFormat/>
    <w:uiPriority w:val="0"/>
    <w:pPr>
      <w:widowControl/>
      <w:pBdr>
        <w:left w:val="single" w:color="auto" w:sz="4" w:space="0"/>
      </w:pBdr>
      <w:spacing w:before="100" w:beforeAutospacing="1" w:after="100" w:afterAutospacing="1"/>
    </w:pPr>
    <w:rPr>
      <w:rFonts w:ascii="Arial Unicode MS" w:hAnsi="Arial Unicode MS" w:eastAsia="Arial Unicode MS"/>
      <w:kern w:val="0"/>
      <w:szCs w:val="21"/>
    </w:rPr>
  </w:style>
  <w:style w:type="paragraph" w:customStyle="1" w:styleId="103">
    <w:name w:val="样式 标题 1 + (中文) 黑体 小二 非加粗 行距: 1.5 倍行距"/>
    <w:basedOn w:val="2"/>
    <w:qFormat/>
    <w:uiPriority w:val="0"/>
    <w:rPr>
      <w:rFonts w:cs="宋体"/>
      <w:bCs w:val="0"/>
      <w:sz w:val="36"/>
      <w:szCs w:val="20"/>
    </w:rPr>
  </w:style>
  <w:style w:type="paragraph" w:customStyle="1" w:styleId="104">
    <w:name w:val="Char1"/>
    <w:basedOn w:val="1"/>
    <w:qFormat/>
    <w:uiPriority w:val="0"/>
    <w:pPr>
      <w:ind w:firstLine="200"/>
    </w:pPr>
    <w:rPr>
      <w:rFonts w:ascii="宋体" w:hAnsi="宋体" w:cs="宋体"/>
      <w:szCs w:val="24"/>
    </w:rPr>
  </w:style>
  <w:style w:type="paragraph" w:styleId="105">
    <w:name w:val="List Paragraph"/>
    <w:basedOn w:val="1"/>
    <w:qFormat/>
    <w:uiPriority w:val="99"/>
    <w:pPr>
      <w:ind w:firstLine="420"/>
    </w:pPr>
  </w:style>
  <w:style w:type="paragraph" w:customStyle="1" w:styleId="106">
    <w:name w:val="页眉1"/>
    <w:basedOn w:val="1"/>
    <w:next w:val="21"/>
    <w:unhideWhenUsed/>
    <w:qFormat/>
    <w:uiPriority w:val="0"/>
    <w:pPr>
      <w:pBdr>
        <w:bottom w:val="single" w:color="auto" w:sz="6" w:space="1"/>
      </w:pBdr>
      <w:tabs>
        <w:tab w:val="center" w:pos="4153"/>
        <w:tab w:val="right" w:pos="8306"/>
      </w:tabs>
      <w:snapToGrid w:val="0"/>
      <w:spacing w:line="240" w:lineRule="auto"/>
      <w:ind w:firstLine="0" w:firstLineChars="0"/>
      <w:jc w:val="center"/>
    </w:pPr>
    <w:rPr>
      <w:rFonts w:asciiTheme="minorHAnsi" w:hAnsiTheme="minorHAnsi" w:eastAsiaTheme="minorEastAsia" w:cstheme="minorBidi"/>
      <w:sz w:val="18"/>
      <w:szCs w:val="18"/>
    </w:rPr>
  </w:style>
  <w:style w:type="paragraph" w:customStyle="1" w:styleId="107">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08">
    <w:name w:val="Char Char Char1 Char"/>
    <w:basedOn w:val="1"/>
    <w:qFormat/>
    <w:uiPriority w:val="0"/>
    <w:pPr>
      <w:spacing w:line="240" w:lineRule="auto"/>
      <w:ind w:firstLine="0" w:firstLineChars="0"/>
    </w:pPr>
    <w:rPr>
      <w:rFonts w:eastAsia="宋体"/>
      <w:sz w:val="21"/>
      <w:szCs w:val="24"/>
    </w:rPr>
  </w:style>
  <w:style w:type="character" w:customStyle="1" w:styleId="109">
    <w:name w:val="正文首行缩进 2 Char"/>
    <w:basedOn w:val="50"/>
    <w:link w:val="31"/>
    <w:qFormat/>
    <w:uiPriority w:val="0"/>
    <w:rPr>
      <w:rFonts w:eastAsia="仿宋_GB2312"/>
      <w:kern w:val="2"/>
      <w:sz w:val="24"/>
      <w:szCs w:val="22"/>
      <w:lang w:bidi="ar-SA"/>
    </w:rPr>
  </w:style>
  <w:style w:type="character" w:customStyle="1" w:styleId="110">
    <w:name w:val="正文文字 Char"/>
    <w:link w:val="111"/>
    <w:qFormat/>
    <w:uiPriority w:val="0"/>
    <w:rPr>
      <w:kern w:val="2"/>
      <w:sz w:val="28"/>
      <w:szCs w:val="24"/>
    </w:rPr>
  </w:style>
  <w:style w:type="paragraph" w:customStyle="1" w:styleId="111">
    <w:name w:val="正文文字"/>
    <w:basedOn w:val="7"/>
    <w:link w:val="110"/>
    <w:qFormat/>
    <w:uiPriority w:val="0"/>
    <w:pPr>
      <w:widowControl w:val="0"/>
      <w:spacing w:after="0" w:afterAutospacing="0" w:line="560" w:lineRule="exact"/>
      <w:ind w:firstLine="200" w:firstLineChars="200"/>
    </w:pPr>
    <w:rPr>
      <w:sz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3.png"/><Relationship Id="rId17" Type="http://schemas.openxmlformats.org/officeDocument/2006/relationships/image" Target="media/image2.png"/><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0"/>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B979AD-4322-4791-BB2A-182D7B29B940}">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38</Pages>
  <Words>690</Words>
  <Characters>788</Characters>
  <Lines>161</Lines>
  <Paragraphs>45</Paragraphs>
  <TotalTime>3379</TotalTime>
  <ScaleCrop>false</ScaleCrop>
  <LinksUpToDate>false</LinksUpToDate>
  <CharactersWithSpaces>903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2020-07-15T04:27:00Z</dcterms:created>
  <dc:creator>Colin Yu</dc:creator>
  <cp:lastModifiedBy>清欢</cp:lastModifiedBy>
  <cp:lastPrinted>2020-07-16T07:31:00Z</cp:lastPrinted>
  <dcterms:modified xsi:type="dcterms:W3CDTF">2025-10-24T03:00:31Z</dcterms:modified>
  <cp:revision>1322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eyJoZGlkIjoiNThhNDJhYTBlYjZlNTBhNzljMDYxMDRjYmMzODNjYzEiLCJ1c2VySWQiOiI0MDI1ODY0NDcifQ==</vt:lpwstr>
  </property>
  <property fmtid="{D5CDD505-2E9C-101B-9397-08002B2CF9AE}" pid="4" name="ICV">
    <vt:lpwstr>0F83E4C07D2142438BC6226A6F75BD46_12</vt:lpwstr>
  </property>
</Properties>
</file>