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322DF">
      <w:pPr>
        <w:pStyle w:val="2"/>
        <w:rPr>
          <w:rFonts w:hint="eastAsia"/>
        </w:rPr>
      </w:pPr>
    </w:p>
    <w:p w14:paraId="0760C0D4">
      <w:pPr>
        <w:pStyle w:val="2"/>
        <w:rPr>
          <w:rFonts w:hint="eastAsia"/>
        </w:rPr>
      </w:pPr>
    </w:p>
    <w:p w14:paraId="7B4BB49D">
      <w:pPr>
        <w:pStyle w:val="2"/>
        <w:rPr>
          <w:rFonts w:hint="eastAsia"/>
        </w:rPr>
      </w:pPr>
    </w:p>
    <w:p w14:paraId="494E7DCB">
      <w:pPr>
        <w:pStyle w:val="2"/>
        <w:rPr>
          <w:rFonts w:hint="eastAsia"/>
        </w:rPr>
      </w:pPr>
    </w:p>
    <w:p w14:paraId="5B0ADF2E">
      <w:pPr>
        <w:pStyle w:val="2"/>
        <w:rPr>
          <w:rFonts w:hint="eastAsia"/>
        </w:rPr>
      </w:pPr>
    </w:p>
    <w:p w14:paraId="5FA163F8">
      <w:pPr>
        <w:keepNext w:val="0"/>
        <w:keepLines w:val="0"/>
        <w:pageBreakBefore w:val="0"/>
        <w:widowControl/>
        <w:kinsoku/>
        <w:wordWrap/>
        <w:overflowPunct/>
        <w:topLinePunct w:val="0"/>
        <w:autoSpaceDE/>
        <w:autoSpaceDN/>
        <w:bidi w:val="0"/>
        <w:adjustRightInd/>
        <w:snapToGrid/>
        <w:spacing w:line="590" w:lineRule="exact"/>
        <w:ind w:right="159"/>
        <w:jc w:val="both"/>
        <w:textAlignment w:val="auto"/>
        <w:rPr>
          <w:rFonts w:hint="eastAsia" w:ascii="方正公文小标宋" w:hAnsi="方正公文小标宋" w:eastAsia="方正公文小标宋" w:cs="方正公文小标宋"/>
          <w:b w:val="0"/>
          <w:bCs w:val="0"/>
          <w:sz w:val="44"/>
          <w:szCs w:val="44"/>
          <w:highlight w:val="none"/>
        </w:rPr>
      </w:pPr>
    </w:p>
    <w:p w14:paraId="4DA3019D">
      <w:pPr>
        <w:keepNext w:val="0"/>
        <w:keepLines w:val="0"/>
        <w:pageBreakBefore w:val="0"/>
        <w:widowControl/>
        <w:kinsoku/>
        <w:wordWrap/>
        <w:overflowPunct/>
        <w:topLinePunct w:val="0"/>
        <w:autoSpaceDE/>
        <w:autoSpaceDN/>
        <w:bidi w:val="0"/>
        <w:adjustRightInd/>
        <w:snapToGrid/>
        <w:spacing w:line="590" w:lineRule="exact"/>
        <w:ind w:left="102" w:right="159"/>
        <w:jc w:val="center"/>
        <w:textAlignment w:val="auto"/>
        <w:rPr>
          <w:rFonts w:hint="eastAsia" w:ascii="黑体" w:hAnsi="黑体" w:eastAsia="黑体" w:cs="黑体"/>
          <w:b w:val="0"/>
          <w:bCs w:val="0"/>
          <w:sz w:val="52"/>
          <w:szCs w:val="52"/>
          <w:highlight w:val="none"/>
        </w:rPr>
      </w:pPr>
      <w:r>
        <w:rPr>
          <w:rFonts w:hint="eastAsia" w:ascii="黑体" w:hAnsi="黑体" w:eastAsia="黑体" w:cs="黑体"/>
          <w:b w:val="0"/>
          <w:bCs w:val="0"/>
          <w:sz w:val="52"/>
          <w:szCs w:val="52"/>
          <w:highlight w:val="none"/>
        </w:rPr>
        <w:t>兴宁市应急管理“十四五”规划</w:t>
      </w:r>
    </w:p>
    <w:p w14:paraId="1AC55538">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3D8E1F59">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5CCBA27F">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7F4BEB15">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1A70B091">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27C06855">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127C3D51">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1CCFD175">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19F534E2">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67BAF3CA">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6F1792B9">
      <w:pPr>
        <w:pStyle w:val="2"/>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公文小标宋" w:hAnsi="方正公文小标宋" w:eastAsia="方正公文小标宋" w:cs="方正公文小标宋"/>
          <w:b w:val="0"/>
          <w:bCs w:val="0"/>
          <w:sz w:val="44"/>
          <w:szCs w:val="44"/>
          <w:highlight w:val="none"/>
        </w:rPr>
      </w:pPr>
    </w:p>
    <w:p w14:paraId="5AB4BA18">
      <w:pPr>
        <w:pStyle w:val="2"/>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公文小标宋" w:hAnsi="方正公文小标宋" w:eastAsia="方正公文小标宋" w:cs="方正公文小标宋"/>
          <w:b w:val="0"/>
          <w:bCs w:val="0"/>
          <w:sz w:val="44"/>
          <w:szCs w:val="44"/>
          <w:highlight w:val="none"/>
        </w:rPr>
      </w:pPr>
    </w:p>
    <w:p w14:paraId="7072A395">
      <w:pPr>
        <w:pStyle w:val="2"/>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 w:hAnsi="仿宋" w:eastAsia="仿宋" w:cs="仿宋"/>
          <w:b w:val="0"/>
          <w:bCs w:val="0"/>
          <w:sz w:val="40"/>
          <w:szCs w:val="40"/>
          <w:highlight w:val="none"/>
          <w:lang w:eastAsia="zh-CN"/>
        </w:rPr>
      </w:pPr>
      <w:r>
        <w:rPr>
          <w:rFonts w:hint="eastAsia" w:ascii="仿宋" w:hAnsi="仿宋" w:eastAsia="仿宋" w:cs="仿宋"/>
          <w:b w:val="0"/>
          <w:bCs w:val="0"/>
          <w:sz w:val="40"/>
          <w:szCs w:val="40"/>
          <w:highlight w:val="none"/>
          <w:lang w:eastAsia="zh-CN"/>
        </w:rPr>
        <w:t>兴宁市人民政府</w:t>
      </w:r>
    </w:p>
    <w:p w14:paraId="60650AD4">
      <w:pPr>
        <w:pStyle w:val="2"/>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 w:hAnsi="仿宋" w:eastAsia="仿宋" w:cs="仿宋"/>
          <w:b w:val="0"/>
          <w:bCs w:val="0"/>
          <w:sz w:val="40"/>
          <w:szCs w:val="40"/>
          <w:highlight w:val="none"/>
          <w:lang w:val="en-US" w:eastAsia="zh-CN"/>
        </w:rPr>
        <w:sectPr>
          <w:pgSz w:w="11900" w:h="16838"/>
          <w:pgMar w:top="1383" w:right="1497" w:bottom="1372" w:left="1497" w:header="0" w:footer="1077" w:gutter="0"/>
          <w:pgNumType w:fmt="decimal"/>
          <w:cols w:equalWidth="0" w:num="1">
            <w:col w:w="9026"/>
          </w:cols>
        </w:sectPr>
      </w:pPr>
      <w:r>
        <w:rPr>
          <w:rFonts w:hint="eastAsia" w:ascii="仿宋" w:hAnsi="仿宋" w:eastAsia="仿宋" w:cs="仿宋"/>
          <w:b w:val="0"/>
          <w:bCs w:val="0"/>
          <w:sz w:val="40"/>
          <w:szCs w:val="40"/>
          <w:highlight w:val="none"/>
          <w:lang w:val="en-US" w:eastAsia="zh-CN"/>
        </w:rPr>
        <w:t>2022年12月</w:t>
      </w:r>
    </w:p>
    <w:p w14:paraId="72627222">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highlight w:val="none"/>
        </w:rPr>
      </w:pPr>
      <w:r>
        <w:rPr>
          <w:rFonts w:hint="eastAsia" w:ascii="黑体" w:hAnsi="黑体" w:eastAsia="黑体" w:cs="黑体"/>
          <w:sz w:val="44"/>
          <w:szCs w:val="44"/>
          <w:highlight w:val="none"/>
        </w:rPr>
        <w:t>目录</w:t>
      </w:r>
    </w:p>
    <w:p w14:paraId="00347BBE">
      <w:pPr>
        <w:pStyle w:val="6"/>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 w:val="0"/>
          <w:bCs w:val="0"/>
          <w:sz w:val="44"/>
          <w:szCs w:val="44"/>
          <w:highlight w:val="none"/>
        </w:rPr>
        <w:fldChar w:fldCharType="begin"/>
      </w:r>
      <w:r>
        <w:rPr>
          <w:rFonts w:hint="eastAsia" w:ascii="仿宋" w:hAnsi="仿宋" w:eastAsia="仿宋" w:cs="仿宋"/>
          <w:b w:val="0"/>
          <w:bCs w:val="0"/>
          <w:sz w:val="44"/>
          <w:szCs w:val="44"/>
          <w:highlight w:val="none"/>
        </w:rPr>
        <w:instrText xml:space="preserve">TOC \o "1-2" \h \u </w:instrText>
      </w:r>
      <w:r>
        <w:rPr>
          <w:rFonts w:hint="eastAsia" w:ascii="仿宋" w:hAnsi="仿宋" w:eastAsia="仿宋" w:cs="仿宋"/>
          <w:b w:val="0"/>
          <w:bCs w:val="0"/>
          <w:sz w:val="44"/>
          <w:szCs w:val="44"/>
          <w:highlight w:val="none"/>
        </w:rPr>
        <w:fldChar w:fldCharType="separate"/>
      </w: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_Toc25916 </w:instrText>
      </w:r>
      <w:r>
        <w:rPr>
          <w:rFonts w:hint="eastAsia" w:ascii="仿宋" w:hAnsi="仿宋" w:eastAsia="仿宋" w:cs="仿宋"/>
          <w:bCs w:val="0"/>
          <w:sz w:val="32"/>
          <w:szCs w:val="40"/>
          <w:highlight w:val="none"/>
        </w:rPr>
        <w:fldChar w:fldCharType="separate"/>
      </w:r>
      <w:r>
        <w:rPr>
          <w:rFonts w:hint="eastAsia" w:ascii="黑体" w:hAnsi="Calibri" w:eastAsia="黑体" w:cs="Times New Roman"/>
          <w:bCs w:val="0"/>
          <w:sz w:val="32"/>
          <w:szCs w:val="44"/>
          <w:highlight w:val="none"/>
          <w:lang w:eastAsia="zh-CN"/>
        </w:rPr>
        <w:t>一、工作现状和发展形势</w:t>
      </w:r>
      <w:r>
        <w:rPr>
          <w:sz w:val="32"/>
          <w:szCs w:val="32"/>
          <w:highlight w:val="none"/>
        </w:rPr>
        <w:tab/>
      </w:r>
      <w:r>
        <w:rPr>
          <w:sz w:val="32"/>
          <w:szCs w:val="32"/>
          <w:highlight w:val="none"/>
        </w:rPr>
        <w:fldChar w:fldCharType="begin"/>
      </w:r>
      <w:r>
        <w:rPr>
          <w:sz w:val="32"/>
          <w:szCs w:val="32"/>
          <w:highlight w:val="none"/>
        </w:rPr>
        <w:instrText xml:space="preserve"> PAGEREF _Toc25916 \h </w:instrText>
      </w:r>
      <w:r>
        <w:rPr>
          <w:sz w:val="32"/>
          <w:szCs w:val="32"/>
          <w:highlight w:val="none"/>
        </w:rPr>
        <w:fldChar w:fldCharType="separate"/>
      </w:r>
      <w:r>
        <w:rPr>
          <w:sz w:val="32"/>
          <w:szCs w:val="32"/>
          <w:highlight w:val="none"/>
        </w:rPr>
        <w:t>1</w:t>
      </w:r>
      <w:r>
        <w:rPr>
          <w:sz w:val="32"/>
          <w:szCs w:val="32"/>
          <w:highlight w:val="none"/>
        </w:rPr>
        <w:fldChar w:fldCharType="end"/>
      </w:r>
      <w:r>
        <w:rPr>
          <w:rFonts w:hint="eastAsia" w:ascii="仿宋" w:hAnsi="仿宋" w:eastAsia="仿宋" w:cs="仿宋"/>
          <w:bCs w:val="0"/>
          <w:sz w:val="32"/>
          <w:szCs w:val="40"/>
          <w:highlight w:val="none"/>
        </w:rPr>
        <w:fldChar w:fldCharType="end"/>
      </w:r>
    </w:p>
    <w:p w14:paraId="61EB5C77">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_Toc7273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（一）发展基础</w:t>
      </w:r>
      <w:r>
        <w:rPr>
          <w:sz w:val="32"/>
          <w:szCs w:val="32"/>
          <w:highlight w:val="none"/>
        </w:rPr>
        <w:tab/>
      </w:r>
      <w:r>
        <w:rPr>
          <w:sz w:val="32"/>
          <w:szCs w:val="32"/>
          <w:highlight w:val="none"/>
        </w:rPr>
        <w:fldChar w:fldCharType="begin"/>
      </w:r>
      <w:r>
        <w:rPr>
          <w:sz w:val="32"/>
          <w:szCs w:val="32"/>
          <w:highlight w:val="none"/>
        </w:rPr>
        <w:instrText xml:space="preserve"> PAGEREF _Toc7273 \h </w:instrText>
      </w:r>
      <w:r>
        <w:rPr>
          <w:sz w:val="32"/>
          <w:szCs w:val="32"/>
          <w:highlight w:val="none"/>
        </w:rPr>
        <w:fldChar w:fldCharType="separate"/>
      </w:r>
      <w:r>
        <w:rPr>
          <w:sz w:val="32"/>
          <w:szCs w:val="32"/>
          <w:highlight w:val="none"/>
        </w:rPr>
        <w:t>1</w:t>
      </w:r>
      <w:r>
        <w:rPr>
          <w:sz w:val="32"/>
          <w:szCs w:val="32"/>
          <w:highlight w:val="none"/>
        </w:rPr>
        <w:fldChar w:fldCharType="end"/>
      </w:r>
      <w:r>
        <w:rPr>
          <w:rFonts w:hint="eastAsia" w:ascii="仿宋" w:hAnsi="仿宋" w:eastAsia="仿宋" w:cs="仿宋"/>
          <w:bCs w:val="0"/>
          <w:sz w:val="32"/>
          <w:szCs w:val="40"/>
          <w:highlight w:val="none"/>
        </w:rPr>
        <w:fldChar w:fldCharType="end"/>
      </w:r>
    </w:p>
    <w:p w14:paraId="216AB57F">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_Toc23128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（二）面临的问题</w:t>
      </w:r>
      <w:r>
        <w:rPr>
          <w:sz w:val="32"/>
          <w:szCs w:val="32"/>
          <w:highlight w:val="none"/>
        </w:rPr>
        <w:tab/>
      </w:r>
      <w:r>
        <w:rPr>
          <w:sz w:val="32"/>
          <w:szCs w:val="32"/>
          <w:highlight w:val="none"/>
        </w:rPr>
        <w:fldChar w:fldCharType="begin"/>
      </w:r>
      <w:r>
        <w:rPr>
          <w:sz w:val="32"/>
          <w:szCs w:val="32"/>
          <w:highlight w:val="none"/>
        </w:rPr>
        <w:instrText xml:space="preserve"> PAGEREF _Toc23128 \h </w:instrText>
      </w:r>
      <w:r>
        <w:rPr>
          <w:sz w:val="32"/>
          <w:szCs w:val="32"/>
          <w:highlight w:val="none"/>
        </w:rPr>
        <w:fldChar w:fldCharType="separate"/>
      </w:r>
      <w:r>
        <w:rPr>
          <w:sz w:val="32"/>
          <w:szCs w:val="32"/>
          <w:highlight w:val="none"/>
        </w:rPr>
        <w:t>4</w:t>
      </w:r>
      <w:r>
        <w:rPr>
          <w:sz w:val="32"/>
          <w:szCs w:val="32"/>
          <w:highlight w:val="none"/>
        </w:rPr>
        <w:fldChar w:fldCharType="end"/>
      </w:r>
      <w:r>
        <w:rPr>
          <w:rFonts w:hint="eastAsia" w:ascii="仿宋" w:hAnsi="仿宋" w:eastAsia="仿宋" w:cs="仿宋"/>
          <w:bCs w:val="0"/>
          <w:sz w:val="32"/>
          <w:szCs w:val="40"/>
          <w:highlight w:val="none"/>
        </w:rPr>
        <w:fldChar w:fldCharType="end"/>
      </w:r>
    </w:p>
    <w:p w14:paraId="4F0270C0">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_Toc3287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（三）发展形势</w:t>
      </w:r>
      <w:r>
        <w:rPr>
          <w:sz w:val="32"/>
          <w:szCs w:val="32"/>
          <w:highlight w:val="none"/>
        </w:rPr>
        <w:tab/>
      </w:r>
      <w:r>
        <w:rPr>
          <w:sz w:val="32"/>
          <w:szCs w:val="32"/>
          <w:highlight w:val="none"/>
        </w:rPr>
        <w:fldChar w:fldCharType="begin"/>
      </w:r>
      <w:r>
        <w:rPr>
          <w:sz w:val="32"/>
          <w:szCs w:val="32"/>
          <w:highlight w:val="none"/>
        </w:rPr>
        <w:instrText xml:space="preserve"> PAGEREF _Toc3287 \h </w:instrText>
      </w:r>
      <w:r>
        <w:rPr>
          <w:sz w:val="32"/>
          <w:szCs w:val="32"/>
          <w:highlight w:val="none"/>
        </w:rPr>
        <w:fldChar w:fldCharType="separate"/>
      </w:r>
      <w:r>
        <w:rPr>
          <w:sz w:val="32"/>
          <w:szCs w:val="32"/>
          <w:highlight w:val="none"/>
        </w:rPr>
        <w:t>5</w:t>
      </w:r>
      <w:r>
        <w:rPr>
          <w:sz w:val="32"/>
          <w:szCs w:val="32"/>
          <w:highlight w:val="none"/>
        </w:rPr>
        <w:fldChar w:fldCharType="end"/>
      </w:r>
      <w:r>
        <w:rPr>
          <w:rFonts w:hint="eastAsia" w:ascii="仿宋" w:hAnsi="仿宋" w:eastAsia="仿宋" w:cs="仿宋"/>
          <w:bCs w:val="0"/>
          <w:sz w:val="32"/>
          <w:szCs w:val="40"/>
          <w:highlight w:val="none"/>
        </w:rPr>
        <w:fldChar w:fldCharType="end"/>
      </w:r>
    </w:p>
    <w:p w14:paraId="7F3FC456">
      <w:pPr>
        <w:pStyle w:val="6"/>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_Toc11361 </w:instrText>
      </w:r>
      <w:r>
        <w:rPr>
          <w:rFonts w:hint="eastAsia" w:ascii="仿宋" w:hAnsi="仿宋" w:eastAsia="仿宋" w:cs="仿宋"/>
          <w:bCs w:val="0"/>
          <w:sz w:val="32"/>
          <w:szCs w:val="40"/>
          <w:highlight w:val="none"/>
        </w:rPr>
        <w:fldChar w:fldCharType="separate"/>
      </w:r>
      <w:r>
        <w:rPr>
          <w:rFonts w:hint="eastAsia" w:ascii="黑体" w:hAnsi="Calibri" w:eastAsia="黑体"/>
          <w:bCs w:val="0"/>
          <w:sz w:val="32"/>
          <w:szCs w:val="44"/>
          <w:highlight w:val="none"/>
        </w:rPr>
        <w:t>二、指导思想和规划目标</w:t>
      </w:r>
      <w:r>
        <w:rPr>
          <w:sz w:val="32"/>
          <w:szCs w:val="32"/>
          <w:highlight w:val="none"/>
        </w:rPr>
        <w:tab/>
      </w:r>
      <w:r>
        <w:rPr>
          <w:sz w:val="32"/>
          <w:szCs w:val="32"/>
          <w:highlight w:val="none"/>
        </w:rPr>
        <w:fldChar w:fldCharType="begin"/>
      </w:r>
      <w:r>
        <w:rPr>
          <w:sz w:val="32"/>
          <w:szCs w:val="32"/>
          <w:highlight w:val="none"/>
        </w:rPr>
        <w:instrText xml:space="preserve"> PAGEREF _Toc11361 \h </w:instrText>
      </w:r>
      <w:r>
        <w:rPr>
          <w:sz w:val="32"/>
          <w:szCs w:val="32"/>
          <w:highlight w:val="none"/>
        </w:rPr>
        <w:fldChar w:fldCharType="separate"/>
      </w:r>
      <w:r>
        <w:rPr>
          <w:sz w:val="32"/>
          <w:szCs w:val="32"/>
          <w:highlight w:val="none"/>
        </w:rPr>
        <w:t>7</w:t>
      </w:r>
      <w:r>
        <w:rPr>
          <w:sz w:val="32"/>
          <w:szCs w:val="32"/>
          <w:highlight w:val="none"/>
        </w:rPr>
        <w:fldChar w:fldCharType="end"/>
      </w:r>
      <w:r>
        <w:rPr>
          <w:rFonts w:hint="eastAsia" w:ascii="仿宋" w:hAnsi="仿宋" w:eastAsia="仿宋" w:cs="仿宋"/>
          <w:bCs w:val="0"/>
          <w:sz w:val="32"/>
          <w:szCs w:val="40"/>
          <w:highlight w:val="none"/>
        </w:rPr>
        <w:fldChar w:fldCharType="end"/>
      </w:r>
    </w:p>
    <w:p w14:paraId="457C15C7">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_Toc29924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（一）指导思想</w:t>
      </w:r>
      <w:r>
        <w:rPr>
          <w:sz w:val="32"/>
          <w:szCs w:val="32"/>
          <w:highlight w:val="none"/>
        </w:rPr>
        <w:tab/>
      </w:r>
      <w:r>
        <w:rPr>
          <w:sz w:val="32"/>
          <w:szCs w:val="32"/>
          <w:highlight w:val="none"/>
        </w:rPr>
        <w:fldChar w:fldCharType="begin"/>
      </w:r>
      <w:r>
        <w:rPr>
          <w:sz w:val="32"/>
          <w:szCs w:val="32"/>
          <w:highlight w:val="none"/>
        </w:rPr>
        <w:instrText xml:space="preserve"> PAGEREF _Toc29924 \h </w:instrText>
      </w:r>
      <w:r>
        <w:rPr>
          <w:sz w:val="32"/>
          <w:szCs w:val="32"/>
          <w:highlight w:val="none"/>
        </w:rPr>
        <w:fldChar w:fldCharType="separate"/>
      </w:r>
      <w:r>
        <w:rPr>
          <w:sz w:val="32"/>
          <w:szCs w:val="32"/>
          <w:highlight w:val="none"/>
        </w:rPr>
        <w:t>7</w:t>
      </w:r>
      <w:r>
        <w:rPr>
          <w:sz w:val="32"/>
          <w:szCs w:val="32"/>
          <w:highlight w:val="none"/>
        </w:rPr>
        <w:fldChar w:fldCharType="end"/>
      </w:r>
      <w:r>
        <w:rPr>
          <w:rFonts w:hint="eastAsia" w:ascii="仿宋" w:hAnsi="仿宋" w:eastAsia="仿宋" w:cs="仿宋"/>
          <w:bCs w:val="0"/>
          <w:sz w:val="32"/>
          <w:szCs w:val="40"/>
          <w:highlight w:val="none"/>
        </w:rPr>
        <w:fldChar w:fldCharType="end"/>
      </w:r>
    </w:p>
    <w:p w14:paraId="5F142822">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_Toc362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（二）规划目标</w:t>
      </w:r>
      <w:r>
        <w:rPr>
          <w:sz w:val="32"/>
          <w:szCs w:val="32"/>
          <w:highlight w:val="none"/>
        </w:rPr>
        <w:tab/>
      </w:r>
      <w:r>
        <w:rPr>
          <w:sz w:val="32"/>
          <w:szCs w:val="32"/>
          <w:highlight w:val="none"/>
        </w:rPr>
        <w:fldChar w:fldCharType="begin"/>
      </w:r>
      <w:r>
        <w:rPr>
          <w:sz w:val="32"/>
          <w:szCs w:val="32"/>
          <w:highlight w:val="none"/>
        </w:rPr>
        <w:instrText xml:space="preserve"> PAGEREF _Toc362 \h </w:instrText>
      </w:r>
      <w:r>
        <w:rPr>
          <w:sz w:val="32"/>
          <w:szCs w:val="32"/>
          <w:highlight w:val="none"/>
        </w:rPr>
        <w:fldChar w:fldCharType="separate"/>
      </w:r>
      <w:r>
        <w:rPr>
          <w:sz w:val="32"/>
          <w:szCs w:val="32"/>
          <w:highlight w:val="none"/>
        </w:rPr>
        <w:t>8</w:t>
      </w:r>
      <w:r>
        <w:rPr>
          <w:sz w:val="32"/>
          <w:szCs w:val="32"/>
          <w:highlight w:val="none"/>
        </w:rPr>
        <w:fldChar w:fldCharType="end"/>
      </w:r>
      <w:r>
        <w:rPr>
          <w:rFonts w:hint="eastAsia" w:ascii="仿宋" w:hAnsi="仿宋" w:eastAsia="仿宋" w:cs="仿宋"/>
          <w:bCs w:val="0"/>
          <w:sz w:val="32"/>
          <w:szCs w:val="40"/>
          <w:highlight w:val="none"/>
        </w:rPr>
        <w:fldChar w:fldCharType="end"/>
      </w:r>
    </w:p>
    <w:p w14:paraId="6359ED14">
      <w:pPr>
        <w:pStyle w:val="6"/>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_Toc22360 </w:instrText>
      </w:r>
      <w:r>
        <w:rPr>
          <w:rFonts w:hint="eastAsia" w:ascii="仿宋" w:hAnsi="仿宋" w:eastAsia="仿宋" w:cs="仿宋"/>
          <w:bCs w:val="0"/>
          <w:sz w:val="32"/>
          <w:szCs w:val="40"/>
          <w:highlight w:val="none"/>
        </w:rPr>
        <w:fldChar w:fldCharType="separate"/>
      </w:r>
      <w:r>
        <w:rPr>
          <w:rFonts w:hint="eastAsia" w:ascii="黑体" w:hAnsi="黑体" w:eastAsia="黑体" w:cs="黑体"/>
          <w:bCs w:val="0"/>
          <w:sz w:val="32"/>
          <w:szCs w:val="44"/>
          <w:highlight w:val="none"/>
        </w:rPr>
        <w:t>三、工作任务和实施措施</w:t>
      </w:r>
      <w:r>
        <w:rPr>
          <w:sz w:val="32"/>
          <w:szCs w:val="32"/>
          <w:highlight w:val="none"/>
        </w:rPr>
        <w:tab/>
      </w:r>
      <w:r>
        <w:rPr>
          <w:sz w:val="32"/>
          <w:szCs w:val="32"/>
          <w:highlight w:val="none"/>
        </w:rPr>
        <w:fldChar w:fldCharType="begin"/>
      </w:r>
      <w:r>
        <w:rPr>
          <w:sz w:val="32"/>
          <w:szCs w:val="32"/>
          <w:highlight w:val="none"/>
        </w:rPr>
        <w:instrText xml:space="preserve"> PAGEREF _Toc22360 \h </w:instrText>
      </w:r>
      <w:r>
        <w:rPr>
          <w:sz w:val="32"/>
          <w:szCs w:val="32"/>
          <w:highlight w:val="none"/>
        </w:rPr>
        <w:fldChar w:fldCharType="separate"/>
      </w:r>
      <w:r>
        <w:rPr>
          <w:sz w:val="32"/>
          <w:szCs w:val="32"/>
          <w:highlight w:val="none"/>
        </w:rPr>
        <w:t>13</w:t>
      </w:r>
      <w:r>
        <w:rPr>
          <w:sz w:val="32"/>
          <w:szCs w:val="32"/>
          <w:highlight w:val="none"/>
        </w:rPr>
        <w:fldChar w:fldCharType="end"/>
      </w:r>
      <w:r>
        <w:rPr>
          <w:rFonts w:hint="eastAsia" w:ascii="仿宋" w:hAnsi="仿宋" w:eastAsia="仿宋" w:cs="仿宋"/>
          <w:bCs w:val="0"/>
          <w:sz w:val="32"/>
          <w:szCs w:val="40"/>
          <w:highlight w:val="none"/>
        </w:rPr>
        <w:fldChar w:fldCharType="end"/>
      </w:r>
    </w:p>
    <w:p w14:paraId="1E6BA080">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_Toc6653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w:t>
      </w:r>
      <w:r>
        <w:rPr>
          <w:rFonts w:hint="eastAsia" w:ascii="楷体" w:hAnsi="楷体" w:eastAsia="楷体" w:cs="楷体"/>
          <w:bCs w:val="0"/>
          <w:sz w:val="32"/>
          <w:szCs w:val="44"/>
          <w:highlight w:val="none"/>
          <w:lang w:eastAsia="zh-CN"/>
        </w:rPr>
        <w:t>一</w:t>
      </w:r>
      <w:r>
        <w:rPr>
          <w:rFonts w:hint="eastAsia" w:ascii="楷体" w:hAnsi="楷体" w:eastAsia="楷体" w:cs="楷体"/>
          <w:bCs w:val="0"/>
          <w:sz w:val="32"/>
          <w:szCs w:val="44"/>
          <w:highlight w:val="none"/>
        </w:rPr>
        <w:t>）完善应急预案体系，切实提升应急演练质量和实效</w:t>
      </w:r>
      <w:r>
        <w:rPr>
          <w:sz w:val="32"/>
          <w:szCs w:val="32"/>
          <w:highlight w:val="none"/>
        </w:rPr>
        <w:tab/>
      </w:r>
      <w:r>
        <w:rPr>
          <w:sz w:val="32"/>
          <w:szCs w:val="32"/>
          <w:highlight w:val="none"/>
        </w:rPr>
        <w:fldChar w:fldCharType="begin"/>
      </w:r>
      <w:r>
        <w:rPr>
          <w:sz w:val="32"/>
          <w:szCs w:val="32"/>
          <w:highlight w:val="none"/>
        </w:rPr>
        <w:instrText xml:space="preserve"> PAGEREF _Toc6653 \h </w:instrText>
      </w:r>
      <w:r>
        <w:rPr>
          <w:sz w:val="32"/>
          <w:szCs w:val="32"/>
          <w:highlight w:val="none"/>
        </w:rPr>
        <w:fldChar w:fldCharType="separate"/>
      </w:r>
      <w:r>
        <w:rPr>
          <w:sz w:val="32"/>
          <w:szCs w:val="32"/>
          <w:highlight w:val="none"/>
        </w:rPr>
        <w:t>13</w:t>
      </w:r>
      <w:r>
        <w:rPr>
          <w:sz w:val="32"/>
          <w:szCs w:val="32"/>
          <w:highlight w:val="none"/>
        </w:rPr>
        <w:fldChar w:fldCharType="end"/>
      </w:r>
      <w:r>
        <w:rPr>
          <w:rFonts w:hint="eastAsia" w:ascii="仿宋" w:hAnsi="仿宋" w:eastAsia="仿宋" w:cs="仿宋"/>
          <w:bCs w:val="0"/>
          <w:sz w:val="32"/>
          <w:szCs w:val="40"/>
          <w:highlight w:val="none"/>
        </w:rPr>
        <w:fldChar w:fldCharType="end"/>
      </w:r>
    </w:p>
    <w:p w14:paraId="137567B8">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_Toc8182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w:t>
      </w:r>
      <w:r>
        <w:rPr>
          <w:rFonts w:hint="eastAsia" w:ascii="楷体" w:hAnsi="楷体" w:eastAsia="楷体" w:cs="楷体"/>
          <w:bCs w:val="0"/>
          <w:sz w:val="32"/>
          <w:szCs w:val="44"/>
          <w:highlight w:val="none"/>
          <w:lang w:eastAsia="zh-CN"/>
        </w:rPr>
        <w:t>二</w:t>
      </w:r>
      <w:r>
        <w:rPr>
          <w:rFonts w:hint="eastAsia" w:ascii="楷体" w:hAnsi="楷体" w:eastAsia="楷体" w:cs="楷体"/>
          <w:bCs w:val="0"/>
          <w:sz w:val="32"/>
          <w:szCs w:val="44"/>
          <w:highlight w:val="none"/>
        </w:rPr>
        <w:t>）健全完善应急</w:t>
      </w:r>
      <w:r>
        <w:rPr>
          <w:rFonts w:hint="eastAsia" w:ascii="楷体" w:hAnsi="楷体" w:eastAsia="楷体" w:cs="楷体"/>
          <w:bCs w:val="0"/>
          <w:sz w:val="32"/>
          <w:szCs w:val="44"/>
          <w:highlight w:val="none"/>
          <w:lang w:eastAsia="zh-CN"/>
        </w:rPr>
        <w:t>体制</w:t>
      </w:r>
      <w:r>
        <w:rPr>
          <w:rFonts w:hint="eastAsia" w:ascii="楷体" w:hAnsi="楷体" w:eastAsia="楷体" w:cs="楷体"/>
          <w:bCs w:val="0"/>
          <w:sz w:val="32"/>
          <w:szCs w:val="44"/>
          <w:highlight w:val="none"/>
        </w:rPr>
        <w:t>机制，不断提升应急</w:t>
      </w:r>
      <w:r>
        <w:rPr>
          <w:rFonts w:hint="eastAsia" w:ascii="楷体" w:hAnsi="楷体" w:eastAsia="楷体" w:cs="楷体"/>
          <w:bCs w:val="0"/>
          <w:sz w:val="32"/>
          <w:szCs w:val="44"/>
          <w:highlight w:val="none"/>
          <w:lang w:eastAsia="zh-CN"/>
        </w:rPr>
        <w:t>管理</w:t>
      </w:r>
      <w:r>
        <w:rPr>
          <w:rFonts w:hint="eastAsia" w:ascii="楷体" w:hAnsi="楷体" w:eastAsia="楷体" w:cs="楷体"/>
          <w:bCs w:val="0"/>
          <w:sz w:val="32"/>
          <w:szCs w:val="44"/>
          <w:highlight w:val="none"/>
        </w:rPr>
        <w:t>能力</w:t>
      </w:r>
      <w:r>
        <w:rPr>
          <w:sz w:val="32"/>
          <w:szCs w:val="32"/>
          <w:highlight w:val="none"/>
        </w:rPr>
        <w:tab/>
      </w:r>
      <w:r>
        <w:rPr>
          <w:sz w:val="32"/>
          <w:szCs w:val="32"/>
          <w:highlight w:val="none"/>
        </w:rPr>
        <w:fldChar w:fldCharType="begin"/>
      </w:r>
      <w:r>
        <w:rPr>
          <w:sz w:val="32"/>
          <w:szCs w:val="32"/>
          <w:highlight w:val="none"/>
        </w:rPr>
        <w:instrText xml:space="preserve"> PAGEREF _Toc8182 \h </w:instrText>
      </w:r>
      <w:r>
        <w:rPr>
          <w:sz w:val="32"/>
          <w:szCs w:val="32"/>
          <w:highlight w:val="none"/>
        </w:rPr>
        <w:fldChar w:fldCharType="separate"/>
      </w:r>
      <w:r>
        <w:rPr>
          <w:sz w:val="32"/>
          <w:szCs w:val="32"/>
          <w:highlight w:val="none"/>
        </w:rPr>
        <w:t>13</w:t>
      </w:r>
      <w:r>
        <w:rPr>
          <w:sz w:val="32"/>
          <w:szCs w:val="32"/>
          <w:highlight w:val="none"/>
        </w:rPr>
        <w:fldChar w:fldCharType="end"/>
      </w:r>
      <w:r>
        <w:rPr>
          <w:rFonts w:hint="eastAsia" w:ascii="仿宋" w:hAnsi="仿宋" w:eastAsia="仿宋" w:cs="仿宋"/>
          <w:bCs w:val="0"/>
          <w:sz w:val="32"/>
          <w:szCs w:val="40"/>
          <w:highlight w:val="none"/>
        </w:rPr>
        <w:fldChar w:fldCharType="end"/>
      </w:r>
    </w:p>
    <w:p w14:paraId="33F7D216">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_Toc4800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（三）夯实应急法制基础，营造良法善治新形态</w:t>
      </w:r>
      <w:r>
        <w:rPr>
          <w:sz w:val="32"/>
          <w:szCs w:val="32"/>
          <w:highlight w:val="none"/>
        </w:rPr>
        <w:tab/>
      </w:r>
      <w:r>
        <w:rPr>
          <w:sz w:val="32"/>
          <w:szCs w:val="32"/>
          <w:highlight w:val="none"/>
        </w:rPr>
        <w:fldChar w:fldCharType="begin"/>
      </w:r>
      <w:r>
        <w:rPr>
          <w:sz w:val="32"/>
          <w:szCs w:val="32"/>
          <w:highlight w:val="none"/>
        </w:rPr>
        <w:instrText xml:space="preserve"> PAGEREF _Toc4800 \h </w:instrText>
      </w:r>
      <w:r>
        <w:rPr>
          <w:sz w:val="32"/>
          <w:szCs w:val="32"/>
          <w:highlight w:val="none"/>
        </w:rPr>
        <w:fldChar w:fldCharType="separate"/>
      </w:r>
      <w:r>
        <w:rPr>
          <w:sz w:val="32"/>
          <w:szCs w:val="32"/>
          <w:highlight w:val="none"/>
        </w:rPr>
        <w:t>14</w:t>
      </w:r>
      <w:r>
        <w:rPr>
          <w:sz w:val="32"/>
          <w:szCs w:val="32"/>
          <w:highlight w:val="none"/>
        </w:rPr>
        <w:fldChar w:fldCharType="end"/>
      </w:r>
      <w:r>
        <w:rPr>
          <w:rFonts w:hint="eastAsia" w:ascii="仿宋" w:hAnsi="仿宋" w:eastAsia="仿宋" w:cs="仿宋"/>
          <w:bCs w:val="0"/>
          <w:sz w:val="32"/>
          <w:szCs w:val="40"/>
          <w:highlight w:val="none"/>
        </w:rPr>
        <w:fldChar w:fldCharType="end"/>
      </w:r>
    </w:p>
    <w:p w14:paraId="71CD9908">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_Toc8433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w:t>
      </w:r>
      <w:r>
        <w:rPr>
          <w:rFonts w:hint="eastAsia" w:ascii="楷体" w:hAnsi="楷体" w:eastAsia="楷体" w:cs="楷体"/>
          <w:bCs w:val="0"/>
          <w:sz w:val="32"/>
          <w:szCs w:val="44"/>
          <w:highlight w:val="none"/>
          <w:lang w:eastAsia="zh-CN"/>
        </w:rPr>
        <w:t>四</w:t>
      </w:r>
      <w:r>
        <w:rPr>
          <w:rFonts w:hint="eastAsia" w:ascii="楷体" w:hAnsi="楷体" w:eastAsia="楷体" w:cs="楷体"/>
          <w:bCs w:val="0"/>
          <w:sz w:val="32"/>
          <w:szCs w:val="44"/>
          <w:highlight w:val="none"/>
        </w:rPr>
        <w:t>）压实安全生产责任，切实加强安全综合监管工作</w:t>
      </w:r>
      <w:r>
        <w:rPr>
          <w:sz w:val="32"/>
          <w:szCs w:val="32"/>
          <w:highlight w:val="none"/>
        </w:rPr>
        <w:tab/>
      </w:r>
      <w:r>
        <w:rPr>
          <w:sz w:val="32"/>
          <w:szCs w:val="32"/>
          <w:highlight w:val="none"/>
        </w:rPr>
        <w:fldChar w:fldCharType="begin"/>
      </w:r>
      <w:r>
        <w:rPr>
          <w:sz w:val="32"/>
          <w:szCs w:val="32"/>
          <w:highlight w:val="none"/>
        </w:rPr>
        <w:instrText xml:space="preserve"> PAGEREF _Toc8433 \h </w:instrText>
      </w:r>
      <w:r>
        <w:rPr>
          <w:sz w:val="32"/>
          <w:szCs w:val="32"/>
          <w:highlight w:val="none"/>
        </w:rPr>
        <w:fldChar w:fldCharType="separate"/>
      </w:r>
      <w:r>
        <w:rPr>
          <w:sz w:val="32"/>
          <w:szCs w:val="32"/>
          <w:highlight w:val="none"/>
        </w:rPr>
        <w:t>15</w:t>
      </w:r>
      <w:r>
        <w:rPr>
          <w:sz w:val="32"/>
          <w:szCs w:val="32"/>
          <w:highlight w:val="none"/>
        </w:rPr>
        <w:fldChar w:fldCharType="end"/>
      </w:r>
      <w:r>
        <w:rPr>
          <w:rFonts w:hint="eastAsia" w:ascii="仿宋" w:hAnsi="仿宋" w:eastAsia="仿宋" w:cs="仿宋"/>
          <w:bCs w:val="0"/>
          <w:sz w:val="32"/>
          <w:szCs w:val="40"/>
          <w:highlight w:val="none"/>
        </w:rPr>
        <w:fldChar w:fldCharType="end"/>
      </w:r>
    </w:p>
    <w:p w14:paraId="40D2B9A9">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_Toc9377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shd w:val="clear" w:color="auto" w:fill="FFFFFF"/>
        </w:rPr>
        <w:t>（</w:t>
      </w:r>
      <w:r>
        <w:rPr>
          <w:rFonts w:hint="eastAsia" w:ascii="楷体" w:hAnsi="楷体" w:eastAsia="楷体" w:cs="楷体"/>
          <w:bCs w:val="0"/>
          <w:kern w:val="0"/>
          <w:sz w:val="32"/>
          <w:szCs w:val="44"/>
          <w:highlight w:val="none"/>
          <w:shd w:val="clear" w:color="auto" w:fill="FFFFFF"/>
          <w:lang w:eastAsia="zh-CN"/>
        </w:rPr>
        <w:t>五</w:t>
      </w:r>
      <w:r>
        <w:rPr>
          <w:rFonts w:hint="eastAsia" w:ascii="楷体" w:hAnsi="楷体" w:eastAsia="楷体" w:cs="楷体"/>
          <w:bCs w:val="0"/>
          <w:kern w:val="0"/>
          <w:sz w:val="32"/>
          <w:szCs w:val="44"/>
          <w:highlight w:val="none"/>
          <w:shd w:val="clear" w:color="auto" w:fill="FFFFFF"/>
        </w:rPr>
        <w:t>）推进</w:t>
      </w:r>
      <w:r>
        <w:rPr>
          <w:rFonts w:hint="eastAsia" w:ascii="楷体" w:hAnsi="楷体" w:eastAsia="楷体" w:cs="楷体"/>
          <w:bCs w:val="0"/>
          <w:kern w:val="0"/>
          <w:sz w:val="32"/>
          <w:szCs w:val="44"/>
          <w:highlight w:val="none"/>
          <w:shd w:val="clear" w:color="auto" w:fill="FFFFFF"/>
          <w:lang w:eastAsia="zh-CN"/>
        </w:rPr>
        <w:t>森林防灭火基础建设</w:t>
      </w:r>
      <w:r>
        <w:rPr>
          <w:rFonts w:hint="eastAsia" w:ascii="楷体" w:hAnsi="楷体" w:eastAsia="楷体" w:cs="楷体"/>
          <w:bCs w:val="0"/>
          <w:kern w:val="0"/>
          <w:sz w:val="32"/>
          <w:szCs w:val="44"/>
          <w:highlight w:val="none"/>
          <w:shd w:val="clear" w:color="auto" w:fill="FFFFFF"/>
        </w:rPr>
        <w:t>，努力防范火灾事故</w:t>
      </w:r>
      <w:r>
        <w:rPr>
          <w:sz w:val="32"/>
          <w:szCs w:val="32"/>
          <w:highlight w:val="none"/>
        </w:rPr>
        <w:tab/>
      </w:r>
      <w:r>
        <w:rPr>
          <w:sz w:val="32"/>
          <w:szCs w:val="32"/>
          <w:highlight w:val="none"/>
        </w:rPr>
        <w:fldChar w:fldCharType="begin"/>
      </w:r>
      <w:r>
        <w:rPr>
          <w:sz w:val="32"/>
          <w:szCs w:val="32"/>
          <w:highlight w:val="none"/>
        </w:rPr>
        <w:instrText xml:space="preserve"> PAGEREF _Toc9377 \h </w:instrText>
      </w:r>
      <w:r>
        <w:rPr>
          <w:sz w:val="32"/>
          <w:szCs w:val="32"/>
          <w:highlight w:val="none"/>
        </w:rPr>
        <w:fldChar w:fldCharType="separate"/>
      </w:r>
      <w:r>
        <w:rPr>
          <w:sz w:val="32"/>
          <w:szCs w:val="32"/>
          <w:highlight w:val="none"/>
        </w:rPr>
        <w:t>17</w:t>
      </w:r>
      <w:r>
        <w:rPr>
          <w:sz w:val="32"/>
          <w:szCs w:val="32"/>
          <w:highlight w:val="none"/>
        </w:rPr>
        <w:fldChar w:fldCharType="end"/>
      </w:r>
      <w:r>
        <w:rPr>
          <w:rFonts w:hint="eastAsia" w:ascii="仿宋" w:hAnsi="仿宋" w:eastAsia="仿宋" w:cs="仿宋"/>
          <w:bCs w:val="0"/>
          <w:sz w:val="32"/>
          <w:szCs w:val="40"/>
          <w:highlight w:val="none"/>
        </w:rPr>
        <w:fldChar w:fldCharType="end"/>
      </w:r>
    </w:p>
    <w:p w14:paraId="764F8029">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_Toc10493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（六）</w:t>
      </w:r>
      <w:r>
        <w:rPr>
          <w:rFonts w:hint="eastAsia" w:ascii="楷体" w:hAnsi="楷体" w:eastAsia="楷体" w:cs="楷体"/>
          <w:bCs w:val="0"/>
          <w:sz w:val="32"/>
          <w:szCs w:val="44"/>
          <w:highlight w:val="none"/>
        </w:rPr>
        <w:t>强化非煤矿山安全监管，维护矿山安全发展</w:t>
      </w:r>
      <w:r>
        <w:rPr>
          <w:sz w:val="32"/>
          <w:szCs w:val="32"/>
          <w:highlight w:val="none"/>
        </w:rPr>
        <w:tab/>
      </w:r>
      <w:r>
        <w:rPr>
          <w:sz w:val="32"/>
          <w:szCs w:val="32"/>
          <w:highlight w:val="none"/>
        </w:rPr>
        <w:fldChar w:fldCharType="begin"/>
      </w:r>
      <w:r>
        <w:rPr>
          <w:sz w:val="32"/>
          <w:szCs w:val="32"/>
          <w:highlight w:val="none"/>
        </w:rPr>
        <w:instrText xml:space="preserve"> PAGEREF _Toc10493 \h </w:instrText>
      </w:r>
      <w:r>
        <w:rPr>
          <w:sz w:val="32"/>
          <w:szCs w:val="32"/>
          <w:highlight w:val="none"/>
        </w:rPr>
        <w:fldChar w:fldCharType="separate"/>
      </w:r>
      <w:r>
        <w:rPr>
          <w:sz w:val="32"/>
          <w:szCs w:val="32"/>
          <w:highlight w:val="none"/>
        </w:rPr>
        <w:t>18</w:t>
      </w:r>
      <w:r>
        <w:rPr>
          <w:sz w:val="32"/>
          <w:szCs w:val="32"/>
          <w:highlight w:val="none"/>
        </w:rPr>
        <w:fldChar w:fldCharType="end"/>
      </w:r>
      <w:r>
        <w:rPr>
          <w:rFonts w:hint="eastAsia" w:ascii="仿宋" w:hAnsi="仿宋" w:eastAsia="仿宋" w:cs="仿宋"/>
          <w:bCs w:val="0"/>
          <w:sz w:val="32"/>
          <w:szCs w:val="40"/>
          <w:highlight w:val="none"/>
        </w:rPr>
        <w:fldChar w:fldCharType="end"/>
      </w:r>
    </w:p>
    <w:p w14:paraId="313E579C">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both"/>
        <w:textAlignment w:val="auto"/>
        <w:rPr>
          <w:rFonts w:hint="eastAsia" w:ascii="楷体" w:hAnsi="楷体" w:eastAsia="楷体" w:cs="楷体"/>
          <w:bCs w:val="0"/>
          <w:w w:val="100"/>
          <w:sz w:val="32"/>
          <w:szCs w:val="44"/>
          <w:highlight w:val="none"/>
        </w:rPr>
      </w:pPr>
      <w:r>
        <w:rPr>
          <w:rFonts w:hint="eastAsia" w:ascii="仿宋" w:hAnsi="仿宋" w:eastAsia="仿宋" w:cs="仿宋"/>
          <w:bCs w:val="0"/>
          <w:w w:val="100"/>
          <w:sz w:val="32"/>
          <w:szCs w:val="40"/>
          <w:highlight w:val="none"/>
        </w:rPr>
        <w:fldChar w:fldCharType="begin"/>
      </w:r>
      <w:r>
        <w:rPr>
          <w:rFonts w:hint="eastAsia" w:ascii="仿宋" w:hAnsi="仿宋" w:eastAsia="仿宋" w:cs="仿宋"/>
          <w:bCs w:val="0"/>
          <w:w w:val="100"/>
          <w:sz w:val="32"/>
          <w:szCs w:val="40"/>
          <w:highlight w:val="none"/>
        </w:rPr>
        <w:instrText xml:space="preserve"> HYPERLINK \l _Toc24335 </w:instrText>
      </w:r>
      <w:r>
        <w:rPr>
          <w:rFonts w:hint="eastAsia" w:ascii="仿宋" w:hAnsi="仿宋" w:eastAsia="仿宋" w:cs="仿宋"/>
          <w:bCs w:val="0"/>
          <w:w w:val="100"/>
          <w:sz w:val="32"/>
          <w:szCs w:val="40"/>
          <w:highlight w:val="none"/>
        </w:rPr>
        <w:fldChar w:fldCharType="separate"/>
      </w:r>
      <w:r>
        <w:rPr>
          <w:rFonts w:hint="eastAsia" w:ascii="楷体" w:hAnsi="楷体" w:eastAsia="楷体" w:cs="楷体"/>
          <w:bCs w:val="0"/>
          <w:w w:val="100"/>
          <w:sz w:val="32"/>
          <w:szCs w:val="44"/>
          <w:highlight w:val="none"/>
          <w:lang w:val="en-US" w:eastAsia="zh-CN"/>
        </w:rPr>
        <w:t>（</w:t>
      </w:r>
      <w:r>
        <w:rPr>
          <w:rFonts w:hint="eastAsia" w:ascii="楷体" w:hAnsi="楷体" w:eastAsia="楷体" w:cs="楷体"/>
          <w:bCs w:val="0"/>
          <w:w w:val="100"/>
          <w:sz w:val="32"/>
          <w:szCs w:val="44"/>
          <w:highlight w:val="none"/>
          <w:lang w:eastAsia="zh-CN"/>
        </w:rPr>
        <w:t>七</w:t>
      </w:r>
      <w:r>
        <w:rPr>
          <w:rFonts w:hint="eastAsia" w:ascii="楷体" w:hAnsi="楷体" w:eastAsia="楷体" w:cs="楷体"/>
          <w:bCs w:val="0"/>
          <w:w w:val="100"/>
          <w:sz w:val="32"/>
          <w:szCs w:val="44"/>
          <w:highlight w:val="none"/>
        </w:rPr>
        <w:t>）强化危险化学品</w:t>
      </w:r>
      <w:r>
        <w:rPr>
          <w:rFonts w:hint="eastAsia" w:ascii="楷体" w:hAnsi="楷体" w:eastAsia="楷体" w:cs="楷体"/>
          <w:bCs w:val="0"/>
          <w:w w:val="100"/>
          <w:sz w:val="32"/>
          <w:szCs w:val="44"/>
          <w:highlight w:val="none"/>
          <w:lang w:eastAsia="zh-CN"/>
        </w:rPr>
        <w:t>和烟花爆竹</w:t>
      </w:r>
      <w:r>
        <w:rPr>
          <w:rFonts w:hint="eastAsia" w:ascii="楷体" w:hAnsi="楷体" w:eastAsia="楷体" w:cs="楷体"/>
          <w:bCs w:val="0"/>
          <w:w w:val="100"/>
          <w:sz w:val="32"/>
          <w:szCs w:val="44"/>
          <w:highlight w:val="none"/>
        </w:rPr>
        <w:t>安全监管，持续保持安全</w:t>
      </w:r>
    </w:p>
    <w:p w14:paraId="2A550680">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both"/>
        <w:textAlignment w:val="auto"/>
        <w:rPr>
          <w:w w:val="100"/>
          <w:sz w:val="32"/>
          <w:szCs w:val="32"/>
          <w:highlight w:val="none"/>
        </w:rPr>
      </w:pPr>
      <w:r>
        <w:rPr>
          <w:rFonts w:hint="eastAsia" w:ascii="楷体" w:hAnsi="楷体" w:eastAsia="楷体" w:cs="楷体"/>
          <w:bCs w:val="0"/>
          <w:w w:val="100"/>
          <w:sz w:val="32"/>
          <w:szCs w:val="44"/>
          <w:highlight w:val="none"/>
        </w:rPr>
        <w:t>稳定</w:t>
      </w:r>
      <w:r>
        <w:rPr>
          <w:w w:val="100"/>
          <w:sz w:val="32"/>
          <w:szCs w:val="32"/>
          <w:highlight w:val="none"/>
        </w:rPr>
        <w:tab/>
      </w:r>
      <w:r>
        <w:rPr>
          <w:w w:val="100"/>
          <w:sz w:val="32"/>
          <w:szCs w:val="32"/>
          <w:highlight w:val="none"/>
        </w:rPr>
        <w:fldChar w:fldCharType="begin"/>
      </w:r>
      <w:r>
        <w:rPr>
          <w:w w:val="100"/>
          <w:sz w:val="32"/>
          <w:szCs w:val="32"/>
          <w:highlight w:val="none"/>
        </w:rPr>
        <w:instrText xml:space="preserve"> PAGEREF _Toc24335 \h </w:instrText>
      </w:r>
      <w:r>
        <w:rPr>
          <w:w w:val="100"/>
          <w:sz w:val="32"/>
          <w:szCs w:val="32"/>
          <w:highlight w:val="none"/>
        </w:rPr>
        <w:fldChar w:fldCharType="separate"/>
      </w:r>
      <w:r>
        <w:rPr>
          <w:w w:val="100"/>
          <w:sz w:val="32"/>
          <w:szCs w:val="32"/>
          <w:highlight w:val="none"/>
        </w:rPr>
        <w:t>20</w:t>
      </w:r>
      <w:r>
        <w:rPr>
          <w:w w:val="100"/>
          <w:sz w:val="32"/>
          <w:szCs w:val="32"/>
          <w:highlight w:val="none"/>
        </w:rPr>
        <w:fldChar w:fldCharType="end"/>
      </w:r>
      <w:r>
        <w:rPr>
          <w:rFonts w:hint="eastAsia" w:ascii="仿宋" w:hAnsi="仿宋" w:eastAsia="仿宋" w:cs="仿宋"/>
          <w:bCs w:val="0"/>
          <w:w w:val="100"/>
          <w:sz w:val="32"/>
          <w:szCs w:val="40"/>
          <w:highlight w:val="none"/>
        </w:rPr>
        <w:fldChar w:fldCharType="end"/>
      </w:r>
    </w:p>
    <w:p w14:paraId="20C64E9F">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rFonts w:ascii="楷体" w:hAnsi="楷体" w:eastAsia="楷体" w:cs="楷体"/>
          <w:spacing w:val="-1"/>
          <w:w w:val="103"/>
          <w:sz w:val="32"/>
          <w:szCs w:val="44"/>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_Toc24340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（八）</w:t>
      </w:r>
      <w:r>
        <w:rPr>
          <w:rFonts w:hint="eastAsia" w:ascii="楷体" w:hAnsi="楷体" w:eastAsia="楷体" w:cs="楷体"/>
          <w:bCs w:val="0"/>
          <w:w w:val="103"/>
          <w:sz w:val="32"/>
          <w:szCs w:val="44"/>
          <w:highlight w:val="none"/>
          <w:lang w:eastAsia="zh-CN"/>
        </w:rPr>
        <w:t>突出</w:t>
      </w:r>
      <w:r>
        <w:rPr>
          <w:rFonts w:hint="eastAsia" w:ascii="楷体" w:hAnsi="楷体" w:eastAsia="楷体" w:cs="楷体"/>
          <w:bCs w:val="0"/>
          <w:w w:val="103"/>
          <w:sz w:val="32"/>
          <w:szCs w:val="44"/>
          <w:highlight w:val="none"/>
        </w:rPr>
        <w:t>重点行业领域综合治理</w:t>
      </w:r>
      <w:r>
        <w:rPr>
          <w:rFonts w:hint="eastAsia" w:ascii="楷体" w:hAnsi="楷体" w:eastAsia="楷体" w:cs="楷体"/>
          <w:bCs w:val="0"/>
          <w:w w:val="103"/>
          <w:sz w:val="32"/>
          <w:szCs w:val="44"/>
          <w:highlight w:val="none"/>
          <w:lang w:eastAsia="zh-CN"/>
        </w:rPr>
        <w:t>，</w:t>
      </w:r>
      <w:r>
        <w:rPr>
          <w:rFonts w:ascii="楷体" w:hAnsi="楷体" w:eastAsia="楷体" w:cs="楷体"/>
          <w:spacing w:val="6"/>
          <w:w w:val="103"/>
          <w:sz w:val="32"/>
          <w:szCs w:val="44"/>
          <w:highlight w:val="none"/>
        </w:rPr>
        <w:t>有效防范</w:t>
      </w:r>
      <w:r>
        <w:rPr>
          <w:rFonts w:ascii="楷体" w:hAnsi="楷体" w:eastAsia="楷体" w:cs="楷体"/>
          <w:spacing w:val="-1"/>
          <w:w w:val="103"/>
          <w:sz w:val="32"/>
          <w:szCs w:val="44"/>
          <w:highlight w:val="none"/>
        </w:rPr>
        <w:t>化解安全风险</w:t>
      </w:r>
    </w:p>
    <w:p w14:paraId="4F5EEF66">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sz w:val="32"/>
          <w:szCs w:val="32"/>
          <w:highlight w:val="none"/>
        </w:rPr>
        <w:tab/>
      </w:r>
      <w:r>
        <w:rPr>
          <w:sz w:val="32"/>
          <w:szCs w:val="32"/>
          <w:highlight w:val="none"/>
        </w:rPr>
        <w:fldChar w:fldCharType="begin"/>
      </w:r>
      <w:r>
        <w:rPr>
          <w:sz w:val="32"/>
          <w:szCs w:val="32"/>
          <w:highlight w:val="none"/>
        </w:rPr>
        <w:instrText xml:space="preserve"> PAGEREF _Toc24340 \h </w:instrText>
      </w:r>
      <w:r>
        <w:rPr>
          <w:sz w:val="32"/>
          <w:szCs w:val="32"/>
          <w:highlight w:val="none"/>
        </w:rPr>
        <w:fldChar w:fldCharType="separate"/>
      </w:r>
      <w:r>
        <w:rPr>
          <w:sz w:val="32"/>
          <w:szCs w:val="32"/>
          <w:highlight w:val="none"/>
        </w:rPr>
        <w:t>21</w:t>
      </w:r>
      <w:r>
        <w:rPr>
          <w:sz w:val="32"/>
          <w:szCs w:val="32"/>
          <w:highlight w:val="none"/>
        </w:rPr>
        <w:fldChar w:fldCharType="end"/>
      </w:r>
      <w:r>
        <w:rPr>
          <w:rFonts w:hint="eastAsia" w:ascii="仿宋" w:hAnsi="仿宋" w:eastAsia="仿宋" w:cs="仿宋"/>
          <w:bCs w:val="0"/>
          <w:sz w:val="32"/>
          <w:szCs w:val="40"/>
          <w:highlight w:val="none"/>
        </w:rPr>
        <w:fldChar w:fldCharType="end"/>
      </w:r>
    </w:p>
    <w:p w14:paraId="182040C6">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_Toc30023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w:t>
      </w:r>
      <w:r>
        <w:rPr>
          <w:rFonts w:hint="eastAsia" w:ascii="楷体" w:hAnsi="楷体" w:eastAsia="楷体" w:cs="楷体"/>
          <w:bCs w:val="0"/>
          <w:sz w:val="32"/>
          <w:szCs w:val="44"/>
          <w:highlight w:val="none"/>
          <w:lang w:eastAsia="zh-CN"/>
        </w:rPr>
        <w:t>九</w:t>
      </w:r>
      <w:r>
        <w:rPr>
          <w:rFonts w:hint="eastAsia" w:ascii="楷体" w:hAnsi="楷体" w:eastAsia="楷体" w:cs="楷体"/>
          <w:bCs w:val="0"/>
          <w:sz w:val="32"/>
          <w:szCs w:val="44"/>
          <w:highlight w:val="none"/>
        </w:rPr>
        <w:t>）推进防灾减灾救灾工作，随时应对突发自然灾害</w:t>
      </w:r>
      <w:r>
        <w:rPr>
          <w:sz w:val="32"/>
          <w:szCs w:val="32"/>
          <w:highlight w:val="none"/>
        </w:rPr>
        <w:tab/>
      </w:r>
      <w:r>
        <w:rPr>
          <w:sz w:val="32"/>
          <w:szCs w:val="32"/>
          <w:highlight w:val="none"/>
        </w:rPr>
        <w:fldChar w:fldCharType="begin"/>
      </w:r>
      <w:r>
        <w:rPr>
          <w:sz w:val="32"/>
          <w:szCs w:val="32"/>
          <w:highlight w:val="none"/>
        </w:rPr>
        <w:instrText xml:space="preserve"> PAGEREF _Toc30023 \h </w:instrText>
      </w:r>
      <w:r>
        <w:rPr>
          <w:sz w:val="32"/>
          <w:szCs w:val="32"/>
          <w:highlight w:val="none"/>
        </w:rPr>
        <w:fldChar w:fldCharType="separate"/>
      </w:r>
      <w:r>
        <w:rPr>
          <w:sz w:val="32"/>
          <w:szCs w:val="32"/>
          <w:highlight w:val="none"/>
        </w:rPr>
        <w:t>25</w:t>
      </w:r>
      <w:r>
        <w:rPr>
          <w:sz w:val="32"/>
          <w:szCs w:val="32"/>
          <w:highlight w:val="none"/>
        </w:rPr>
        <w:fldChar w:fldCharType="end"/>
      </w:r>
      <w:r>
        <w:rPr>
          <w:rFonts w:hint="eastAsia" w:ascii="仿宋" w:hAnsi="仿宋" w:eastAsia="仿宋" w:cs="仿宋"/>
          <w:bCs w:val="0"/>
          <w:sz w:val="32"/>
          <w:szCs w:val="40"/>
          <w:highlight w:val="none"/>
        </w:rPr>
        <w:fldChar w:fldCharType="end"/>
      </w:r>
    </w:p>
    <w:p w14:paraId="63AF2852">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rFonts w:hint="eastAsia" w:ascii="楷体" w:hAnsi="楷体" w:eastAsia="楷体" w:cs="楷体"/>
          <w:bCs w:val="0"/>
          <w:w w:val="103"/>
          <w:sz w:val="32"/>
          <w:szCs w:val="44"/>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_Toc14621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w:t>
      </w:r>
      <w:r>
        <w:rPr>
          <w:rFonts w:hint="eastAsia" w:ascii="楷体" w:hAnsi="楷体" w:eastAsia="楷体" w:cs="楷体"/>
          <w:bCs w:val="0"/>
          <w:sz w:val="32"/>
          <w:szCs w:val="44"/>
          <w:highlight w:val="none"/>
          <w:lang w:eastAsia="zh-CN"/>
        </w:rPr>
        <w:t>十</w:t>
      </w:r>
      <w:r>
        <w:rPr>
          <w:rFonts w:hint="eastAsia" w:ascii="楷体" w:hAnsi="楷体" w:eastAsia="楷体" w:cs="楷体"/>
          <w:bCs w:val="0"/>
          <w:sz w:val="32"/>
          <w:szCs w:val="44"/>
          <w:highlight w:val="none"/>
        </w:rPr>
        <w:t>）</w:t>
      </w:r>
      <w:r>
        <w:rPr>
          <w:rFonts w:hint="eastAsia" w:ascii="楷体" w:hAnsi="楷体" w:eastAsia="楷体" w:cs="楷体"/>
          <w:bCs w:val="0"/>
          <w:w w:val="103"/>
          <w:sz w:val="32"/>
          <w:szCs w:val="44"/>
          <w:highlight w:val="none"/>
        </w:rPr>
        <w:t>持续开展工贸行业安全治理，不断夯实安全生产基础</w:t>
      </w:r>
    </w:p>
    <w:p w14:paraId="2517C30D">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w w:val="103"/>
          <w:sz w:val="32"/>
          <w:szCs w:val="32"/>
          <w:highlight w:val="none"/>
        </w:rPr>
        <w:tab/>
      </w:r>
      <w:r>
        <w:rPr>
          <w:sz w:val="32"/>
          <w:szCs w:val="32"/>
          <w:highlight w:val="none"/>
        </w:rPr>
        <w:fldChar w:fldCharType="begin"/>
      </w:r>
      <w:r>
        <w:rPr>
          <w:sz w:val="32"/>
          <w:szCs w:val="32"/>
          <w:highlight w:val="none"/>
        </w:rPr>
        <w:instrText xml:space="preserve"> PAGEREF _Toc14621 \h </w:instrText>
      </w:r>
      <w:r>
        <w:rPr>
          <w:sz w:val="32"/>
          <w:szCs w:val="32"/>
          <w:highlight w:val="none"/>
        </w:rPr>
        <w:fldChar w:fldCharType="separate"/>
      </w:r>
      <w:r>
        <w:rPr>
          <w:sz w:val="32"/>
          <w:szCs w:val="32"/>
          <w:highlight w:val="none"/>
        </w:rPr>
        <w:t>27</w:t>
      </w:r>
      <w:r>
        <w:rPr>
          <w:sz w:val="32"/>
          <w:szCs w:val="32"/>
          <w:highlight w:val="none"/>
        </w:rPr>
        <w:fldChar w:fldCharType="end"/>
      </w:r>
      <w:r>
        <w:rPr>
          <w:rFonts w:hint="eastAsia" w:ascii="仿宋" w:hAnsi="仿宋" w:eastAsia="仿宋" w:cs="仿宋"/>
          <w:bCs w:val="0"/>
          <w:sz w:val="32"/>
          <w:szCs w:val="40"/>
          <w:highlight w:val="none"/>
        </w:rPr>
        <w:fldChar w:fldCharType="end"/>
      </w:r>
    </w:p>
    <w:p w14:paraId="2A383F99">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rFonts w:hint="eastAsia" w:ascii="楷体" w:hAnsi="楷体" w:eastAsia="楷体" w:cs="楷体"/>
          <w:bCs w:val="0"/>
          <w:sz w:val="32"/>
          <w:szCs w:val="44"/>
          <w:highlight w:val="none"/>
          <w:lang w:eastAsia="zh-CN"/>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_Toc16063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（十一）不断推进"四个一"和"十个有”建设，筑牢镇村两级</w:t>
      </w:r>
    </w:p>
    <w:p w14:paraId="481261DF">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楷体" w:hAnsi="楷体" w:eastAsia="楷体" w:cs="楷体"/>
          <w:bCs w:val="0"/>
          <w:sz w:val="32"/>
          <w:szCs w:val="44"/>
          <w:highlight w:val="none"/>
          <w:lang w:eastAsia="zh-CN"/>
        </w:rPr>
        <w:t>应急管理基础</w:t>
      </w:r>
      <w:r>
        <w:rPr>
          <w:sz w:val="32"/>
          <w:szCs w:val="32"/>
          <w:highlight w:val="none"/>
        </w:rPr>
        <w:tab/>
      </w:r>
      <w:r>
        <w:rPr>
          <w:sz w:val="32"/>
          <w:szCs w:val="32"/>
          <w:highlight w:val="none"/>
        </w:rPr>
        <w:fldChar w:fldCharType="begin"/>
      </w:r>
      <w:r>
        <w:rPr>
          <w:sz w:val="32"/>
          <w:szCs w:val="32"/>
          <w:highlight w:val="none"/>
        </w:rPr>
        <w:instrText xml:space="preserve"> PAGEREF _Toc16063 \h </w:instrText>
      </w:r>
      <w:r>
        <w:rPr>
          <w:sz w:val="32"/>
          <w:szCs w:val="32"/>
          <w:highlight w:val="none"/>
        </w:rPr>
        <w:fldChar w:fldCharType="separate"/>
      </w:r>
      <w:r>
        <w:rPr>
          <w:sz w:val="32"/>
          <w:szCs w:val="32"/>
          <w:highlight w:val="none"/>
        </w:rPr>
        <w:t>28</w:t>
      </w:r>
      <w:r>
        <w:rPr>
          <w:sz w:val="32"/>
          <w:szCs w:val="32"/>
          <w:highlight w:val="none"/>
        </w:rPr>
        <w:fldChar w:fldCharType="end"/>
      </w:r>
      <w:r>
        <w:rPr>
          <w:rFonts w:hint="eastAsia" w:ascii="仿宋" w:hAnsi="仿宋" w:eastAsia="仿宋" w:cs="仿宋"/>
          <w:bCs w:val="0"/>
          <w:sz w:val="32"/>
          <w:szCs w:val="40"/>
          <w:highlight w:val="none"/>
        </w:rPr>
        <w:fldChar w:fldCharType="end"/>
      </w:r>
    </w:p>
    <w:p w14:paraId="0B58962E">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_Toc19738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w:t>
      </w:r>
      <w:r>
        <w:rPr>
          <w:rFonts w:hint="eastAsia" w:ascii="楷体" w:hAnsi="楷体" w:eastAsia="楷体" w:cs="楷体"/>
          <w:bCs w:val="0"/>
          <w:sz w:val="32"/>
          <w:szCs w:val="44"/>
          <w:highlight w:val="none"/>
          <w:lang w:eastAsia="zh-CN"/>
        </w:rPr>
        <w:t>十二</w:t>
      </w:r>
      <w:r>
        <w:rPr>
          <w:rFonts w:hint="eastAsia" w:ascii="楷体" w:hAnsi="楷体" w:eastAsia="楷体" w:cs="楷体"/>
          <w:bCs w:val="0"/>
          <w:sz w:val="32"/>
          <w:szCs w:val="44"/>
          <w:highlight w:val="none"/>
        </w:rPr>
        <w:t>）加强执法队伍建设，不断提升安全生产执法效能</w:t>
      </w:r>
      <w:r>
        <w:rPr>
          <w:sz w:val="32"/>
          <w:szCs w:val="32"/>
          <w:highlight w:val="none"/>
        </w:rPr>
        <w:tab/>
      </w:r>
      <w:r>
        <w:rPr>
          <w:sz w:val="32"/>
          <w:szCs w:val="32"/>
          <w:highlight w:val="none"/>
        </w:rPr>
        <w:fldChar w:fldCharType="begin"/>
      </w:r>
      <w:r>
        <w:rPr>
          <w:sz w:val="32"/>
          <w:szCs w:val="32"/>
          <w:highlight w:val="none"/>
        </w:rPr>
        <w:instrText xml:space="preserve"> PAGEREF _Toc19738 \h </w:instrText>
      </w:r>
      <w:r>
        <w:rPr>
          <w:sz w:val="32"/>
          <w:szCs w:val="32"/>
          <w:highlight w:val="none"/>
        </w:rPr>
        <w:fldChar w:fldCharType="separate"/>
      </w:r>
      <w:r>
        <w:rPr>
          <w:sz w:val="32"/>
          <w:szCs w:val="32"/>
          <w:highlight w:val="none"/>
        </w:rPr>
        <w:t>29</w:t>
      </w:r>
      <w:r>
        <w:rPr>
          <w:sz w:val="32"/>
          <w:szCs w:val="32"/>
          <w:highlight w:val="none"/>
        </w:rPr>
        <w:fldChar w:fldCharType="end"/>
      </w:r>
      <w:r>
        <w:rPr>
          <w:rFonts w:hint="eastAsia" w:ascii="仿宋" w:hAnsi="仿宋" w:eastAsia="仿宋" w:cs="仿宋"/>
          <w:bCs w:val="0"/>
          <w:sz w:val="32"/>
          <w:szCs w:val="40"/>
          <w:highlight w:val="none"/>
        </w:rPr>
        <w:fldChar w:fldCharType="end"/>
      </w:r>
    </w:p>
    <w:p w14:paraId="6D777267">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rFonts w:hint="eastAsia" w:ascii="楷体" w:hAnsi="楷体" w:eastAsia="楷体" w:cs="楷体"/>
          <w:bCs w:val="0"/>
          <w:sz w:val="32"/>
          <w:szCs w:val="44"/>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_Toc19509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（十</w:t>
      </w:r>
      <w:r>
        <w:rPr>
          <w:rFonts w:hint="eastAsia" w:ascii="楷体" w:hAnsi="楷体" w:eastAsia="楷体" w:cs="楷体"/>
          <w:bCs w:val="0"/>
          <w:sz w:val="32"/>
          <w:szCs w:val="44"/>
          <w:highlight w:val="none"/>
          <w:lang w:eastAsia="zh-CN"/>
        </w:rPr>
        <w:t>三</w:t>
      </w:r>
      <w:r>
        <w:rPr>
          <w:rFonts w:hint="eastAsia" w:ascii="楷体" w:hAnsi="楷体" w:eastAsia="楷体" w:cs="楷体"/>
          <w:bCs w:val="0"/>
          <w:sz w:val="32"/>
          <w:szCs w:val="44"/>
          <w:highlight w:val="none"/>
        </w:rPr>
        <w:t>）加快推进科技信息化建设，不断提升应急管理科技</w:t>
      </w:r>
    </w:p>
    <w:p w14:paraId="6CD6EEC5">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楷体" w:hAnsi="楷体" w:eastAsia="楷体" w:cs="楷体"/>
          <w:bCs w:val="0"/>
          <w:sz w:val="32"/>
          <w:szCs w:val="44"/>
          <w:highlight w:val="none"/>
          <w:lang w:eastAsia="zh-CN"/>
        </w:rPr>
        <w:t>信</w:t>
      </w:r>
      <w:r>
        <w:rPr>
          <w:rFonts w:hint="eastAsia" w:ascii="楷体" w:hAnsi="楷体" w:eastAsia="楷体" w:cs="楷体"/>
          <w:bCs w:val="0"/>
          <w:sz w:val="32"/>
          <w:szCs w:val="44"/>
          <w:highlight w:val="none"/>
        </w:rPr>
        <w:t>息化水平 </w:t>
      </w:r>
      <w:r>
        <w:rPr>
          <w:sz w:val="32"/>
          <w:szCs w:val="32"/>
          <w:highlight w:val="none"/>
        </w:rPr>
        <w:tab/>
      </w:r>
      <w:r>
        <w:rPr>
          <w:sz w:val="32"/>
          <w:szCs w:val="32"/>
          <w:highlight w:val="none"/>
        </w:rPr>
        <w:fldChar w:fldCharType="begin"/>
      </w:r>
      <w:r>
        <w:rPr>
          <w:sz w:val="32"/>
          <w:szCs w:val="32"/>
          <w:highlight w:val="none"/>
        </w:rPr>
        <w:instrText xml:space="preserve"> PAGEREF _Toc19509 \h </w:instrText>
      </w:r>
      <w:r>
        <w:rPr>
          <w:sz w:val="32"/>
          <w:szCs w:val="32"/>
          <w:highlight w:val="none"/>
        </w:rPr>
        <w:fldChar w:fldCharType="separate"/>
      </w:r>
      <w:r>
        <w:rPr>
          <w:sz w:val="32"/>
          <w:szCs w:val="32"/>
          <w:highlight w:val="none"/>
        </w:rPr>
        <w:t>29</w:t>
      </w:r>
      <w:r>
        <w:rPr>
          <w:sz w:val="32"/>
          <w:szCs w:val="32"/>
          <w:highlight w:val="none"/>
        </w:rPr>
        <w:fldChar w:fldCharType="end"/>
      </w:r>
      <w:r>
        <w:rPr>
          <w:rFonts w:hint="eastAsia" w:ascii="仿宋" w:hAnsi="仿宋" w:eastAsia="仿宋" w:cs="仿宋"/>
          <w:bCs w:val="0"/>
          <w:sz w:val="32"/>
          <w:szCs w:val="40"/>
          <w:highlight w:val="none"/>
        </w:rPr>
        <w:fldChar w:fldCharType="end"/>
      </w:r>
    </w:p>
    <w:p w14:paraId="52FB6123">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_Toc30863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（十</w:t>
      </w:r>
      <w:r>
        <w:rPr>
          <w:rFonts w:hint="eastAsia" w:ascii="楷体" w:hAnsi="楷体" w:eastAsia="楷体" w:cs="楷体"/>
          <w:bCs w:val="0"/>
          <w:sz w:val="32"/>
          <w:szCs w:val="44"/>
          <w:highlight w:val="none"/>
          <w:lang w:eastAsia="zh-CN"/>
        </w:rPr>
        <w:t>四</w:t>
      </w:r>
      <w:r>
        <w:rPr>
          <w:rFonts w:hint="eastAsia" w:ascii="楷体" w:hAnsi="楷体" w:eastAsia="楷体" w:cs="楷体"/>
          <w:bCs w:val="0"/>
          <w:sz w:val="32"/>
          <w:szCs w:val="44"/>
          <w:highlight w:val="none"/>
        </w:rPr>
        <w:t>）加强宣</w:t>
      </w:r>
      <w:r>
        <w:rPr>
          <w:rFonts w:hint="eastAsia" w:ascii="楷体" w:hAnsi="楷体" w:eastAsia="楷体" w:cs="楷体"/>
          <w:bCs w:val="0"/>
          <w:sz w:val="32"/>
          <w:szCs w:val="44"/>
          <w:highlight w:val="none"/>
          <w:lang w:eastAsia="zh-CN"/>
        </w:rPr>
        <w:t>教</w:t>
      </w:r>
      <w:r>
        <w:rPr>
          <w:rFonts w:hint="eastAsia" w:ascii="楷体" w:hAnsi="楷体" w:eastAsia="楷体" w:cs="楷体"/>
          <w:bCs w:val="0"/>
          <w:sz w:val="32"/>
          <w:szCs w:val="44"/>
          <w:highlight w:val="none"/>
        </w:rPr>
        <w:t>培训，全力提升应急管理意识和能力</w:t>
      </w:r>
      <w:r>
        <w:rPr>
          <w:sz w:val="32"/>
          <w:szCs w:val="32"/>
          <w:highlight w:val="none"/>
        </w:rPr>
        <w:tab/>
      </w:r>
      <w:r>
        <w:rPr>
          <w:sz w:val="32"/>
          <w:szCs w:val="32"/>
          <w:highlight w:val="none"/>
        </w:rPr>
        <w:fldChar w:fldCharType="begin"/>
      </w:r>
      <w:r>
        <w:rPr>
          <w:sz w:val="32"/>
          <w:szCs w:val="32"/>
          <w:highlight w:val="none"/>
        </w:rPr>
        <w:instrText xml:space="preserve"> PAGEREF _Toc30863 \h </w:instrText>
      </w:r>
      <w:r>
        <w:rPr>
          <w:sz w:val="32"/>
          <w:szCs w:val="32"/>
          <w:highlight w:val="none"/>
        </w:rPr>
        <w:fldChar w:fldCharType="separate"/>
      </w:r>
      <w:r>
        <w:rPr>
          <w:sz w:val="32"/>
          <w:szCs w:val="32"/>
          <w:highlight w:val="none"/>
        </w:rPr>
        <w:t>30</w:t>
      </w:r>
      <w:r>
        <w:rPr>
          <w:sz w:val="32"/>
          <w:szCs w:val="32"/>
          <w:highlight w:val="none"/>
        </w:rPr>
        <w:fldChar w:fldCharType="end"/>
      </w:r>
      <w:r>
        <w:rPr>
          <w:rFonts w:hint="eastAsia" w:ascii="仿宋" w:hAnsi="仿宋" w:eastAsia="仿宋" w:cs="仿宋"/>
          <w:bCs w:val="0"/>
          <w:sz w:val="32"/>
          <w:szCs w:val="40"/>
          <w:highlight w:val="none"/>
        </w:rPr>
        <w:fldChar w:fldCharType="end"/>
      </w:r>
    </w:p>
    <w:p w14:paraId="70890AFF">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_Toc15854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rPr>
        <w:t>（十</w:t>
      </w:r>
      <w:r>
        <w:rPr>
          <w:rFonts w:hint="eastAsia" w:ascii="楷体" w:hAnsi="楷体" w:eastAsia="楷体" w:cs="楷体"/>
          <w:bCs w:val="0"/>
          <w:sz w:val="32"/>
          <w:szCs w:val="44"/>
          <w:highlight w:val="none"/>
          <w:lang w:eastAsia="zh-CN"/>
        </w:rPr>
        <w:t>五</w:t>
      </w:r>
      <w:r>
        <w:rPr>
          <w:rFonts w:hint="eastAsia" w:ascii="楷体" w:hAnsi="楷体" w:eastAsia="楷体" w:cs="楷体"/>
          <w:bCs w:val="0"/>
          <w:sz w:val="32"/>
          <w:szCs w:val="44"/>
          <w:highlight w:val="none"/>
        </w:rPr>
        <w:t>）加强应急管理队伍建设，打造过硬应急管理队伍</w:t>
      </w:r>
      <w:r>
        <w:rPr>
          <w:sz w:val="32"/>
          <w:szCs w:val="32"/>
          <w:highlight w:val="none"/>
        </w:rPr>
        <w:tab/>
      </w:r>
      <w:r>
        <w:rPr>
          <w:sz w:val="32"/>
          <w:szCs w:val="32"/>
          <w:highlight w:val="none"/>
        </w:rPr>
        <w:fldChar w:fldCharType="begin"/>
      </w:r>
      <w:r>
        <w:rPr>
          <w:sz w:val="32"/>
          <w:szCs w:val="32"/>
          <w:highlight w:val="none"/>
        </w:rPr>
        <w:instrText xml:space="preserve"> PAGEREF _Toc15854 \h </w:instrText>
      </w:r>
      <w:r>
        <w:rPr>
          <w:sz w:val="32"/>
          <w:szCs w:val="32"/>
          <w:highlight w:val="none"/>
        </w:rPr>
        <w:fldChar w:fldCharType="separate"/>
      </w:r>
      <w:r>
        <w:rPr>
          <w:sz w:val="32"/>
          <w:szCs w:val="32"/>
          <w:highlight w:val="none"/>
        </w:rPr>
        <w:t>31</w:t>
      </w:r>
      <w:r>
        <w:rPr>
          <w:sz w:val="32"/>
          <w:szCs w:val="32"/>
          <w:highlight w:val="none"/>
        </w:rPr>
        <w:fldChar w:fldCharType="end"/>
      </w:r>
      <w:r>
        <w:rPr>
          <w:rFonts w:hint="eastAsia" w:ascii="仿宋" w:hAnsi="仿宋" w:eastAsia="仿宋" w:cs="仿宋"/>
          <w:bCs w:val="0"/>
          <w:sz w:val="32"/>
          <w:szCs w:val="40"/>
          <w:highlight w:val="none"/>
        </w:rPr>
        <w:fldChar w:fldCharType="end"/>
      </w:r>
    </w:p>
    <w:p w14:paraId="77771710">
      <w:pPr>
        <w:pStyle w:val="6"/>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_Toc30774 </w:instrText>
      </w:r>
      <w:r>
        <w:rPr>
          <w:rFonts w:hint="eastAsia" w:ascii="仿宋" w:hAnsi="仿宋" w:eastAsia="仿宋" w:cs="仿宋"/>
          <w:bCs w:val="0"/>
          <w:sz w:val="32"/>
          <w:szCs w:val="40"/>
          <w:highlight w:val="none"/>
        </w:rPr>
        <w:fldChar w:fldCharType="separate"/>
      </w:r>
      <w:r>
        <w:rPr>
          <w:rFonts w:hint="eastAsia" w:ascii="黑体" w:hAnsi="Calibri" w:eastAsia="黑体" w:cs="Times New Roman"/>
          <w:bCs w:val="0"/>
          <w:sz w:val="32"/>
          <w:szCs w:val="44"/>
          <w:highlight w:val="none"/>
        </w:rPr>
        <w:t>四、重点工程</w:t>
      </w:r>
      <w:r>
        <w:rPr>
          <w:sz w:val="32"/>
          <w:szCs w:val="32"/>
          <w:highlight w:val="none"/>
        </w:rPr>
        <w:tab/>
      </w:r>
      <w:r>
        <w:rPr>
          <w:sz w:val="32"/>
          <w:szCs w:val="32"/>
          <w:highlight w:val="none"/>
        </w:rPr>
        <w:fldChar w:fldCharType="begin"/>
      </w:r>
      <w:r>
        <w:rPr>
          <w:sz w:val="32"/>
          <w:szCs w:val="32"/>
          <w:highlight w:val="none"/>
        </w:rPr>
        <w:instrText xml:space="preserve"> PAGEREF _Toc30774 \h </w:instrText>
      </w:r>
      <w:r>
        <w:rPr>
          <w:sz w:val="32"/>
          <w:szCs w:val="32"/>
          <w:highlight w:val="none"/>
        </w:rPr>
        <w:fldChar w:fldCharType="separate"/>
      </w:r>
      <w:r>
        <w:rPr>
          <w:sz w:val="32"/>
          <w:szCs w:val="32"/>
          <w:highlight w:val="none"/>
        </w:rPr>
        <w:t>31</w:t>
      </w:r>
      <w:r>
        <w:rPr>
          <w:sz w:val="32"/>
          <w:szCs w:val="32"/>
          <w:highlight w:val="none"/>
        </w:rPr>
        <w:fldChar w:fldCharType="end"/>
      </w:r>
      <w:r>
        <w:rPr>
          <w:rFonts w:hint="eastAsia" w:ascii="仿宋" w:hAnsi="仿宋" w:eastAsia="仿宋" w:cs="仿宋"/>
          <w:bCs w:val="0"/>
          <w:sz w:val="32"/>
          <w:szCs w:val="40"/>
          <w:highlight w:val="none"/>
        </w:rPr>
        <w:fldChar w:fldCharType="end"/>
      </w:r>
    </w:p>
    <w:p w14:paraId="7558E21F">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_Toc11556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rPr>
        <w:t>（一）地质灾害防治重大工程</w:t>
      </w:r>
      <w:r>
        <w:rPr>
          <w:sz w:val="32"/>
          <w:szCs w:val="32"/>
          <w:highlight w:val="none"/>
        </w:rPr>
        <w:tab/>
      </w:r>
      <w:r>
        <w:rPr>
          <w:sz w:val="32"/>
          <w:szCs w:val="32"/>
          <w:highlight w:val="none"/>
        </w:rPr>
        <w:fldChar w:fldCharType="begin"/>
      </w:r>
      <w:r>
        <w:rPr>
          <w:sz w:val="32"/>
          <w:szCs w:val="32"/>
          <w:highlight w:val="none"/>
        </w:rPr>
        <w:instrText xml:space="preserve"> PAGEREF _Toc11556 \h </w:instrText>
      </w:r>
      <w:r>
        <w:rPr>
          <w:sz w:val="32"/>
          <w:szCs w:val="32"/>
          <w:highlight w:val="none"/>
        </w:rPr>
        <w:fldChar w:fldCharType="separate"/>
      </w:r>
      <w:r>
        <w:rPr>
          <w:sz w:val="32"/>
          <w:szCs w:val="32"/>
          <w:highlight w:val="none"/>
        </w:rPr>
        <w:t>31</w:t>
      </w:r>
      <w:r>
        <w:rPr>
          <w:sz w:val="32"/>
          <w:szCs w:val="32"/>
          <w:highlight w:val="none"/>
        </w:rPr>
        <w:fldChar w:fldCharType="end"/>
      </w:r>
      <w:r>
        <w:rPr>
          <w:rFonts w:hint="eastAsia" w:ascii="仿宋" w:hAnsi="仿宋" w:eastAsia="仿宋" w:cs="仿宋"/>
          <w:bCs w:val="0"/>
          <w:sz w:val="32"/>
          <w:szCs w:val="40"/>
          <w:highlight w:val="none"/>
        </w:rPr>
        <w:fldChar w:fldCharType="end"/>
      </w:r>
    </w:p>
    <w:p w14:paraId="3219293E">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_Toc6716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rPr>
        <w:t>（二）防汛抗旱重大工程</w:t>
      </w:r>
      <w:r>
        <w:rPr>
          <w:sz w:val="32"/>
          <w:szCs w:val="32"/>
          <w:highlight w:val="none"/>
        </w:rPr>
        <w:tab/>
      </w:r>
      <w:r>
        <w:rPr>
          <w:sz w:val="32"/>
          <w:szCs w:val="32"/>
          <w:highlight w:val="none"/>
        </w:rPr>
        <w:fldChar w:fldCharType="begin"/>
      </w:r>
      <w:r>
        <w:rPr>
          <w:sz w:val="32"/>
          <w:szCs w:val="32"/>
          <w:highlight w:val="none"/>
        </w:rPr>
        <w:instrText xml:space="preserve"> PAGEREF _Toc6716 \h </w:instrText>
      </w:r>
      <w:r>
        <w:rPr>
          <w:sz w:val="32"/>
          <w:szCs w:val="32"/>
          <w:highlight w:val="none"/>
        </w:rPr>
        <w:fldChar w:fldCharType="separate"/>
      </w:r>
      <w:r>
        <w:rPr>
          <w:sz w:val="32"/>
          <w:szCs w:val="32"/>
          <w:highlight w:val="none"/>
        </w:rPr>
        <w:t>32</w:t>
      </w:r>
      <w:r>
        <w:rPr>
          <w:sz w:val="32"/>
          <w:szCs w:val="32"/>
          <w:highlight w:val="none"/>
        </w:rPr>
        <w:fldChar w:fldCharType="end"/>
      </w:r>
      <w:r>
        <w:rPr>
          <w:rFonts w:hint="eastAsia" w:ascii="仿宋" w:hAnsi="仿宋" w:eastAsia="仿宋" w:cs="仿宋"/>
          <w:bCs w:val="0"/>
          <w:sz w:val="32"/>
          <w:szCs w:val="40"/>
          <w:highlight w:val="none"/>
        </w:rPr>
        <w:fldChar w:fldCharType="end"/>
      </w:r>
    </w:p>
    <w:p w14:paraId="04B7FC1D">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_Toc18872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lang w:val="en-US" w:eastAsia="zh-CN" w:bidi="ar-SA"/>
        </w:rPr>
        <w:t>（三）气象灾害防御重大工程</w:t>
      </w:r>
      <w:r>
        <w:rPr>
          <w:sz w:val="32"/>
          <w:szCs w:val="32"/>
          <w:highlight w:val="none"/>
        </w:rPr>
        <w:tab/>
      </w:r>
      <w:r>
        <w:rPr>
          <w:sz w:val="32"/>
          <w:szCs w:val="32"/>
          <w:highlight w:val="none"/>
        </w:rPr>
        <w:fldChar w:fldCharType="begin"/>
      </w:r>
      <w:r>
        <w:rPr>
          <w:sz w:val="32"/>
          <w:szCs w:val="32"/>
          <w:highlight w:val="none"/>
        </w:rPr>
        <w:instrText xml:space="preserve"> PAGEREF _Toc18872 \h </w:instrText>
      </w:r>
      <w:r>
        <w:rPr>
          <w:sz w:val="32"/>
          <w:szCs w:val="32"/>
          <w:highlight w:val="none"/>
        </w:rPr>
        <w:fldChar w:fldCharType="separate"/>
      </w:r>
      <w:r>
        <w:rPr>
          <w:sz w:val="32"/>
          <w:szCs w:val="32"/>
          <w:highlight w:val="none"/>
        </w:rPr>
        <w:t>33</w:t>
      </w:r>
      <w:r>
        <w:rPr>
          <w:sz w:val="32"/>
          <w:szCs w:val="32"/>
          <w:highlight w:val="none"/>
        </w:rPr>
        <w:fldChar w:fldCharType="end"/>
      </w:r>
      <w:r>
        <w:rPr>
          <w:rFonts w:hint="eastAsia" w:ascii="仿宋" w:hAnsi="仿宋" w:eastAsia="仿宋" w:cs="仿宋"/>
          <w:bCs w:val="0"/>
          <w:sz w:val="32"/>
          <w:szCs w:val="40"/>
          <w:highlight w:val="none"/>
        </w:rPr>
        <w:fldChar w:fldCharType="end"/>
      </w:r>
    </w:p>
    <w:p w14:paraId="2B0CBCF5">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_Toc18343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rPr>
        <w:t>（四）防震减灾重大工程</w:t>
      </w:r>
      <w:r>
        <w:rPr>
          <w:sz w:val="32"/>
          <w:szCs w:val="32"/>
          <w:highlight w:val="none"/>
        </w:rPr>
        <w:tab/>
      </w:r>
      <w:r>
        <w:rPr>
          <w:sz w:val="32"/>
          <w:szCs w:val="32"/>
          <w:highlight w:val="none"/>
        </w:rPr>
        <w:fldChar w:fldCharType="begin"/>
      </w:r>
      <w:r>
        <w:rPr>
          <w:sz w:val="32"/>
          <w:szCs w:val="32"/>
          <w:highlight w:val="none"/>
        </w:rPr>
        <w:instrText xml:space="preserve"> PAGEREF _Toc18343 \h </w:instrText>
      </w:r>
      <w:r>
        <w:rPr>
          <w:sz w:val="32"/>
          <w:szCs w:val="32"/>
          <w:highlight w:val="none"/>
        </w:rPr>
        <w:fldChar w:fldCharType="separate"/>
      </w:r>
      <w:r>
        <w:rPr>
          <w:sz w:val="32"/>
          <w:szCs w:val="32"/>
          <w:highlight w:val="none"/>
        </w:rPr>
        <w:t>33</w:t>
      </w:r>
      <w:r>
        <w:rPr>
          <w:sz w:val="32"/>
          <w:szCs w:val="32"/>
          <w:highlight w:val="none"/>
        </w:rPr>
        <w:fldChar w:fldCharType="end"/>
      </w:r>
      <w:r>
        <w:rPr>
          <w:rFonts w:hint="eastAsia" w:ascii="仿宋" w:hAnsi="仿宋" w:eastAsia="仿宋" w:cs="仿宋"/>
          <w:bCs w:val="0"/>
          <w:sz w:val="32"/>
          <w:szCs w:val="40"/>
          <w:highlight w:val="none"/>
        </w:rPr>
        <w:fldChar w:fldCharType="end"/>
      </w:r>
    </w:p>
    <w:p w14:paraId="304BE615">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_Toc5794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rPr>
        <w:t>（五）测绘保障重大工程</w:t>
      </w:r>
      <w:r>
        <w:rPr>
          <w:sz w:val="32"/>
          <w:szCs w:val="32"/>
          <w:highlight w:val="none"/>
        </w:rPr>
        <w:tab/>
      </w:r>
      <w:r>
        <w:rPr>
          <w:sz w:val="32"/>
          <w:szCs w:val="32"/>
          <w:highlight w:val="none"/>
        </w:rPr>
        <w:fldChar w:fldCharType="begin"/>
      </w:r>
      <w:r>
        <w:rPr>
          <w:sz w:val="32"/>
          <w:szCs w:val="32"/>
          <w:highlight w:val="none"/>
        </w:rPr>
        <w:instrText xml:space="preserve"> PAGEREF _Toc5794 \h </w:instrText>
      </w:r>
      <w:r>
        <w:rPr>
          <w:sz w:val="32"/>
          <w:szCs w:val="32"/>
          <w:highlight w:val="none"/>
        </w:rPr>
        <w:fldChar w:fldCharType="separate"/>
      </w:r>
      <w:r>
        <w:rPr>
          <w:sz w:val="32"/>
          <w:szCs w:val="32"/>
          <w:highlight w:val="none"/>
        </w:rPr>
        <w:t>34</w:t>
      </w:r>
      <w:r>
        <w:rPr>
          <w:sz w:val="32"/>
          <w:szCs w:val="32"/>
          <w:highlight w:val="none"/>
        </w:rPr>
        <w:fldChar w:fldCharType="end"/>
      </w:r>
      <w:r>
        <w:rPr>
          <w:rFonts w:hint="eastAsia" w:ascii="仿宋" w:hAnsi="仿宋" w:eastAsia="仿宋" w:cs="仿宋"/>
          <w:bCs w:val="0"/>
          <w:sz w:val="32"/>
          <w:szCs w:val="40"/>
          <w:highlight w:val="none"/>
        </w:rPr>
        <w:fldChar w:fldCharType="end"/>
      </w:r>
    </w:p>
    <w:p w14:paraId="0B8AD6DA">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_Toc17803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rPr>
        <w:t>（六）</w:t>
      </w:r>
      <w:r>
        <w:rPr>
          <w:rFonts w:hint="eastAsia" w:ascii="楷体" w:hAnsi="楷体" w:eastAsia="楷体" w:cs="楷体"/>
          <w:bCs w:val="0"/>
          <w:kern w:val="0"/>
          <w:sz w:val="32"/>
          <w:szCs w:val="44"/>
          <w:highlight w:val="none"/>
          <w:lang w:eastAsia="zh-CN"/>
        </w:rPr>
        <w:t>森林火灾</w:t>
      </w:r>
      <w:r>
        <w:rPr>
          <w:rFonts w:hint="eastAsia" w:ascii="楷体" w:hAnsi="楷体" w:eastAsia="楷体" w:cs="楷体"/>
          <w:bCs w:val="0"/>
          <w:kern w:val="0"/>
          <w:sz w:val="32"/>
          <w:szCs w:val="44"/>
          <w:highlight w:val="none"/>
        </w:rPr>
        <w:t>防控重大工程</w:t>
      </w:r>
      <w:r>
        <w:rPr>
          <w:sz w:val="32"/>
          <w:szCs w:val="32"/>
          <w:highlight w:val="none"/>
        </w:rPr>
        <w:tab/>
      </w:r>
      <w:r>
        <w:rPr>
          <w:sz w:val="32"/>
          <w:szCs w:val="32"/>
          <w:highlight w:val="none"/>
        </w:rPr>
        <w:fldChar w:fldCharType="begin"/>
      </w:r>
      <w:r>
        <w:rPr>
          <w:sz w:val="32"/>
          <w:szCs w:val="32"/>
          <w:highlight w:val="none"/>
        </w:rPr>
        <w:instrText xml:space="preserve"> PAGEREF _Toc17803 \h </w:instrText>
      </w:r>
      <w:r>
        <w:rPr>
          <w:sz w:val="32"/>
          <w:szCs w:val="32"/>
          <w:highlight w:val="none"/>
        </w:rPr>
        <w:fldChar w:fldCharType="separate"/>
      </w:r>
      <w:r>
        <w:rPr>
          <w:sz w:val="32"/>
          <w:szCs w:val="32"/>
          <w:highlight w:val="none"/>
        </w:rPr>
        <w:t>34</w:t>
      </w:r>
      <w:r>
        <w:rPr>
          <w:sz w:val="32"/>
          <w:szCs w:val="32"/>
          <w:highlight w:val="none"/>
        </w:rPr>
        <w:fldChar w:fldCharType="end"/>
      </w:r>
      <w:r>
        <w:rPr>
          <w:rFonts w:hint="eastAsia" w:ascii="仿宋" w:hAnsi="仿宋" w:eastAsia="仿宋" w:cs="仿宋"/>
          <w:bCs w:val="0"/>
          <w:sz w:val="32"/>
          <w:szCs w:val="40"/>
          <w:highlight w:val="none"/>
        </w:rPr>
        <w:fldChar w:fldCharType="end"/>
      </w:r>
    </w:p>
    <w:p w14:paraId="08535061">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_Toc17078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rPr>
        <w:t>（七）综合减灾重大工程</w:t>
      </w:r>
      <w:r>
        <w:rPr>
          <w:sz w:val="32"/>
          <w:szCs w:val="32"/>
          <w:highlight w:val="none"/>
        </w:rPr>
        <w:tab/>
      </w:r>
      <w:r>
        <w:rPr>
          <w:sz w:val="32"/>
          <w:szCs w:val="32"/>
          <w:highlight w:val="none"/>
        </w:rPr>
        <w:fldChar w:fldCharType="begin"/>
      </w:r>
      <w:r>
        <w:rPr>
          <w:sz w:val="32"/>
          <w:szCs w:val="32"/>
          <w:highlight w:val="none"/>
        </w:rPr>
        <w:instrText xml:space="preserve"> PAGEREF _Toc17078 \h </w:instrText>
      </w:r>
      <w:r>
        <w:rPr>
          <w:sz w:val="32"/>
          <w:szCs w:val="32"/>
          <w:highlight w:val="none"/>
        </w:rPr>
        <w:fldChar w:fldCharType="separate"/>
      </w:r>
      <w:r>
        <w:rPr>
          <w:sz w:val="32"/>
          <w:szCs w:val="32"/>
          <w:highlight w:val="none"/>
        </w:rPr>
        <w:t>35</w:t>
      </w:r>
      <w:r>
        <w:rPr>
          <w:sz w:val="32"/>
          <w:szCs w:val="32"/>
          <w:highlight w:val="none"/>
        </w:rPr>
        <w:fldChar w:fldCharType="end"/>
      </w:r>
      <w:r>
        <w:rPr>
          <w:rFonts w:hint="eastAsia" w:ascii="仿宋" w:hAnsi="仿宋" w:eastAsia="仿宋" w:cs="仿宋"/>
          <w:bCs w:val="0"/>
          <w:sz w:val="32"/>
          <w:szCs w:val="40"/>
          <w:highlight w:val="none"/>
        </w:rPr>
        <w:fldChar w:fldCharType="end"/>
      </w:r>
    </w:p>
    <w:p w14:paraId="6618B2B1">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_Toc21810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rPr>
        <w:t>（八）</w:t>
      </w:r>
      <w:r>
        <w:rPr>
          <w:rFonts w:hint="eastAsia" w:ascii="楷体" w:hAnsi="楷体" w:eastAsia="楷体" w:cs="楷体"/>
          <w:bCs w:val="0"/>
          <w:sz w:val="32"/>
          <w:szCs w:val="44"/>
          <w:highlight w:val="none"/>
          <w:lang w:eastAsia="zh-CN"/>
        </w:rPr>
        <w:t>兴宁市应急救援队营房建设</w:t>
      </w:r>
      <w:r>
        <w:rPr>
          <w:sz w:val="32"/>
          <w:szCs w:val="32"/>
          <w:highlight w:val="none"/>
        </w:rPr>
        <w:tab/>
      </w:r>
      <w:r>
        <w:rPr>
          <w:sz w:val="32"/>
          <w:szCs w:val="32"/>
          <w:highlight w:val="none"/>
        </w:rPr>
        <w:fldChar w:fldCharType="begin"/>
      </w:r>
      <w:r>
        <w:rPr>
          <w:sz w:val="32"/>
          <w:szCs w:val="32"/>
          <w:highlight w:val="none"/>
        </w:rPr>
        <w:instrText xml:space="preserve"> PAGEREF _Toc21810 \h </w:instrText>
      </w:r>
      <w:r>
        <w:rPr>
          <w:sz w:val="32"/>
          <w:szCs w:val="32"/>
          <w:highlight w:val="none"/>
        </w:rPr>
        <w:fldChar w:fldCharType="separate"/>
      </w:r>
      <w:r>
        <w:rPr>
          <w:sz w:val="32"/>
          <w:szCs w:val="32"/>
          <w:highlight w:val="none"/>
        </w:rPr>
        <w:t>35</w:t>
      </w:r>
      <w:r>
        <w:rPr>
          <w:sz w:val="32"/>
          <w:szCs w:val="32"/>
          <w:highlight w:val="none"/>
        </w:rPr>
        <w:fldChar w:fldCharType="end"/>
      </w:r>
      <w:r>
        <w:rPr>
          <w:rFonts w:hint="eastAsia" w:ascii="仿宋" w:hAnsi="仿宋" w:eastAsia="仿宋" w:cs="仿宋"/>
          <w:bCs w:val="0"/>
          <w:sz w:val="32"/>
          <w:szCs w:val="40"/>
          <w:highlight w:val="none"/>
        </w:rPr>
        <w:fldChar w:fldCharType="end"/>
      </w:r>
    </w:p>
    <w:p w14:paraId="3FE6B760">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_Toc18613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lang w:eastAsia="zh-CN"/>
        </w:rPr>
        <w:t>（九）兴宁市应急管理仓库体系建设</w:t>
      </w:r>
      <w:r>
        <w:rPr>
          <w:sz w:val="32"/>
          <w:szCs w:val="32"/>
          <w:highlight w:val="none"/>
        </w:rPr>
        <w:tab/>
      </w:r>
      <w:r>
        <w:rPr>
          <w:sz w:val="32"/>
          <w:szCs w:val="32"/>
          <w:highlight w:val="none"/>
        </w:rPr>
        <w:fldChar w:fldCharType="begin"/>
      </w:r>
      <w:r>
        <w:rPr>
          <w:sz w:val="32"/>
          <w:szCs w:val="32"/>
          <w:highlight w:val="none"/>
        </w:rPr>
        <w:instrText xml:space="preserve"> PAGEREF _Toc18613 \h </w:instrText>
      </w:r>
      <w:r>
        <w:rPr>
          <w:sz w:val="32"/>
          <w:szCs w:val="32"/>
          <w:highlight w:val="none"/>
        </w:rPr>
        <w:fldChar w:fldCharType="separate"/>
      </w:r>
      <w:r>
        <w:rPr>
          <w:sz w:val="32"/>
          <w:szCs w:val="32"/>
          <w:highlight w:val="none"/>
        </w:rPr>
        <w:t>35</w:t>
      </w:r>
      <w:r>
        <w:rPr>
          <w:sz w:val="32"/>
          <w:szCs w:val="32"/>
          <w:highlight w:val="none"/>
        </w:rPr>
        <w:fldChar w:fldCharType="end"/>
      </w:r>
      <w:r>
        <w:rPr>
          <w:rFonts w:hint="eastAsia" w:ascii="仿宋" w:hAnsi="仿宋" w:eastAsia="仿宋" w:cs="仿宋"/>
          <w:bCs w:val="0"/>
          <w:sz w:val="32"/>
          <w:szCs w:val="40"/>
          <w:highlight w:val="none"/>
        </w:rPr>
        <w:fldChar w:fldCharType="end"/>
      </w:r>
    </w:p>
    <w:p w14:paraId="54AC2BB1">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_Toc21111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kern w:val="0"/>
          <w:sz w:val="32"/>
          <w:szCs w:val="44"/>
          <w:highlight w:val="none"/>
          <w:lang w:eastAsia="zh-CN"/>
        </w:rPr>
        <w:t>（十）安全发展示范城市建设</w:t>
      </w:r>
      <w:r>
        <w:rPr>
          <w:sz w:val="32"/>
          <w:szCs w:val="32"/>
          <w:highlight w:val="none"/>
        </w:rPr>
        <w:tab/>
      </w:r>
      <w:r>
        <w:rPr>
          <w:sz w:val="32"/>
          <w:szCs w:val="32"/>
          <w:highlight w:val="none"/>
        </w:rPr>
        <w:fldChar w:fldCharType="begin"/>
      </w:r>
      <w:r>
        <w:rPr>
          <w:sz w:val="32"/>
          <w:szCs w:val="32"/>
          <w:highlight w:val="none"/>
        </w:rPr>
        <w:instrText xml:space="preserve"> PAGEREF _Toc21111 \h </w:instrText>
      </w:r>
      <w:r>
        <w:rPr>
          <w:sz w:val="32"/>
          <w:szCs w:val="32"/>
          <w:highlight w:val="none"/>
        </w:rPr>
        <w:fldChar w:fldCharType="separate"/>
      </w:r>
      <w:r>
        <w:rPr>
          <w:sz w:val="32"/>
          <w:szCs w:val="32"/>
          <w:highlight w:val="none"/>
        </w:rPr>
        <w:t>36</w:t>
      </w:r>
      <w:r>
        <w:rPr>
          <w:sz w:val="32"/>
          <w:szCs w:val="32"/>
          <w:highlight w:val="none"/>
        </w:rPr>
        <w:fldChar w:fldCharType="end"/>
      </w:r>
      <w:r>
        <w:rPr>
          <w:rFonts w:hint="eastAsia" w:ascii="仿宋" w:hAnsi="仿宋" w:eastAsia="仿宋" w:cs="仿宋"/>
          <w:bCs w:val="0"/>
          <w:sz w:val="32"/>
          <w:szCs w:val="40"/>
          <w:highlight w:val="none"/>
        </w:rPr>
        <w:fldChar w:fldCharType="end"/>
      </w:r>
    </w:p>
    <w:p w14:paraId="0D3B315A">
      <w:pPr>
        <w:pStyle w:val="6"/>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_Toc6340 </w:instrText>
      </w:r>
      <w:r>
        <w:rPr>
          <w:rFonts w:hint="eastAsia" w:ascii="仿宋" w:hAnsi="仿宋" w:eastAsia="仿宋" w:cs="仿宋"/>
          <w:bCs w:val="0"/>
          <w:sz w:val="32"/>
          <w:szCs w:val="40"/>
          <w:highlight w:val="none"/>
        </w:rPr>
        <w:fldChar w:fldCharType="separate"/>
      </w:r>
      <w:r>
        <w:rPr>
          <w:rFonts w:hint="eastAsia" w:ascii="黑体" w:hAnsi="黑体" w:eastAsia="黑体" w:cs="黑体"/>
          <w:bCs w:val="0"/>
          <w:sz w:val="32"/>
          <w:szCs w:val="44"/>
          <w:highlight w:val="none"/>
        </w:rPr>
        <w:t>五、保障措施</w:t>
      </w:r>
      <w:r>
        <w:rPr>
          <w:sz w:val="32"/>
          <w:szCs w:val="32"/>
          <w:highlight w:val="none"/>
        </w:rPr>
        <w:tab/>
      </w:r>
      <w:r>
        <w:rPr>
          <w:sz w:val="32"/>
          <w:szCs w:val="32"/>
          <w:highlight w:val="none"/>
        </w:rPr>
        <w:fldChar w:fldCharType="begin"/>
      </w:r>
      <w:r>
        <w:rPr>
          <w:sz w:val="32"/>
          <w:szCs w:val="32"/>
          <w:highlight w:val="none"/>
        </w:rPr>
        <w:instrText xml:space="preserve"> PAGEREF _Toc6340 \h </w:instrText>
      </w:r>
      <w:r>
        <w:rPr>
          <w:sz w:val="32"/>
          <w:szCs w:val="32"/>
          <w:highlight w:val="none"/>
        </w:rPr>
        <w:fldChar w:fldCharType="separate"/>
      </w:r>
      <w:r>
        <w:rPr>
          <w:sz w:val="32"/>
          <w:szCs w:val="32"/>
          <w:highlight w:val="none"/>
        </w:rPr>
        <w:t>36</w:t>
      </w:r>
      <w:r>
        <w:rPr>
          <w:sz w:val="32"/>
          <w:szCs w:val="32"/>
          <w:highlight w:val="none"/>
        </w:rPr>
        <w:fldChar w:fldCharType="end"/>
      </w:r>
      <w:r>
        <w:rPr>
          <w:rFonts w:hint="eastAsia" w:ascii="仿宋" w:hAnsi="仿宋" w:eastAsia="仿宋" w:cs="仿宋"/>
          <w:bCs w:val="0"/>
          <w:sz w:val="32"/>
          <w:szCs w:val="40"/>
          <w:highlight w:val="none"/>
        </w:rPr>
        <w:fldChar w:fldCharType="end"/>
      </w:r>
    </w:p>
    <w:p w14:paraId="3024D4F4">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_Toc10704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（一）加强组织实施</w:t>
      </w:r>
      <w:r>
        <w:rPr>
          <w:sz w:val="32"/>
          <w:szCs w:val="32"/>
          <w:highlight w:val="none"/>
        </w:rPr>
        <w:tab/>
      </w:r>
      <w:r>
        <w:rPr>
          <w:sz w:val="32"/>
          <w:szCs w:val="32"/>
          <w:highlight w:val="none"/>
        </w:rPr>
        <w:fldChar w:fldCharType="begin"/>
      </w:r>
      <w:r>
        <w:rPr>
          <w:sz w:val="32"/>
          <w:szCs w:val="32"/>
          <w:highlight w:val="none"/>
        </w:rPr>
        <w:instrText xml:space="preserve"> PAGEREF _Toc10704 \h </w:instrText>
      </w:r>
      <w:r>
        <w:rPr>
          <w:sz w:val="32"/>
          <w:szCs w:val="32"/>
          <w:highlight w:val="none"/>
        </w:rPr>
        <w:fldChar w:fldCharType="separate"/>
      </w:r>
      <w:r>
        <w:rPr>
          <w:sz w:val="32"/>
          <w:szCs w:val="32"/>
          <w:highlight w:val="none"/>
        </w:rPr>
        <w:t>36</w:t>
      </w:r>
      <w:r>
        <w:rPr>
          <w:sz w:val="32"/>
          <w:szCs w:val="32"/>
          <w:highlight w:val="none"/>
        </w:rPr>
        <w:fldChar w:fldCharType="end"/>
      </w:r>
      <w:r>
        <w:rPr>
          <w:rFonts w:hint="eastAsia" w:ascii="仿宋" w:hAnsi="仿宋" w:eastAsia="仿宋" w:cs="仿宋"/>
          <w:bCs w:val="0"/>
          <w:sz w:val="32"/>
          <w:szCs w:val="40"/>
          <w:highlight w:val="none"/>
        </w:rPr>
        <w:fldChar w:fldCharType="end"/>
      </w:r>
    </w:p>
    <w:p w14:paraId="3A1B353A">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_Toc24257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（二）完善保障措施</w:t>
      </w:r>
      <w:r>
        <w:rPr>
          <w:sz w:val="32"/>
          <w:szCs w:val="32"/>
          <w:highlight w:val="none"/>
        </w:rPr>
        <w:tab/>
      </w:r>
      <w:r>
        <w:rPr>
          <w:sz w:val="32"/>
          <w:szCs w:val="32"/>
          <w:highlight w:val="none"/>
        </w:rPr>
        <w:fldChar w:fldCharType="begin"/>
      </w:r>
      <w:r>
        <w:rPr>
          <w:sz w:val="32"/>
          <w:szCs w:val="32"/>
          <w:highlight w:val="none"/>
        </w:rPr>
        <w:instrText xml:space="preserve"> PAGEREF _Toc24257 \h </w:instrText>
      </w:r>
      <w:r>
        <w:rPr>
          <w:sz w:val="32"/>
          <w:szCs w:val="32"/>
          <w:highlight w:val="none"/>
        </w:rPr>
        <w:fldChar w:fldCharType="separate"/>
      </w:r>
      <w:r>
        <w:rPr>
          <w:sz w:val="32"/>
          <w:szCs w:val="32"/>
          <w:highlight w:val="none"/>
        </w:rPr>
        <w:t>37</w:t>
      </w:r>
      <w:r>
        <w:rPr>
          <w:sz w:val="32"/>
          <w:szCs w:val="32"/>
          <w:highlight w:val="none"/>
        </w:rPr>
        <w:fldChar w:fldCharType="end"/>
      </w:r>
      <w:r>
        <w:rPr>
          <w:rFonts w:hint="eastAsia" w:ascii="仿宋" w:hAnsi="仿宋" w:eastAsia="仿宋" w:cs="仿宋"/>
          <w:bCs w:val="0"/>
          <w:sz w:val="32"/>
          <w:szCs w:val="40"/>
          <w:highlight w:val="none"/>
        </w:rPr>
        <w:fldChar w:fldCharType="end"/>
      </w:r>
    </w:p>
    <w:p w14:paraId="492465F1">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_Toc3044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（三）引导全民参与</w:t>
      </w:r>
      <w:r>
        <w:rPr>
          <w:sz w:val="32"/>
          <w:szCs w:val="32"/>
          <w:highlight w:val="none"/>
        </w:rPr>
        <w:tab/>
      </w:r>
      <w:r>
        <w:rPr>
          <w:sz w:val="32"/>
          <w:szCs w:val="32"/>
          <w:highlight w:val="none"/>
        </w:rPr>
        <w:fldChar w:fldCharType="begin"/>
      </w:r>
      <w:r>
        <w:rPr>
          <w:sz w:val="32"/>
          <w:szCs w:val="32"/>
          <w:highlight w:val="none"/>
        </w:rPr>
        <w:instrText xml:space="preserve"> PAGEREF _Toc3044 \h </w:instrText>
      </w:r>
      <w:r>
        <w:rPr>
          <w:sz w:val="32"/>
          <w:szCs w:val="32"/>
          <w:highlight w:val="none"/>
        </w:rPr>
        <w:fldChar w:fldCharType="separate"/>
      </w:r>
      <w:r>
        <w:rPr>
          <w:sz w:val="32"/>
          <w:szCs w:val="32"/>
          <w:highlight w:val="none"/>
        </w:rPr>
        <w:t>37</w:t>
      </w:r>
      <w:r>
        <w:rPr>
          <w:sz w:val="32"/>
          <w:szCs w:val="32"/>
          <w:highlight w:val="none"/>
        </w:rPr>
        <w:fldChar w:fldCharType="end"/>
      </w:r>
      <w:r>
        <w:rPr>
          <w:rFonts w:hint="eastAsia" w:ascii="仿宋" w:hAnsi="仿宋" w:eastAsia="仿宋" w:cs="仿宋"/>
          <w:bCs w:val="0"/>
          <w:sz w:val="32"/>
          <w:szCs w:val="40"/>
          <w:highlight w:val="none"/>
        </w:rPr>
        <w:fldChar w:fldCharType="end"/>
      </w:r>
    </w:p>
    <w:p w14:paraId="7A949ADF">
      <w:pPr>
        <w:pStyle w:val="7"/>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sz w:val="32"/>
          <w:szCs w:val="32"/>
          <w:highlight w:val="none"/>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_Toc21512 </w:instrText>
      </w:r>
      <w:r>
        <w:rPr>
          <w:rFonts w:hint="eastAsia" w:ascii="仿宋" w:hAnsi="仿宋" w:eastAsia="仿宋" w:cs="仿宋"/>
          <w:bCs w:val="0"/>
          <w:sz w:val="32"/>
          <w:szCs w:val="40"/>
          <w:highlight w:val="none"/>
        </w:rPr>
        <w:fldChar w:fldCharType="separate"/>
      </w:r>
      <w:r>
        <w:rPr>
          <w:rFonts w:hint="eastAsia" w:ascii="楷体" w:hAnsi="楷体" w:eastAsia="楷体" w:cs="楷体"/>
          <w:bCs w:val="0"/>
          <w:sz w:val="32"/>
          <w:szCs w:val="44"/>
          <w:highlight w:val="none"/>
          <w:lang w:eastAsia="zh-CN"/>
        </w:rPr>
        <w:t>（四）严格责任考核</w:t>
      </w:r>
      <w:r>
        <w:rPr>
          <w:sz w:val="32"/>
          <w:szCs w:val="32"/>
          <w:highlight w:val="none"/>
        </w:rPr>
        <w:tab/>
      </w:r>
      <w:r>
        <w:rPr>
          <w:sz w:val="32"/>
          <w:szCs w:val="32"/>
          <w:highlight w:val="none"/>
        </w:rPr>
        <w:fldChar w:fldCharType="begin"/>
      </w:r>
      <w:r>
        <w:rPr>
          <w:sz w:val="32"/>
          <w:szCs w:val="32"/>
          <w:highlight w:val="none"/>
        </w:rPr>
        <w:instrText xml:space="preserve"> PAGEREF _Toc21512 \h </w:instrText>
      </w:r>
      <w:r>
        <w:rPr>
          <w:sz w:val="32"/>
          <w:szCs w:val="32"/>
          <w:highlight w:val="none"/>
        </w:rPr>
        <w:fldChar w:fldCharType="separate"/>
      </w:r>
      <w:r>
        <w:rPr>
          <w:sz w:val="32"/>
          <w:szCs w:val="32"/>
          <w:highlight w:val="none"/>
        </w:rPr>
        <w:t>37</w:t>
      </w:r>
      <w:r>
        <w:rPr>
          <w:sz w:val="32"/>
          <w:szCs w:val="32"/>
          <w:highlight w:val="none"/>
        </w:rPr>
        <w:fldChar w:fldCharType="end"/>
      </w:r>
      <w:r>
        <w:rPr>
          <w:rFonts w:hint="eastAsia" w:ascii="仿宋" w:hAnsi="仿宋" w:eastAsia="仿宋" w:cs="仿宋"/>
          <w:bCs w:val="0"/>
          <w:sz w:val="32"/>
          <w:szCs w:val="40"/>
          <w:highlight w:val="none"/>
        </w:rPr>
        <w:fldChar w:fldCharType="end"/>
      </w:r>
    </w:p>
    <w:p w14:paraId="4736E79B">
      <w:pPr>
        <w:pStyle w:val="6"/>
        <w:keepNext w:val="0"/>
        <w:keepLines w:val="0"/>
        <w:pageBreakBefore w:val="0"/>
        <w:widowControl/>
        <w:tabs>
          <w:tab w:val="right" w:leader="dot" w:pos="8906"/>
        </w:tabs>
        <w:kinsoku/>
        <w:wordWrap/>
        <w:overflowPunct/>
        <w:topLinePunct w:val="0"/>
        <w:autoSpaceDE/>
        <w:autoSpaceDN/>
        <w:bidi w:val="0"/>
        <w:adjustRightInd/>
        <w:snapToGrid/>
        <w:spacing w:line="570" w:lineRule="exact"/>
        <w:jc w:val="left"/>
        <w:textAlignment w:val="auto"/>
        <w:rPr>
          <w:rFonts w:hint="eastAsia" w:eastAsia="仿宋"/>
          <w:sz w:val="36"/>
          <w:szCs w:val="36"/>
          <w:highlight w:val="none"/>
          <w:lang w:val="en-US" w:eastAsia="zh-CN"/>
        </w:rPr>
      </w:pPr>
      <w:r>
        <w:rPr>
          <w:rFonts w:hint="eastAsia" w:ascii="仿宋" w:hAnsi="仿宋" w:eastAsia="仿宋" w:cs="仿宋"/>
          <w:bCs w:val="0"/>
          <w:sz w:val="32"/>
          <w:szCs w:val="40"/>
          <w:highlight w:val="none"/>
        </w:rPr>
        <w:fldChar w:fldCharType="begin"/>
      </w:r>
      <w:r>
        <w:rPr>
          <w:rFonts w:hint="eastAsia" w:ascii="仿宋" w:hAnsi="仿宋" w:eastAsia="仿宋" w:cs="仿宋"/>
          <w:bCs w:val="0"/>
          <w:sz w:val="32"/>
          <w:szCs w:val="40"/>
          <w:highlight w:val="none"/>
        </w:rPr>
        <w:instrText xml:space="preserve"> HYPERLINK \l _Toc12964 </w:instrText>
      </w:r>
      <w:r>
        <w:rPr>
          <w:rFonts w:hint="eastAsia" w:ascii="仿宋" w:hAnsi="仿宋" w:eastAsia="仿宋" w:cs="仿宋"/>
          <w:bCs w:val="0"/>
          <w:sz w:val="32"/>
          <w:szCs w:val="40"/>
          <w:highlight w:val="none"/>
        </w:rPr>
        <w:fldChar w:fldCharType="separate"/>
      </w:r>
      <w:r>
        <w:rPr>
          <w:rFonts w:ascii="楷体" w:hAnsi="楷体" w:eastAsia="楷体" w:cs="楷体"/>
          <w:spacing w:val="-10"/>
          <w:sz w:val="32"/>
          <w:szCs w:val="40"/>
          <w:highlight w:val="none"/>
        </w:rPr>
        <w:t>附件</w:t>
      </w:r>
      <w:r>
        <w:rPr>
          <w:rFonts w:hint="eastAsia" w:ascii="楷体" w:hAnsi="楷体" w:eastAsia="楷体" w:cs="楷体"/>
          <w:spacing w:val="-10"/>
          <w:sz w:val="32"/>
          <w:szCs w:val="40"/>
          <w:highlight w:val="none"/>
          <w:lang w:eastAsia="zh-CN"/>
        </w:rPr>
        <w:t>：兴宁</w:t>
      </w:r>
      <w:r>
        <w:rPr>
          <w:rFonts w:hint="eastAsia" w:ascii="楷体" w:hAnsi="楷体" w:eastAsia="楷体" w:cs="楷体"/>
          <w:spacing w:val="-10"/>
          <w:sz w:val="32"/>
          <w:szCs w:val="40"/>
          <w:highlight w:val="none"/>
        </w:rPr>
        <w:t>市应急管理"十四五"规划工程项目表</w:t>
      </w:r>
      <w:r>
        <w:rPr>
          <w:sz w:val="32"/>
          <w:szCs w:val="32"/>
          <w:highlight w:val="none"/>
        </w:rPr>
        <w:tab/>
      </w:r>
      <w:r>
        <w:rPr>
          <w:rFonts w:hint="eastAsia"/>
          <w:sz w:val="32"/>
          <w:szCs w:val="32"/>
          <w:highlight w:val="none"/>
          <w:lang w:val="en-US" w:eastAsia="zh-CN"/>
        </w:rPr>
        <w:t>3</w:t>
      </w:r>
      <w:r>
        <w:rPr>
          <w:rFonts w:hint="eastAsia" w:ascii="仿宋" w:hAnsi="仿宋" w:eastAsia="仿宋" w:cs="仿宋"/>
          <w:bCs w:val="0"/>
          <w:sz w:val="32"/>
          <w:szCs w:val="40"/>
          <w:highlight w:val="none"/>
        </w:rPr>
        <w:fldChar w:fldCharType="end"/>
      </w:r>
      <w:r>
        <w:rPr>
          <w:rFonts w:hint="eastAsia" w:ascii="仿宋" w:hAnsi="仿宋" w:eastAsia="仿宋" w:cs="仿宋"/>
          <w:bCs w:val="0"/>
          <w:sz w:val="32"/>
          <w:szCs w:val="40"/>
          <w:highlight w:val="none"/>
          <w:lang w:val="en-US" w:eastAsia="zh-CN"/>
        </w:rPr>
        <w:t>9</w:t>
      </w:r>
    </w:p>
    <w:p w14:paraId="3F0B0287">
      <w:pPr>
        <w:keepNext w:val="0"/>
        <w:keepLines w:val="0"/>
        <w:pageBreakBefore w:val="0"/>
        <w:widowControl/>
        <w:kinsoku/>
        <w:wordWrap/>
        <w:overflowPunct/>
        <w:topLinePunct w:val="0"/>
        <w:autoSpaceDE/>
        <w:autoSpaceDN/>
        <w:bidi w:val="0"/>
        <w:adjustRightInd/>
        <w:snapToGrid/>
        <w:spacing w:line="570" w:lineRule="exact"/>
        <w:jc w:val="left"/>
        <w:textAlignment w:val="auto"/>
      </w:pPr>
      <w:r>
        <w:rPr>
          <w:rFonts w:hint="eastAsia" w:ascii="仿宋" w:hAnsi="仿宋" w:eastAsia="仿宋" w:cs="仿宋"/>
          <w:bCs w:val="0"/>
          <w:sz w:val="36"/>
          <w:szCs w:val="44"/>
          <w:highlight w:val="none"/>
        </w:rPr>
        <w:fldChar w:fldCharType="end"/>
      </w:r>
    </w:p>
    <w:sdt>
      <w:sdtPr>
        <w:rPr>
          <w:rFonts w:hint="eastAsia" w:ascii="黑体" w:hAnsi="黑体" w:eastAsia="黑体" w:cs="黑体"/>
          <w:sz w:val="44"/>
          <w:szCs w:val="44"/>
          <w:highlight w:val="none"/>
          <w:lang w:val="en-US" w:eastAsia="zh-CN" w:bidi="ar-SA"/>
        </w:rPr>
        <w:id w:val="147458672"/>
        <w15:color w:val="DBDBDB"/>
        <w:docPartObj>
          <w:docPartGallery w:val="Table of Contents"/>
          <w:docPartUnique/>
        </w:docPartObj>
      </w:sdtPr>
      <w:sdtEndPr>
        <w:rPr>
          <w:rFonts w:hint="eastAsia" w:ascii="黑体" w:hAnsi="黑体" w:eastAsia="黑体" w:cs="黑体"/>
          <w:b/>
          <w:sz w:val="44"/>
          <w:szCs w:val="44"/>
          <w:highlight w:val="none"/>
          <w:lang w:val="en-US" w:eastAsia="zh-CN" w:bidi="ar-SA"/>
        </w:rPr>
      </w:sdtEndPr>
      <w:sdtContent>
        <w:p w14:paraId="3B5A4E2C">
          <w:pPr>
            <w:keepNext w:val="0"/>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Cs w:val="0"/>
              <w:sz w:val="36"/>
              <w:szCs w:val="44"/>
              <w:highlight w:val="none"/>
            </w:rPr>
            <w:sectPr>
              <w:footerReference r:id="rId3" w:type="default"/>
              <w:pgSz w:w="11900" w:h="16838"/>
              <w:pgMar w:top="1383" w:right="1270" w:bottom="1372" w:left="1270" w:header="0" w:footer="1077" w:gutter="0"/>
              <w:pgNumType w:fmt="decimal" w:start="1"/>
              <w:cols w:equalWidth="0" w:num="1">
                <w:col w:w="9026"/>
              </w:cols>
            </w:sectPr>
          </w:pPr>
        </w:p>
        <w:p w14:paraId="6327671A">
          <w:pPr>
            <w:keepNext w:val="0"/>
            <w:keepLines w:val="0"/>
            <w:pageBreakBefore w:val="0"/>
            <w:widowControl/>
            <w:kinsoku/>
            <w:wordWrap/>
            <w:overflowPunct/>
            <w:topLinePunct w:val="0"/>
            <w:autoSpaceDE/>
            <w:autoSpaceDN/>
            <w:bidi w:val="0"/>
            <w:adjustRightInd/>
            <w:snapToGrid/>
            <w:spacing w:line="570" w:lineRule="exact"/>
            <w:jc w:val="center"/>
            <w:textAlignment w:val="auto"/>
          </w:pPr>
          <w:r>
            <w:rPr>
              <w:rFonts w:hint="eastAsia" w:ascii="方正公文小标宋" w:hAnsi="方正公文小标宋" w:eastAsia="方正公文小标宋" w:cs="方正公文小标宋"/>
              <w:b w:val="0"/>
              <w:bCs w:val="0"/>
              <w:sz w:val="44"/>
              <w:szCs w:val="44"/>
              <w:highlight w:val="none"/>
            </w:rPr>
            <w:t>兴宁市应急管理“十四五”规划</w:t>
          </w:r>
        </w:p>
      </w:sdtContent>
    </w:sdt>
    <w:p w14:paraId="51FECAC9">
      <w:pPr>
        <w:keepNext w:val="0"/>
        <w:keepLines w:val="0"/>
        <w:pageBreakBefore w:val="0"/>
        <w:kinsoku/>
        <w:wordWrap/>
        <w:overflowPunct/>
        <w:topLinePunct w:val="0"/>
        <w:bidi w:val="0"/>
        <w:adjustRightInd w:val="0"/>
        <w:snapToGrid w:val="0"/>
        <w:spacing w:line="560" w:lineRule="exact"/>
        <w:ind w:firstLine="640"/>
        <w:rPr>
          <w:rFonts w:hint="eastAsia" w:ascii="仿宋" w:hAnsi="仿宋" w:eastAsia="仿宋" w:cs="仿宋"/>
          <w:b w:val="0"/>
          <w:bCs w:val="0"/>
          <w:color w:val="000000"/>
          <w:sz w:val="32"/>
          <w:szCs w:val="32"/>
          <w:highlight w:val="none"/>
          <w:lang w:eastAsia="zh-CN"/>
        </w:rPr>
      </w:pPr>
    </w:p>
    <w:p w14:paraId="7EF29690">
      <w:pPr>
        <w:keepNext w:val="0"/>
        <w:keepLines w:val="0"/>
        <w:pageBreakBefore w:val="0"/>
        <w:kinsoku/>
        <w:wordWrap/>
        <w:overflowPunct/>
        <w:topLinePunct w:val="0"/>
        <w:bidi w:val="0"/>
        <w:adjustRightInd w:val="0"/>
        <w:snapToGrid w:val="0"/>
        <w:spacing w:line="560" w:lineRule="exact"/>
        <w:ind w:firstLine="640"/>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eastAsia="zh-CN"/>
        </w:rPr>
        <w:t>依据《广东省应急管理“十四五”规划》《梅州市应急管理“十四五”规划》和《兴宁市人民政府办公室关于印发兴宁市“十四五”规划编制工作方案的通知》以及有关法律法规，结合兴宁应急管理工作实际，制定本规划。</w:t>
      </w:r>
    </w:p>
    <w:p w14:paraId="34462A53">
      <w:pPr>
        <w:keepNext w:val="0"/>
        <w:keepLines w:val="0"/>
        <w:pageBreakBefore w:val="0"/>
        <w:kinsoku/>
        <w:wordWrap/>
        <w:overflowPunct/>
        <w:topLinePunct w:val="0"/>
        <w:bidi w:val="0"/>
        <w:adjustRightInd w:val="0"/>
        <w:snapToGrid w:val="0"/>
        <w:spacing w:line="560" w:lineRule="exact"/>
        <w:ind w:firstLine="640" w:firstLineChars="200"/>
        <w:outlineLvl w:val="0"/>
        <w:rPr>
          <w:rFonts w:hint="eastAsia" w:ascii="黑体" w:hAnsi="Calibri" w:eastAsia="黑体" w:cs="Times New Roman"/>
          <w:b w:val="0"/>
          <w:bCs w:val="0"/>
          <w:sz w:val="32"/>
          <w:szCs w:val="32"/>
          <w:highlight w:val="none"/>
          <w:lang w:eastAsia="zh-CN"/>
        </w:rPr>
      </w:pPr>
      <w:bookmarkStart w:id="0" w:name="_Toc25916"/>
      <w:r>
        <w:rPr>
          <w:rFonts w:hint="eastAsia" w:ascii="黑体" w:hAnsi="Calibri" w:eastAsia="黑体" w:cs="Times New Roman"/>
          <w:b w:val="0"/>
          <w:bCs w:val="0"/>
          <w:sz w:val="32"/>
          <w:szCs w:val="32"/>
          <w:highlight w:val="none"/>
          <w:lang w:eastAsia="zh-CN"/>
        </w:rPr>
        <w:t>一、工作现状和发展形势</w:t>
      </w:r>
      <w:bookmarkEnd w:id="0"/>
    </w:p>
    <w:p w14:paraId="23009F0F">
      <w:pPr>
        <w:keepNext w:val="0"/>
        <w:keepLines w:val="0"/>
        <w:pageBreakBefore w:val="0"/>
        <w:kinsoku/>
        <w:wordWrap/>
        <w:overflowPunct/>
        <w:topLinePunct w:val="0"/>
        <w:bidi w:val="0"/>
        <w:adjustRightInd w:val="0"/>
        <w:snapToGrid w:val="0"/>
        <w:spacing w:line="560" w:lineRule="exact"/>
        <w:ind w:firstLine="640" w:firstLineChars="200"/>
        <w:outlineLvl w:val="1"/>
        <w:rPr>
          <w:rFonts w:hint="eastAsia" w:ascii="楷体" w:hAnsi="楷体" w:eastAsia="楷体" w:cs="楷体"/>
          <w:b w:val="0"/>
          <w:bCs w:val="0"/>
          <w:sz w:val="32"/>
          <w:szCs w:val="32"/>
          <w:highlight w:val="none"/>
          <w:lang w:eastAsia="zh-CN"/>
        </w:rPr>
      </w:pPr>
      <w:bookmarkStart w:id="1" w:name="_Toc7273"/>
      <w:r>
        <w:rPr>
          <w:rFonts w:hint="eastAsia" w:ascii="楷体" w:hAnsi="楷体" w:eastAsia="楷体" w:cs="楷体"/>
          <w:b w:val="0"/>
          <w:bCs w:val="0"/>
          <w:sz w:val="32"/>
          <w:szCs w:val="32"/>
          <w:highlight w:val="none"/>
        </w:rPr>
        <w:t>（一）发展基础</w:t>
      </w:r>
      <w:r>
        <w:rPr>
          <w:rFonts w:hint="eastAsia" w:ascii="楷体" w:hAnsi="楷体" w:eastAsia="楷体" w:cs="楷体"/>
          <w:b w:val="0"/>
          <w:bCs w:val="0"/>
          <w:sz w:val="32"/>
          <w:szCs w:val="32"/>
          <w:highlight w:val="none"/>
          <w:lang w:eastAsia="zh-CN"/>
        </w:rPr>
        <w:t>。</w:t>
      </w:r>
      <w:bookmarkEnd w:id="1"/>
    </w:p>
    <w:p w14:paraId="01B673D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十三五”时期，兴宁市应急管理工作坚持以习近平新时代中国特色社会主义思想为指导，认真贯彻国家决策部署和省、市有关要求，围绕兴宁振兴发展大局，统筹做好促改革、防风险、保安全各项工作，牢固树立安全发展理念，始终坚持安全生产“基本盘”不动摇，压实责任，健全机制，强化监管，守住底线，有效保障全市安全生产形势稳中向好，应对自然灾害有力有序有效。</w:t>
      </w:r>
    </w:p>
    <w:p w14:paraId="4DA1BE9E">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lang w:val="en-US" w:eastAsia="zh-CN"/>
        </w:rPr>
        <w:t>1.</w:t>
      </w:r>
      <w:r>
        <w:rPr>
          <w:rFonts w:hint="eastAsia" w:ascii="仿宋" w:hAnsi="仿宋" w:eastAsia="仿宋" w:cs="仿宋"/>
          <w:b w:val="0"/>
          <w:bCs w:val="0"/>
          <w:color w:val="000000"/>
          <w:kern w:val="0"/>
          <w:sz w:val="32"/>
          <w:szCs w:val="32"/>
          <w:highlight w:val="none"/>
        </w:rPr>
        <w:t>应急指挥体系基本形成。重大节日实行“一日一研判、一日一报告、一日一调度、一日一抽查、一事一处理”的值班值守机制，非煤矿山、</w:t>
      </w:r>
      <w:r>
        <w:rPr>
          <w:rFonts w:hint="eastAsia" w:ascii="仿宋" w:hAnsi="仿宋" w:eastAsia="仿宋" w:cs="仿宋"/>
          <w:b w:val="0"/>
          <w:bCs w:val="0"/>
          <w:color w:val="000000"/>
          <w:kern w:val="0"/>
          <w:sz w:val="32"/>
          <w:szCs w:val="32"/>
          <w:highlight w:val="none"/>
          <w:lang w:eastAsia="zh-CN"/>
        </w:rPr>
        <w:t>危险化学品</w:t>
      </w:r>
      <w:r>
        <w:rPr>
          <w:rFonts w:hint="eastAsia" w:ascii="仿宋" w:hAnsi="仿宋" w:eastAsia="仿宋" w:cs="仿宋"/>
          <w:b w:val="0"/>
          <w:bCs w:val="0"/>
          <w:color w:val="000000"/>
          <w:kern w:val="0"/>
          <w:sz w:val="32"/>
          <w:szCs w:val="32"/>
          <w:highlight w:val="none"/>
        </w:rPr>
        <w:t>生产企业等重点单位在特别防护期实行“零报告”制度。有效整合原安监、三防、应急等应急资源数据，初步形成“扁平化”的高效指挥网络和纵向贯通</w:t>
      </w:r>
      <w:r>
        <w:rPr>
          <w:rFonts w:hint="eastAsia" w:ascii="仿宋" w:hAnsi="仿宋" w:eastAsia="仿宋" w:cs="仿宋"/>
          <w:b w:val="0"/>
          <w:bCs w:val="0"/>
          <w:color w:val="000000"/>
          <w:kern w:val="0"/>
          <w:sz w:val="32"/>
          <w:szCs w:val="32"/>
          <w:highlight w:val="none"/>
          <w:lang w:eastAsia="zh-CN"/>
        </w:rPr>
        <w:t>省</w:t>
      </w:r>
      <w:r>
        <w:rPr>
          <w:rFonts w:hint="eastAsia" w:ascii="仿宋" w:hAnsi="仿宋" w:eastAsia="仿宋" w:cs="仿宋"/>
          <w:b w:val="0"/>
          <w:bCs w:val="0"/>
          <w:color w:val="000000"/>
          <w:kern w:val="0"/>
          <w:sz w:val="32"/>
          <w:szCs w:val="32"/>
          <w:highlight w:val="none"/>
        </w:rPr>
        <w:t>、市、县、镇联动的“一体化”指挥平台。建立“一个指挥中心、一个前方指挥部、一套工作机制、一个窗口发布”应急处置机制；建立“10公里警戒、5公里管制、1公里核心区禁入”的交通管制机制。</w:t>
      </w:r>
    </w:p>
    <w:p w14:paraId="761D3E53">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lang w:val="en-US" w:eastAsia="zh-CN"/>
        </w:rPr>
        <w:t>2.</w:t>
      </w:r>
      <w:r>
        <w:rPr>
          <w:rFonts w:hint="eastAsia" w:ascii="仿宋" w:hAnsi="仿宋" w:eastAsia="仿宋" w:cs="仿宋"/>
          <w:b w:val="0"/>
          <w:bCs w:val="0"/>
          <w:color w:val="000000"/>
          <w:kern w:val="0"/>
          <w:sz w:val="32"/>
          <w:szCs w:val="32"/>
          <w:highlight w:val="none"/>
        </w:rPr>
        <w:t>应急预案体系不断完善。全市</w:t>
      </w:r>
      <w:r>
        <w:rPr>
          <w:rFonts w:hint="eastAsia" w:ascii="仿宋" w:hAnsi="仿宋" w:eastAsia="仿宋" w:cs="仿宋"/>
          <w:b w:val="0"/>
          <w:bCs w:val="0"/>
          <w:color w:val="000000"/>
          <w:kern w:val="0"/>
          <w:sz w:val="32"/>
          <w:szCs w:val="32"/>
          <w:highlight w:val="none"/>
          <w:lang w:eastAsia="zh-CN"/>
        </w:rPr>
        <w:t>制定</w:t>
      </w:r>
      <w:r>
        <w:rPr>
          <w:rFonts w:hint="eastAsia" w:ascii="仿宋" w:hAnsi="仿宋" w:eastAsia="仿宋" w:cs="仿宋"/>
          <w:b w:val="0"/>
          <w:bCs w:val="0"/>
          <w:color w:val="000000"/>
          <w:kern w:val="0"/>
          <w:sz w:val="32"/>
          <w:szCs w:val="32"/>
          <w:highlight w:val="none"/>
        </w:rPr>
        <w:t>市级预案</w:t>
      </w:r>
      <w:r>
        <w:rPr>
          <w:rFonts w:hint="eastAsia" w:ascii="仿宋" w:hAnsi="仿宋" w:eastAsia="仿宋" w:cs="仿宋"/>
          <w:b w:val="0"/>
          <w:bCs w:val="0"/>
          <w:color w:val="000000"/>
          <w:kern w:val="0"/>
          <w:sz w:val="32"/>
          <w:szCs w:val="32"/>
          <w:highlight w:val="none"/>
          <w:lang w:val="en-US" w:eastAsia="zh-CN"/>
        </w:rPr>
        <w:t>53</w:t>
      </w:r>
      <w:r>
        <w:rPr>
          <w:rFonts w:hint="eastAsia" w:ascii="仿宋" w:hAnsi="仿宋" w:eastAsia="仿宋" w:cs="仿宋"/>
          <w:b w:val="0"/>
          <w:bCs w:val="0"/>
          <w:color w:val="000000"/>
          <w:kern w:val="0"/>
          <w:sz w:val="32"/>
          <w:szCs w:val="32"/>
          <w:highlight w:val="none"/>
        </w:rPr>
        <w:t>个，</w:t>
      </w:r>
      <w:r>
        <w:rPr>
          <w:rFonts w:hint="eastAsia" w:ascii="仿宋" w:hAnsi="仿宋" w:eastAsia="仿宋" w:cs="仿宋"/>
          <w:b w:val="0"/>
          <w:bCs w:val="0"/>
          <w:color w:val="000000"/>
          <w:kern w:val="0"/>
          <w:sz w:val="32"/>
          <w:szCs w:val="32"/>
          <w:highlight w:val="none"/>
          <w:lang w:eastAsia="zh-CN"/>
        </w:rPr>
        <w:t>镇（街道）、工业园区应急预案</w:t>
      </w:r>
      <w:r>
        <w:rPr>
          <w:rFonts w:hint="eastAsia" w:ascii="仿宋" w:hAnsi="仿宋" w:eastAsia="仿宋" w:cs="仿宋"/>
          <w:b w:val="0"/>
          <w:bCs w:val="0"/>
          <w:color w:val="000000"/>
          <w:kern w:val="0"/>
          <w:sz w:val="32"/>
          <w:szCs w:val="32"/>
          <w:highlight w:val="none"/>
          <w:lang w:val="en-US" w:eastAsia="zh-CN"/>
        </w:rPr>
        <w:t>19个</w:t>
      </w:r>
      <w:r>
        <w:rPr>
          <w:rFonts w:hint="eastAsia" w:ascii="仿宋" w:hAnsi="仿宋" w:eastAsia="仿宋" w:cs="仿宋"/>
          <w:b w:val="0"/>
          <w:bCs w:val="0"/>
          <w:color w:val="000000"/>
          <w:kern w:val="0"/>
          <w:sz w:val="32"/>
          <w:szCs w:val="32"/>
          <w:highlight w:val="none"/>
        </w:rPr>
        <w:t>，其中编修了《</w:t>
      </w:r>
      <w:r>
        <w:rPr>
          <w:rFonts w:hint="eastAsia" w:ascii="仿宋" w:hAnsi="仿宋" w:eastAsia="仿宋" w:cs="仿宋"/>
          <w:b w:val="0"/>
          <w:bCs w:val="0"/>
          <w:color w:val="000000"/>
          <w:kern w:val="0"/>
          <w:sz w:val="32"/>
          <w:szCs w:val="32"/>
          <w:highlight w:val="none"/>
          <w:lang w:eastAsia="zh-CN"/>
        </w:rPr>
        <w:t>兴宁市</w:t>
      </w:r>
      <w:r>
        <w:rPr>
          <w:rFonts w:hint="eastAsia" w:ascii="仿宋" w:hAnsi="仿宋" w:eastAsia="仿宋" w:cs="仿宋"/>
          <w:b w:val="0"/>
          <w:bCs w:val="0"/>
          <w:color w:val="000000"/>
          <w:kern w:val="0"/>
          <w:sz w:val="32"/>
          <w:szCs w:val="32"/>
          <w:highlight w:val="none"/>
        </w:rPr>
        <w:t>防汛防旱防风防冻应急预案》、《</w:t>
      </w:r>
      <w:r>
        <w:rPr>
          <w:rFonts w:hint="eastAsia" w:ascii="仿宋" w:hAnsi="仿宋" w:eastAsia="仿宋" w:cs="仿宋"/>
          <w:b w:val="0"/>
          <w:bCs w:val="0"/>
          <w:color w:val="000000"/>
          <w:kern w:val="0"/>
          <w:sz w:val="32"/>
          <w:szCs w:val="32"/>
          <w:highlight w:val="none"/>
          <w:lang w:eastAsia="zh-CN"/>
        </w:rPr>
        <w:t>兴宁市</w:t>
      </w:r>
      <w:r>
        <w:rPr>
          <w:rFonts w:hint="eastAsia" w:ascii="仿宋" w:hAnsi="仿宋" w:eastAsia="仿宋" w:cs="仿宋"/>
          <w:b w:val="0"/>
          <w:bCs w:val="0"/>
          <w:color w:val="000000"/>
          <w:kern w:val="0"/>
          <w:sz w:val="32"/>
          <w:szCs w:val="32"/>
          <w:highlight w:val="none"/>
        </w:rPr>
        <w:t>森林</w:t>
      </w:r>
      <w:r>
        <w:rPr>
          <w:rFonts w:hint="eastAsia" w:ascii="仿宋" w:hAnsi="仿宋" w:eastAsia="仿宋" w:cs="仿宋"/>
          <w:b w:val="0"/>
          <w:bCs w:val="0"/>
          <w:color w:val="000000"/>
          <w:kern w:val="0"/>
          <w:sz w:val="32"/>
          <w:szCs w:val="32"/>
          <w:highlight w:val="none"/>
          <w:lang w:eastAsia="zh-CN"/>
        </w:rPr>
        <w:t>火灾</w:t>
      </w:r>
      <w:r>
        <w:rPr>
          <w:rFonts w:hint="eastAsia" w:ascii="仿宋" w:hAnsi="仿宋" w:eastAsia="仿宋" w:cs="仿宋"/>
          <w:b w:val="0"/>
          <w:bCs w:val="0"/>
          <w:color w:val="000000"/>
          <w:kern w:val="0"/>
          <w:sz w:val="32"/>
          <w:szCs w:val="32"/>
          <w:highlight w:val="none"/>
        </w:rPr>
        <w:t>应急预案》和《</w:t>
      </w:r>
      <w:r>
        <w:rPr>
          <w:rFonts w:hint="eastAsia" w:ascii="仿宋" w:hAnsi="仿宋" w:eastAsia="仿宋" w:cs="仿宋"/>
          <w:b w:val="0"/>
          <w:bCs w:val="0"/>
          <w:color w:val="000000"/>
          <w:kern w:val="0"/>
          <w:sz w:val="32"/>
          <w:szCs w:val="32"/>
          <w:highlight w:val="none"/>
          <w:lang w:eastAsia="zh-CN"/>
        </w:rPr>
        <w:t>兴宁市突发地质灾害应急预案</w:t>
      </w:r>
      <w:r>
        <w:rPr>
          <w:rFonts w:hint="eastAsia" w:ascii="仿宋" w:hAnsi="仿宋" w:eastAsia="仿宋" w:cs="仿宋"/>
          <w:b w:val="0"/>
          <w:bCs w:val="0"/>
          <w:color w:val="000000"/>
          <w:kern w:val="0"/>
          <w:sz w:val="32"/>
          <w:szCs w:val="32"/>
          <w:highlight w:val="none"/>
        </w:rPr>
        <w:t>》，基本建立了“横向到边、纵向到底”的应急预案体系，</w:t>
      </w:r>
      <w:r>
        <w:rPr>
          <w:rFonts w:hint="eastAsia" w:ascii="仿宋" w:hAnsi="仿宋" w:eastAsia="仿宋" w:cs="仿宋"/>
          <w:b w:val="0"/>
          <w:bCs w:val="0"/>
          <w:color w:val="000000"/>
          <w:kern w:val="0"/>
          <w:sz w:val="32"/>
          <w:szCs w:val="32"/>
          <w:highlight w:val="none"/>
          <w:lang w:eastAsia="zh-CN"/>
        </w:rPr>
        <w:t>并</w:t>
      </w:r>
      <w:r>
        <w:rPr>
          <w:rFonts w:hint="eastAsia" w:ascii="仿宋" w:hAnsi="仿宋" w:eastAsia="仿宋" w:cs="仿宋"/>
          <w:b w:val="0"/>
          <w:bCs w:val="0"/>
          <w:color w:val="000000"/>
          <w:kern w:val="0"/>
          <w:sz w:val="32"/>
          <w:szCs w:val="32"/>
          <w:highlight w:val="none"/>
        </w:rPr>
        <w:t>组织开展了</w:t>
      </w:r>
      <w:r>
        <w:rPr>
          <w:rFonts w:hint="eastAsia" w:ascii="仿宋" w:hAnsi="仿宋" w:eastAsia="仿宋" w:cs="仿宋"/>
          <w:b w:val="0"/>
          <w:bCs w:val="0"/>
          <w:color w:val="000000"/>
          <w:kern w:val="0"/>
          <w:sz w:val="32"/>
          <w:szCs w:val="32"/>
          <w:highlight w:val="none"/>
          <w:lang w:eastAsia="zh-CN"/>
        </w:rPr>
        <w:t>相关的</w:t>
      </w:r>
      <w:r>
        <w:rPr>
          <w:rFonts w:hint="eastAsia" w:ascii="仿宋" w:hAnsi="仿宋" w:eastAsia="仿宋" w:cs="仿宋"/>
          <w:b w:val="0"/>
          <w:bCs w:val="0"/>
          <w:color w:val="000000"/>
          <w:kern w:val="0"/>
          <w:sz w:val="32"/>
          <w:szCs w:val="32"/>
          <w:highlight w:val="none"/>
        </w:rPr>
        <w:t>应急实战演练。</w:t>
      </w:r>
    </w:p>
    <w:p w14:paraId="0251EDC8">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lang w:val="en-US" w:eastAsia="zh-CN"/>
        </w:rPr>
        <w:t>3.</w:t>
      </w:r>
      <w:r>
        <w:rPr>
          <w:rFonts w:hint="eastAsia" w:ascii="仿宋" w:hAnsi="仿宋" w:eastAsia="仿宋" w:cs="仿宋"/>
          <w:b w:val="0"/>
          <w:bCs w:val="0"/>
          <w:color w:val="000000"/>
          <w:kern w:val="0"/>
          <w:sz w:val="32"/>
          <w:szCs w:val="32"/>
          <w:highlight w:val="none"/>
        </w:rPr>
        <w:t>应急保障能力不断提升。建成三防应急视频系统专用网络和防火监控网络，镇</w:t>
      </w:r>
      <w:r>
        <w:rPr>
          <w:rFonts w:hint="eastAsia" w:ascii="仿宋" w:hAnsi="仿宋" w:eastAsia="仿宋" w:cs="仿宋"/>
          <w:b w:val="0"/>
          <w:bCs w:val="0"/>
          <w:color w:val="000000"/>
          <w:kern w:val="0"/>
          <w:sz w:val="32"/>
          <w:szCs w:val="32"/>
          <w:highlight w:val="none"/>
          <w:lang w:eastAsia="zh-CN"/>
        </w:rPr>
        <w:t>（街道）和部分</w:t>
      </w:r>
      <w:r>
        <w:rPr>
          <w:rFonts w:hint="eastAsia" w:ascii="仿宋" w:hAnsi="仿宋" w:eastAsia="仿宋" w:cs="仿宋"/>
          <w:b w:val="0"/>
          <w:bCs w:val="0"/>
          <w:color w:val="000000"/>
          <w:kern w:val="0"/>
          <w:sz w:val="32"/>
          <w:szCs w:val="32"/>
          <w:highlight w:val="none"/>
        </w:rPr>
        <w:t>村配备卫星电话，依托公共通信网、政务专网、微信、卫星等多种传输手段，保障各级各类应急管理和指挥调度机构间的通信畅通。制定物资调拨流程图，明确平时救灾物资采购、调拨、使用等程序，确保救灾物资高效调运。</w:t>
      </w:r>
      <w:r>
        <w:rPr>
          <w:rFonts w:hint="eastAsia" w:ascii="仿宋" w:hAnsi="仿宋" w:eastAsia="仿宋" w:cs="仿宋"/>
          <w:b w:val="0"/>
          <w:bCs w:val="0"/>
          <w:color w:val="000000"/>
          <w:kern w:val="0"/>
          <w:sz w:val="32"/>
          <w:szCs w:val="32"/>
          <w:highlight w:val="none"/>
          <w:lang w:eastAsia="zh-CN"/>
        </w:rPr>
        <w:t>为</w:t>
      </w:r>
      <w:r>
        <w:rPr>
          <w:rFonts w:hint="eastAsia" w:ascii="仿宋" w:hAnsi="仿宋" w:eastAsia="仿宋" w:cs="仿宋"/>
          <w:b w:val="0"/>
          <w:bCs w:val="0"/>
          <w:color w:val="auto"/>
          <w:sz w:val="32"/>
          <w:szCs w:val="32"/>
          <w:highlight w:val="none"/>
          <w:lang w:val="en-US" w:eastAsia="zh-CN"/>
        </w:rPr>
        <w:t>推进全国综合减灾示范社区创建工作，“十三五”期间已申报示范创建镇（街道）13个，建设市、镇、村三级应急避难场所205个</w:t>
      </w:r>
      <w:r>
        <w:rPr>
          <w:rFonts w:hint="eastAsia" w:ascii="仿宋" w:hAnsi="仿宋" w:eastAsia="仿宋" w:cs="仿宋"/>
          <w:b w:val="0"/>
          <w:bCs w:val="0"/>
          <w:color w:val="000000"/>
          <w:kern w:val="0"/>
          <w:sz w:val="32"/>
          <w:szCs w:val="32"/>
          <w:highlight w:val="none"/>
        </w:rPr>
        <w:t>。出台《</w:t>
      </w:r>
      <w:r>
        <w:rPr>
          <w:rFonts w:hint="eastAsia" w:ascii="仿宋" w:hAnsi="仿宋" w:eastAsia="仿宋" w:cs="仿宋"/>
          <w:b w:val="0"/>
          <w:bCs w:val="0"/>
          <w:color w:val="000000"/>
          <w:kern w:val="0"/>
          <w:sz w:val="32"/>
          <w:szCs w:val="32"/>
          <w:highlight w:val="none"/>
          <w:lang w:eastAsia="zh-CN"/>
        </w:rPr>
        <w:t>兴宁</w:t>
      </w:r>
      <w:r>
        <w:rPr>
          <w:rFonts w:hint="eastAsia" w:ascii="仿宋" w:hAnsi="仿宋" w:eastAsia="仿宋" w:cs="仿宋"/>
          <w:b w:val="0"/>
          <w:bCs w:val="0"/>
          <w:color w:val="000000"/>
          <w:kern w:val="0"/>
          <w:sz w:val="32"/>
          <w:szCs w:val="32"/>
          <w:highlight w:val="none"/>
        </w:rPr>
        <w:t>市应急救援队伍建设管理办法》，全市共有各类应急救援队伍</w:t>
      </w:r>
      <w:r>
        <w:rPr>
          <w:rFonts w:hint="eastAsia" w:ascii="仿宋" w:hAnsi="仿宋" w:eastAsia="仿宋" w:cs="仿宋"/>
          <w:b w:val="0"/>
          <w:bCs w:val="0"/>
          <w:color w:val="000000"/>
          <w:kern w:val="0"/>
          <w:sz w:val="32"/>
          <w:szCs w:val="32"/>
          <w:highlight w:val="none"/>
          <w:lang w:val="en-US" w:eastAsia="zh-CN"/>
        </w:rPr>
        <w:t>24</w:t>
      </w:r>
      <w:r>
        <w:rPr>
          <w:rFonts w:hint="eastAsia" w:ascii="仿宋" w:hAnsi="仿宋" w:eastAsia="仿宋" w:cs="仿宋"/>
          <w:b w:val="0"/>
          <w:bCs w:val="0"/>
          <w:color w:val="000000"/>
          <w:kern w:val="0"/>
          <w:sz w:val="32"/>
          <w:szCs w:val="32"/>
          <w:highlight w:val="none"/>
        </w:rPr>
        <w:t>支，</w:t>
      </w:r>
      <w:r>
        <w:rPr>
          <w:rFonts w:hint="eastAsia" w:ascii="仿宋" w:hAnsi="仿宋" w:eastAsia="仿宋" w:cs="仿宋"/>
          <w:b w:val="0"/>
          <w:bCs w:val="0"/>
          <w:sz w:val="32"/>
          <w:szCs w:val="32"/>
          <w:highlight w:val="none"/>
          <w:lang w:val="en-US" w:eastAsia="zh-CN"/>
        </w:rPr>
        <w:t>其中2020年专门组建成立兴宁市应急综合救援队，现有队员50人（含省防汛抢险民兵轻舟机动五大队兴宁分队40人）；整合组建市防汛机动抢险一、二、三大队，队员500人。并推进各级救援力量建设。在消防救援大队（70人）、公安局（50人）分别成立应急保障队伍，各镇（街道）均成立15人以上半专业应急救援队伍，</w:t>
      </w:r>
      <w:r>
        <w:rPr>
          <w:rFonts w:hint="eastAsia" w:ascii="仿宋" w:hAnsi="仿宋" w:eastAsia="仿宋" w:cs="仿宋"/>
          <w:b w:val="0"/>
          <w:bCs w:val="0"/>
          <w:color w:val="000000"/>
          <w:kern w:val="0"/>
          <w:sz w:val="32"/>
          <w:szCs w:val="32"/>
          <w:highlight w:val="none"/>
        </w:rPr>
        <w:t>建立市级专家库，</w:t>
      </w:r>
      <w:r>
        <w:rPr>
          <w:rFonts w:hint="eastAsia" w:ascii="仿宋" w:hAnsi="仿宋" w:eastAsia="仿宋" w:cs="仿宋"/>
          <w:b w:val="0"/>
          <w:bCs w:val="0"/>
          <w:sz w:val="32"/>
          <w:szCs w:val="32"/>
          <w:highlight w:val="none"/>
          <w:lang w:val="en-US" w:eastAsia="zh-CN"/>
        </w:rPr>
        <w:t>全市应急救援力量有明显提升</w:t>
      </w:r>
      <w:r>
        <w:rPr>
          <w:rFonts w:hint="eastAsia" w:ascii="仿宋" w:hAnsi="仿宋" w:eastAsia="仿宋" w:cs="仿宋"/>
          <w:b w:val="0"/>
          <w:bCs w:val="0"/>
          <w:color w:val="000000"/>
          <w:kern w:val="0"/>
          <w:sz w:val="32"/>
          <w:szCs w:val="32"/>
          <w:highlight w:val="none"/>
        </w:rPr>
        <w:t>。</w:t>
      </w:r>
    </w:p>
    <w:p w14:paraId="3D6B5E27">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4.基层应急体系稳步推进。印发《关于加强基层应急管理建设的指导意见》，采取“四个一”措施（即：有一个健全的应急管理组织体系、有一支应急救援队伍、有一个应急指挥平台、有一个应急救援物资仓库），加强基层应急管理建设，打通防灾减灾救灾工作“最后一公里”</w:t>
      </w:r>
      <w:bookmarkStart w:id="43" w:name="_GoBack"/>
      <w:bookmarkEnd w:id="43"/>
      <w:r>
        <w:rPr>
          <w:rFonts w:hint="eastAsia" w:ascii="仿宋" w:hAnsi="仿宋" w:eastAsia="仿宋" w:cs="仿宋"/>
          <w:b w:val="0"/>
          <w:bCs w:val="0"/>
          <w:color w:val="000000"/>
          <w:kern w:val="0"/>
          <w:sz w:val="32"/>
          <w:szCs w:val="32"/>
          <w:highlight w:val="none"/>
          <w:lang w:val="en-US" w:eastAsia="zh-CN"/>
        </w:rPr>
        <w:t>。以农村防灾减灾“十个有”（即有组织体系、有大喇叭、有警报器、有避难场所、有风险地形图、有明白卡、有应急值守、有应急照明、有小册子、有宣传栏）工作为抓手，全面加强村级防灾减灾救灾建设。</w:t>
      </w:r>
    </w:p>
    <w:p w14:paraId="68CF6379">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lang w:val="en-US" w:eastAsia="zh-CN"/>
        </w:rPr>
        <w:t>5.</w:t>
      </w:r>
      <w:r>
        <w:rPr>
          <w:rFonts w:hint="eastAsia" w:ascii="仿宋" w:hAnsi="仿宋" w:eastAsia="仿宋" w:cs="仿宋"/>
          <w:b w:val="0"/>
          <w:bCs w:val="0"/>
          <w:color w:val="000000"/>
          <w:kern w:val="0"/>
          <w:sz w:val="32"/>
          <w:szCs w:val="32"/>
          <w:highlight w:val="none"/>
        </w:rPr>
        <w:t>应对自然灾害有力有效。初步建立起“横向到边、纵向到底”的自然灾害监测预警、应急体系，逐步形成“政府统一领导、部门协调配合、群众广泛参与、预报预警及时、防范严密到位、处置快捷高效”的自然灾害预警和应急机制，各类应急指挥部作用得到充分发挥。建立了应急响应专题会商机制，气象、</w:t>
      </w:r>
      <w:r>
        <w:rPr>
          <w:rFonts w:hint="eastAsia" w:ascii="仿宋" w:hAnsi="仿宋" w:eastAsia="仿宋" w:cs="仿宋"/>
          <w:b w:val="0"/>
          <w:bCs w:val="0"/>
          <w:color w:val="000000"/>
          <w:kern w:val="0"/>
          <w:sz w:val="32"/>
          <w:szCs w:val="32"/>
          <w:highlight w:val="none"/>
          <w:lang w:eastAsia="zh-CN"/>
        </w:rPr>
        <w:t>应急</w:t>
      </w:r>
      <w:r>
        <w:rPr>
          <w:rFonts w:hint="eastAsia" w:ascii="仿宋" w:hAnsi="仿宋" w:eastAsia="仿宋" w:cs="仿宋"/>
          <w:b w:val="0"/>
          <w:bCs w:val="0"/>
          <w:color w:val="000000"/>
          <w:kern w:val="0"/>
          <w:sz w:val="32"/>
          <w:szCs w:val="32"/>
          <w:highlight w:val="none"/>
        </w:rPr>
        <w:t>、水务</w:t>
      </w:r>
      <w:r>
        <w:rPr>
          <w:rFonts w:hint="eastAsia" w:ascii="仿宋" w:hAnsi="仿宋" w:eastAsia="仿宋" w:cs="仿宋"/>
          <w:b w:val="0"/>
          <w:bCs w:val="0"/>
          <w:color w:val="000000"/>
          <w:kern w:val="0"/>
          <w:sz w:val="32"/>
          <w:szCs w:val="32"/>
          <w:highlight w:val="none"/>
          <w:lang w:eastAsia="zh-CN"/>
        </w:rPr>
        <w:t>、</w:t>
      </w:r>
      <w:r>
        <w:rPr>
          <w:rFonts w:hint="eastAsia" w:ascii="仿宋" w:hAnsi="仿宋" w:eastAsia="仿宋" w:cs="仿宋"/>
          <w:b w:val="0"/>
          <w:bCs w:val="0"/>
          <w:color w:val="000000"/>
          <w:kern w:val="0"/>
          <w:sz w:val="32"/>
          <w:szCs w:val="32"/>
          <w:highlight w:val="none"/>
        </w:rPr>
        <w:t>自然资源等相关部门和专家共同研判天气动态，及时掌握天气情况、雨情、水情及地质灾害情况。</w:t>
      </w:r>
    </w:p>
    <w:p w14:paraId="0F1F8C0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lang w:val="en-US" w:eastAsia="zh-CN"/>
        </w:rPr>
        <w:t>6.</w:t>
      </w:r>
      <w:r>
        <w:rPr>
          <w:rFonts w:hint="eastAsia" w:ascii="仿宋" w:hAnsi="仿宋" w:eastAsia="仿宋" w:cs="仿宋"/>
          <w:b w:val="0"/>
          <w:bCs w:val="0"/>
          <w:color w:val="000000"/>
          <w:kern w:val="0"/>
          <w:sz w:val="32"/>
          <w:szCs w:val="32"/>
          <w:highlight w:val="none"/>
        </w:rPr>
        <w:t>科技强安不断深化。扎实推进非煤矿山安全信息化建设，对</w:t>
      </w:r>
      <w:r>
        <w:rPr>
          <w:rFonts w:hint="eastAsia" w:ascii="仿宋" w:hAnsi="仿宋" w:eastAsia="仿宋" w:cs="仿宋"/>
          <w:b w:val="0"/>
          <w:bCs w:val="0"/>
          <w:color w:val="000000"/>
          <w:kern w:val="0"/>
          <w:sz w:val="32"/>
          <w:szCs w:val="32"/>
          <w:highlight w:val="none"/>
          <w:lang w:val="en-US" w:eastAsia="zh-CN"/>
        </w:rPr>
        <w:t>15</w:t>
      </w:r>
      <w:r>
        <w:rPr>
          <w:rFonts w:hint="eastAsia" w:ascii="仿宋" w:hAnsi="仿宋" w:eastAsia="仿宋" w:cs="仿宋"/>
          <w:b w:val="0"/>
          <w:bCs w:val="0"/>
          <w:color w:val="000000"/>
          <w:kern w:val="0"/>
          <w:sz w:val="32"/>
          <w:szCs w:val="32"/>
          <w:highlight w:val="none"/>
        </w:rPr>
        <w:t>家矿山企业实施可视化监管。1家</w:t>
      </w:r>
      <w:r>
        <w:rPr>
          <w:rFonts w:hint="eastAsia" w:ascii="仿宋" w:hAnsi="仿宋" w:eastAsia="仿宋" w:cs="仿宋"/>
          <w:b w:val="0"/>
          <w:bCs w:val="0"/>
          <w:color w:val="000000"/>
          <w:kern w:val="0"/>
          <w:sz w:val="32"/>
          <w:szCs w:val="32"/>
          <w:highlight w:val="none"/>
          <w:lang w:eastAsia="zh-CN"/>
        </w:rPr>
        <w:t>危险化学</w:t>
      </w:r>
      <w:r>
        <w:rPr>
          <w:rFonts w:hint="eastAsia" w:ascii="仿宋" w:hAnsi="仿宋" w:eastAsia="仿宋" w:cs="仿宋"/>
          <w:b w:val="0"/>
          <w:bCs w:val="0"/>
          <w:color w:val="000000"/>
          <w:kern w:val="0"/>
          <w:sz w:val="32"/>
          <w:szCs w:val="32"/>
          <w:highlight w:val="none"/>
        </w:rPr>
        <w:t>品生产企业</w:t>
      </w:r>
      <w:r>
        <w:rPr>
          <w:rFonts w:hint="eastAsia" w:ascii="仿宋" w:hAnsi="仿宋" w:eastAsia="仿宋" w:cs="仿宋"/>
          <w:b w:val="0"/>
          <w:bCs w:val="0"/>
          <w:color w:val="000000"/>
          <w:kern w:val="0"/>
          <w:sz w:val="32"/>
          <w:szCs w:val="32"/>
          <w:highlight w:val="none"/>
          <w:lang w:eastAsia="zh-CN"/>
        </w:rPr>
        <w:t>（广东弘和高新材料股份有限公司）</w:t>
      </w:r>
      <w:r>
        <w:rPr>
          <w:rFonts w:hint="eastAsia" w:ascii="仿宋" w:hAnsi="仿宋" w:eastAsia="仿宋" w:cs="仿宋"/>
          <w:b w:val="0"/>
          <w:bCs w:val="0"/>
          <w:color w:val="000000"/>
          <w:kern w:val="0"/>
          <w:sz w:val="32"/>
          <w:szCs w:val="32"/>
          <w:highlight w:val="none"/>
        </w:rPr>
        <w:t>的基础信息全部接入</w:t>
      </w:r>
      <w:r>
        <w:rPr>
          <w:rFonts w:hint="eastAsia" w:ascii="仿宋" w:hAnsi="仿宋" w:eastAsia="仿宋" w:cs="仿宋"/>
          <w:b w:val="0"/>
          <w:bCs w:val="0"/>
          <w:color w:val="000000"/>
          <w:kern w:val="0"/>
          <w:sz w:val="32"/>
          <w:szCs w:val="32"/>
          <w:highlight w:val="none"/>
          <w:lang w:eastAsia="zh-CN"/>
        </w:rPr>
        <w:t>省危险化学品风险监测预警系统</w:t>
      </w:r>
      <w:r>
        <w:rPr>
          <w:rFonts w:hint="eastAsia" w:ascii="仿宋" w:hAnsi="仿宋" w:eastAsia="仿宋" w:cs="仿宋"/>
          <w:b w:val="0"/>
          <w:bCs w:val="0"/>
          <w:color w:val="000000"/>
          <w:kern w:val="0"/>
          <w:sz w:val="32"/>
          <w:szCs w:val="32"/>
          <w:highlight w:val="none"/>
        </w:rPr>
        <w:t>。</w:t>
      </w:r>
    </w:p>
    <w:p w14:paraId="7D5F3E9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rPr>
      </w:pPr>
      <w:r>
        <w:rPr>
          <w:rFonts w:hint="eastAsia" w:ascii="仿宋" w:hAnsi="仿宋" w:eastAsia="仿宋" w:cs="仿宋"/>
          <w:b w:val="0"/>
          <w:bCs w:val="0"/>
          <w:color w:val="000000"/>
          <w:kern w:val="0"/>
          <w:sz w:val="32"/>
          <w:szCs w:val="32"/>
          <w:highlight w:val="none"/>
          <w:lang w:val="en-US" w:eastAsia="zh-CN"/>
        </w:rPr>
        <w:t>7.</w:t>
      </w:r>
      <w:r>
        <w:rPr>
          <w:rFonts w:hint="eastAsia" w:ascii="仿宋" w:hAnsi="仿宋" w:eastAsia="仿宋" w:cs="仿宋"/>
          <w:b w:val="0"/>
          <w:bCs w:val="0"/>
          <w:color w:val="000000"/>
          <w:kern w:val="0"/>
          <w:sz w:val="32"/>
          <w:szCs w:val="32"/>
          <w:highlight w:val="none"/>
        </w:rPr>
        <w:t>应急宣传不断加强。突出宣传重点、创新宣传手段，多形式举办安全巡回宣讲</w:t>
      </w:r>
      <w:r>
        <w:rPr>
          <w:rFonts w:hint="eastAsia" w:ascii="仿宋" w:hAnsi="仿宋" w:eastAsia="仿宋" w:cs="仿宋"/>
          <w:b w:val="0"/>
          <w:bCs w:val="0"/>
          <w:color w:val="000000"/>
          <w:kern w:val="0"/>
          <w:sz w:val="32"/>
          <w:szCs w:val="32"/>
          <w:highlight w:val="none"/>
          <w:lang w:eastAsia="zh-CN"/>
        </w:rPr>
        <w:t>和</w:t>
      </w:r>
      <w:r>
        <w:rPr>
          <w:rFonts w:hint="eastAsia" w:ascii="仿宋" w:hAnsi="仿宋" w:eastAsia="仿宋" w:cs="仿宋"/>
          <w:b w:val="0"/>
          <w:bCs w:val="0"/>
          <w:color w:val="000000"/>
          <w:kern w:val="0"/>
          <w:sz w:val="32"/>
          <w:szCs w:val="32"/>
          <w:highlight w:val="none"/>
        </w:rPr>
        <w:t>应急宣传培训，推动宣传教育“</w:t>
      </w:r>
      <w:r>
        <w:rPr>
          <w:rFonts w:hint="eastAsia" w:ascii="仿宋" w:hAnsi="仿宋" w:eastAsia="仿宋" w:cs="仿宋"/>
          <w:b w:val="0"/>
          <w:bCs w:val="0"/>
          <w:color w:val="000000"/>
          <w:kern w:val="0"/>
          <w:sz w:val="32"/>
          <w:szCs w:val="32"/>
          <w:highlight w:val="none"/>
          <w:lang w:eastAsia="zh-CN"/>
        </w:rPr>
        <w:t>五</w:t>
      </w:r>
      <w:r>
        <w:rPr>
          <w:rFonts w:hint="eastAsia" w:ascii="仿宋" w:hAnsi="仿宋" w:eastAsia="仿宋" w:cs="仿宋"/>
          <w:b w:val="0"/>
          <w:bCs w:val="0"/>
          <w:color w:val="000000"/>
          <w:kern w:val="0"/>
          <w:sz w:val="32"/>
          <w:szCs w:val="32"/>
          <w:highlight w:val="none"/>
        </w:rPr>
        <w:t>进”活动，营造了大宣传的浓厚氛围，让应急知识普及到基层单位和群众，大大提升广大干部群众的安全意识和防范能力。</w:t>
      </w:r>
    </w:p>
    <w:p w14:paraId="112B268A">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8.安全形势持续稳定。十三五时期，全市共发生各类事故1612起，死亡210人，伤1240人。</w:t>
      </w:r>
      <w:r>
        <w:rPr>
          <w:rFonts w:hint="eastAsia" w:ascii="仿宋" w:hAnsi="仿宋" w:eastAsia="仿宋" w:cs="仿宋"/>
          <w:b w:val="0"/>
          <w:bCs w:val="0"/>
          <w:sz w:val="32"/>
          <w:szCs w:val="32"/>
          <w:highlight w:val="none"/>
          <w:lang w:eastAsia="zh-CN"/>
        </w:rPr>
        <w:t>其中，2020年对比</w:t>
      </w:r>
      <w:r>
        <w:rPr>
          <w:rFonts w:hint="eastAsia" w:ascii="仿宋" w:hAnsi="仿宋" w:eastAsia="仿宋" w:cs="仿宋"/>
          <w:b w:val="0"/>
          <w:bCs w:val="0"/>
          <w:sz w:val="32"/>
          <w:szCs w:val="32"/>
          <w:highlight w:val="none"/>
          <w:lang w:val="en-US" w:eastAsia="zh-CN"/>
        </w:rPr>
        <w:t>2016年</w:t>
      </w:r>
      <w:r>
        <w:rPr>
          <w:rFonts w:hint="eastAsia" w:ascii="仿宋" w:hAnsi="仿宋" w:eastAsia="仿宋" w:cs="仿宋"/>
          <w:b w:val="0"/>
          <w:bCs w:val="0"/>
          <w:sz w:val="32"/>
          <w:szCs w:val="32"/>
          <w:highlight w:val="none"/>
          <w:lang w:eastAsia="zh-CN"/>
        </w:rPr>
        <w:t>数据虽然有所上升，但从“十三五”规划的主要指标来看，各类事故死亡人数均在预期控制目标内。据统计：</w:t>
      </w:r>
    </w:p>
    <w:p w14:paraId="6EE1148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2016年，全市发生一般安全事故200起、死亡42人、伤106人。其中，工矿商贸企业生产安全事故2起、死亡2人，道路交通事故101起、死亡39人（其中生产经营性道路交通事故死亡7人）、伤105人，火灾97起、死亡1人、伤1人（非生产经营性火灾事故）。</w:t>
      </w:r>
    </w:p>
    <w:p w14:paraId="2552BAE4">
      <w:pPr>
        <w:keepNext w:val="0"/>
        <w:keepLines w:val="0"/>
        <w:pageBreakBefore w:val="0"/>
        <w:kinsoku/>
        <w:wordWrap/>
        <w:overflowPunct/>
        <w:topLinePunct w:val="0"/>
        <w:bidi w:val="0"/>
        <w:adjustRightInd w:val="0"/>
        <w:snapToGrid w:val="0"/>
        <w:spacing w:line="560" w:lineRule="exact"/>
        <w:ind w:firstLine="640" w:firstLineChars="200"/>
        <w:jc w:val="both"/>
        <w:rPr>
          <w:rFonts w:hint="default"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2017年全市共发生一般安全事故246起、死亡40人、伤181人，其中：建筑施工事故1起、死亡1人；道路交通事故153起、死亡39人、伤181人（其中生产经营性道路交通事故5起、死亡6人）；火灾92起、无人员伤亡。</w:t>
      </w:r>
    </w:p>
    <w:p w14:paraId="36973E9E">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2018年全市共发生安全事故181起、死亡41人、伤105人；工商贸生产安全事故（砖厂事故）1起，死亡1人；道路交通事故110起、死亡40人、伤105人；火灾70起、无人员伤亡。</w:t>
      </w:r>
    </w:p>
    <w:p w14:paraId="5CC7E278">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2019年，共发生一般安全事故183起（无较大以上安全事故）、死亡36人、伤106人，其中：发生道路交通事故108起、死亡36人、伤106人；火灾74起（不含森林火灾）、无人员伤亡；森林火灾事故1起，无人员伤亡；无工商贸事故。</w:t>
      </w:r>
    </w:p>
    <w:p w14:paraId="75CE0B2C">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2020年，全市共发生各类事故802起（含生产经营性道路交通事故4起，2死2伤），死亡51人、伤742人。其中道路交通事故618起、死亡49人、受伤742人；火灾253起（不含森林火灾）、死亡2人，受伤0人；森林火灾1起，无人员伤亡；无工矿商贸生产安全事故。</w:t>
      </w:r>
    </w:p>
    <w:p w14:paraId="0D18C1B1">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2" w:name="_Toc23128"/>
      <w:r>
        <w:rPr>
          <w:rFonts w:hint="eastAsia" w:ascii="楷体" w:hAnsi="楷体" w:eastAsia="楷体" w:cs="楷体"/>
          <w:b w:val="0"/>
          <w:bCs w:val="0"/>
          <w:sz w:val="32"/>
          <w:szCs w:val="32"/>
          <w:highlight w:val="none"/>
        </w:rPr>
        <w:t>（二）面临的问题</w:t>
      </w:r>
      <w:bookmarkEnd w:id="2"/>
      <w:r>
        <w:rPr>
          <w:rFonts w:hint="eastAsia" w:ascii="楷体" w:hAnsi="楷体" w:eastAsia="楷体" w:cs="楷体"/>
          <w:b w:val="0"/>
          <w:bCs w:val="0"/>
          <w:sz w:val="32"/>
          <w:szCs w:val="32"/>
          <w:highlight w:val="none"/>
          <w:lang w:eastAsia="zh-CN"/>
        </w:rPr>
        <w:t>。</w:t>
      </w:r>
    </w:p>
    <w:p w14:paraId="21C7C748">
      <w:pPr>
        <w:pStyle w:val="8"/>
        <w:keepNext w:val="0"/>
        <w:keepLines w:val="0"/>
        <w:pageBreakBefore w:val="0"/>
        <w:kinsoku/>
        <w:wordWrap/>
        <w:overflowPunct/>
        <w:topLinePunct w:val="0"/>
        <w:bidi w:val="0"/>
        <w:adjustRightInd w:val="0"/>
        <w:snapToGrid w:val="0"/>
        <w:spacing w:beforeAutospacing="0" w:afterAutospacing="0" w:line="560" w:lineRule="exact"/>
        <w:ind w:firstLine="640" w:firstLineChars="200"/>
        <w:jc w:val="both"/>
        <w:rPr>
          <w:rFonts w:hint="eastAsia" w:ascii="仿宋" w:hAnsi="仿宋" w:eastAsia="仿宋" w:cs="仿宋"/>
          <w:b w:val="0"/>
          <w:bCs w:val="0"/>
          <w:color w:val="000000"/>
          <w:kern w:val="2"/>
          <w:sz w:val="32"/>
          <w:szCs w:val="32"/>
          <w:highlight w:val="none"/>
          <w:shd w:val="clear" w:color="auto" w:fill="FFFFFF"/>
        </w:rPr>
      </w:pPr>
      <w:r>
        <w:rPr>
          <w:rFonts w:hint="eastAsia" w:ascii="仿宋" w:hAnsi="仿宋" w:eastAsia="仿宋" w:cs="仿宋"/>
          <w:b w:val="0"/>
          <w:bCs w:val="0"/>
          <w:color w:val="000000"/>
          <w:kern w:val="2"/>
          <w:sz w:val="32"/>
          <w:szCs w:val="32"/>
          <w:highlight w:val="none"/>
          <w:shd w:val="clear" w:color="auto" w:fill="FFFFFF"/>
          <w:lang w:val="en-US" w:eastAsia="zh-CN"/>
        </w:rPr>
        <w:t>1</w:t>
      </w:r>
      <w:r>
        <w:rPr>
          <w:rFonts w:hint="eastAsia" w:ascii="仿宋" w:hAnsi="仿宋" w:eastAsia="仿宋" w:cs="仿宋"/>
          <w:b w:val="0"/>
          <w:bCs w:val="0"/>
          <w:color w:val="000000"/>
          <w:kern w:val="2"/>
          <w:sz w:val="32"/>
          <w:szCs w:val="32"/>
          <w:highlight w:val="none"/>
          <w:shd w:val="clear" w:color="auto" w:fill="FFFFFF"/>
        </w:rPr>
        <w:t>.应急管理基础依然薄弱，尤其是应急管理信息化建设、基层基础建设、应急救援力量建设等方面存在较大的差距。应急管理改革还有待深化。“破”与“立”、“改”与“建”、“管”与“放”等任务还十分繁重，有些领域的改革还只是简单的“物理相加”，没有发生“化学反应”；</w:t>
      </w:r>
      <w:r>
        <w:rPr>
          <w:rFonts w:hint="eastAsia" w:ascii="仿宋" w:hAnsi="仿宋" w:eastAsia="仿宋" w:cs="仿宋"/>
          <w:b w:val="0"/>
          <w:bCs w:val="0"/>
          <w:color w:val="000000"/>
          <w:kern w:val="2"/>
          <w:sz w:val="32"/>
          <w:szCs w:val="32"/>
          <w:highlight w:val="none"/>
          <w:shd w:val="clear" w:color="auto" w:fill="FFFFFF"/>
          <w:lang w:eastAsia="zh-CN"/>
        </w:rPr>
        <w:t>安全管理措施和技术措施仍有欠缺；</w:t>
      </w:r>
      <w:r>
        <w:rPr>
          <w:rFonts w:hint="eastAsia" w:ascii="仿宋" w:hAnsi="仿宋" w:eastAsia="仿宋" w:cs="仿宋"/>
          <w:b w:val="0"/>
          <w:bCs w:val="0"/>
          <w:color w:val="000000"/>
          <w:kern w:val="2"/>
          <w:sz w:val="32"/>
          <w:szCs w:val="32"/>
          <w:highlight w:val="none"/>
          <w:shd w:val="clear" w:color="auto" w:fill="FFFFFF"/>
        </w:rPr>
        <w:t>有些机制体系、规章制度还没有成熟定型</w:t>
      </w:r>
      <w:r>
        <w:rPr>
          <w:rFonts w:hint="eastAsia" w:ascii="仿宋" w:hAnsi="仿宋" w:eastAsia="仿宋" w:cs="仿宋"/>
          <w:b w:val="0"/>
          <w:bCs w:val="0"/>
          <w:color w:val="000000"/>
          <w:kern w:val="2"/>
          <w:sz w:val="32"/>
          <w:szCs w:val="32"/>
          <w:highlight w:val="none"/>
          <w:shd w:val="clear" w:color="auto" w:fill="FFFFFF"/>
          <w:lang w:eastAsia="zh-CN"/>
        </w:rPr>
        <w:t>；应急管理机构设置、职责分工和队伍建设还存在不少问题和短板</w:t>
      </w:r>
      <w:r>
        <w:rPr>
          <w:rFonts w:hint="eastAsia" w:ascii="仿宋" w:hAnsi="仿宋" w:eastAsia="仿宋" w:cs="仿宋"/>
          <w:b w:val="0"/>
          <w:bCs w:val="0"/>
          <w:color w:val="000000"/>
          <w:kern w:val="2"/>
          <w:sz w:val="32"/>
          <w:szCs w:val="32"/>
          <w:highlight w:val="none"/>
          <w:shd w:val="clear" w:color="auto" w:fill="FFFFFF"/>
        </w:rPr>
        <w:t>等等。这些问题都有待进一步解决和强化。</w:t>
      </w:r>
    </w:p>
    <w:p w14:paraId="0E8FBB1A">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sz w:val="32"/>
          <w:szCs w:val="32"/>
          <w:highlight w:val="none"/>
          <w:shd w:val="clear" w:color="auto" w:fill="FFFFFF"/>
        </w:rPr>
      </w:pPr>
      <w:r>
        <w:rPr>
          <w:rFonts w:hint="eastAsia" w:ascii="仿宋" w:hAnsi="仿宋" w:eastAsia="仿宋" w:cs="仿宋"/>
          <w:b w:val="0"/>
          <w:bCs w:val="0"/>
          <w:color w:val="000000"/>
          <w:sz w:val="32"/>
          <w:szCs w:val="32"/>
          <w:highlight w:val="none"/>
          <w:shd w:val="clear" w:color="auto" w:fill="FFFFFF"/>
          <w:lang w:val="en-US" w:eastAsia="zh-CN"/>
        </w:rPr>
        <w:t>2.</w:t>
      </w:r>
      <w:r>
        <w:rPr>
          <w:rFonts w:hint="eastAsia" w:ascii="仿宋" w:hAnsi="仿宋" w:eastAsia="仿宋" w:cs="仿宋"/>
          <w:b w:val="0"/>
          <w:bCs w:val="0"/>
          <w:color w:val="000000"/>
          <w:sz w:val="32"/>
          <w:szCs w:val="32"/>
          <w:highlight w:val="none"/>
          <w:shd w:val="clear" w:color="auto" w:fill="FFFFFF"/>
        </w:rPr>
        <w:t>安全生产仍处于爬坡过坎期，各类事故隐患和安全风险交织叠加，防范化解重大风险的压力更大。主要表现：一是安全责任有待强化，特别是在企业主体责任方面，部分企业主要负责人和安全管理人员落实安全职责不到位，未制定风险清单，未在醒目位置和重点区域设置重大风险公告栏，现场安全管理不到位，存在违法违规行为。二是安全生产基础有待夯实，应急救援队伍建设</w:t>
      </w:r>
      <w:r>
        <w:rPr>
          <w:rFonts w:hint="eastAsia" w:ascii="仿宋" w:hAnsi="仿宋" w:eastAsia="仿宋" w:cs="仿宋"/>
          <w:b w:val="0"/>
          <w:bCs w:val="0"/>
          <w:color w:val="000000"/>
          <w:sz w:val="32"/>
          <w:szCs w:val="32"/>
          <w:highlight w:val="none"/>
          <w:shd w:val="clear" w:color="auto" w:fill="FFFFFF"/>
          <w:lang w:eastAsia="zh-CN"/>
        </w:rPr>
        <w:t>仍需加强</w:t>
      </w:r>
      <w:r>
        <w:rPr>
          <w:rFonts w:hint="eastAsia" w:ascii="仿宋" w:hAnsi="仿宋" w:eastAsia="仿宋" w:cs="仿宋"/>
          <w:b w:val="0"/>
          <w:bCs w:val="0"/>
          <w:color w:val="000000"/>
          <w:sz w:val="32"/>
          <w:szCs w:val="32"/>
          <w:highlight w:val="none"/>
          <w:shd w:val="clear" w:color="auto" w:fill="FFFFFF"/>
        </w:rPr>
        <w:t>，</w:t>
      </w:r>
      <w:r>
        <w:rPr>
          <w:rFonts w:hint="eastAsia" w:ascii="仿宋" w:hAnsi="仿宋" w:eastAsia="仿宋" w:cs="仿宋"/>
          <w:b w:val="0"/>
          <w:bCs w:val="0"/>
          <w:color w:val="000000"/>
          <w:sz w:val="32"/>
          <w:szCs w:val="32"/>
          <w:highlight w:val="none"/>
          <w:shd w:val="clear" w:color="auto" w:fill="FFFFFF"/>
          <w:lang w:eastAsia="zh-CN"/>
        </w:rPr>
        <w:t>相关的救援装备相对落后，缺乏专门的训练营房和应急救援物资储备仓库</w:t>
      </w:r>
      <w:r>
        <w:rPr>
          <w:rFonts w:hint="eastAsia" w:ascii="仿宋" w:hAnsi="仿宋" w:eastAsia="仿宋" w:cs="仿宋"/>
          <w:b w:val="0"/>
          <w:bCs w:val="0"/>
          <w:color w:val="000000"/>
          <w:sz w:val="32"/>
          <w:szCs w:val="32"/>
          <w:highlight w:val="none"/>
          <w:shd w:val="clear" w:color="auto" w:fill="FFFFFF"/>
        </w:rPr>
        <w:t>。安全科技支撑能力建设滞后，个别企业未及时淘汰落后及不安全的设备、工艺。三是安全预防力度有待加强。安全风险分级管控机制仍需完善，部分</w:t>
      </w:r>
      <w:r>
        <w:rPr>
          <w:rFonts w:hint="eastAsia" w:ascii="仿宋" w:hAnsi="仿宋" w:eastAsia="仿宋" w:cs="仿宋"/>
          <w:b w:val="0"/>
          <w:bCs w:val="0"/>
          <w:color w:val="000000"/>
          <w:sz w:val="32"/>
          <w:szCs w:val="32"/>
          <w:highlight w:val="none"/>
          <w:shd w:val="clear" w:color="auto" w:fill="FFFFFF"/>
          <w:lang w:eastAsia="zh-CN"/>
        </w:rPr>
        <w:t>镇（街道）</w:t>
      </w:r>
      <w:r>
        <w:rPr>
          <w:rFonts w:hint="eastAsia" w:ascii="仿宋" w:hAnsi="仿宋" w:eastAsia="仿宋" w:cs="仿宋"/>
          <w:b w:val="0"/>
          <w:bCs w:val="0"/>
          <w:color w:val="000000"/>
          <w:sz w:val="32"/>
          <w:szCs w:val="32"/>
          <w:highlight w:val="none"/>
          <w:shd w:val="clear" w:color="auto" w:fill="FFFFFF"/>
        </w:rPr>
        <w:t>和行业安全生产监管存在“重检查、轻处罚”现象，安全生产领域失信联合惩戒力度不大，部分重大事故隐患整治力度不够，安全生产应急救援和安全宣传教育培训力度不够。</w:t>
      </w:r>
    </w:p>
    <w:p w14:paraId="30AE4B55">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2"/>
          <w:sz w:val="32"/>
          <w:szCs w:val="32"/>
          <w:highlight w:val="none"/>
          <w:shd w:val="clear" w:color="auto" w:fill="FFFFFF"/>
          <w:lang w:val="en-US" w:eastAsia="zh-CN"/>
        </w:rPr>
      </w:pPr>
      <w:r>
        <w:rPr>
          <w:rFonts w:hint="eastAsia" w:ascii="仿宋" w:hAnsi="仿宋" w:eastAsia="仿宋" w:cs="仿宋"/>
          <w:b w:val="0"/>
          <w:bCs w:val="0"/>
          <w:color w:val="000000"/>
          <w:sz w:val="32"/>
          <w:szCs w:val="32"/>
          <w:highlight w:val="none"/>
          <w:shd w:val="clear" w:color="auto" w:fill="FFFFFF"/>
          <w:lang w:val="en-US" w:eastAsia="zh-CN"/>
        </w:rPr>
        <w:t>3.“十三五”时期，</w:t>
      </w:r>
      <w:r>
        <w:rPr>
          <w:rFonts w:hint="eastAsia" w:ascii="仿宋" w:hAnsi="仿宋" w:eastAsia="仿宋" w:cs="仿宋"/>
          <w:b w:val="0"/>
          <w:bCs w:val="0"/>
          <w:sz w:val="32"/>
          <w:szCs w:val="32"/>
          <w:highlight w:val="none"/>
        </w:rPr>
        <w:t>事故总量</w:t>
      </w:r>
      <w:r>
        <w:rPr>
          <w:rFonts w:hint="eastAsia" w:ascii="仿宋" w:hAnsi="仿宋" w:eastAsia="仿宋" w:cs="仿宋"/>
          <w:b w:val="0"/>
          <w:bCs w:val="0"/>
          <w:sz w:val="32"/>
          <w:szCs w:val="32"/>
          <w:highlight w:val="none"/>
          <w:lang w:eastAsia="zh-CN"/>
        </w:rPr>
        <w:t>仍然较高</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其中道路交通事故总量大，伤亡人员多，其他</w:t>
      </w:r>
      <w:r>
        <w:rPr>
          <w:rFonts w:hint="eastAsia" w:ascii="仿宋" w:hAnsi="仿宋" w:eastAsia="仿宋" w:cs="仿宋"/>
          <w:b w:val="0"/>
          <w:bCs w:val="0"/>
          <w:sz w:val="32"/>
          <w:szCs w:val="32"/>
          <w:highlight w:val="none"/>
        </w:rPr>
        <w:t>部分行业领域和</w:t>
      </w:r>
      <w:r>
        <w:rPr>
          <w:rFonts w:hint="eastAsia" w:ascii="仿宋" w:hAnsi="仿宋" w:eastAsia="仿宋" w:cs="仿宋"/>
          <w:b w:val="0"/>
          <w:bCs w:val="0"/>
          <w:sz w:val="32"/>
          <w:szCs w:val="32"/>
          <w:highlight w:val="none"/>
          <w:lang w:eastAsia="zh-CN"/>
        </w:rPr>
        <w:t>区域</w:t>
      </w:r>
      <w:r>
        <w:rPr>
          <w:rFonts w:hint="eastAsia" w:ascii="仿宋" w:hAnsi="仿宋" w:eastAsia="仿宋" w:cs="仿宋"/>
          <w:b w:val="0"/>
          <w:bCs w:val="0"/>
          <w:sz w:val="32"/>
          <w:szCs w:val="32"/>
          <w:highlight w:val="none"/>
        </w:rPr>
        <w:t>事故</w:t>
      </w:r>
      <w:r>
        <w:rPr>
          <w:rFonts w:hint="eastAsia" w:ascii="仿宋" w:hAnsi="仿宋" w:eastAsia="仿宋" w:cs="仿宋"/>
          <w:b w:val="0"/>
          <w:bCs w:val="0"/>
          <w:sz w:val="32"/>
          <w:szCs w:val="32"/>
          <w:highlight w:val="none"/>
          <w:lang w:eastAsia="zh-CN"/>
        </w:rPr>
        <w:t>也</w:t>
      </w:r>
      <w:r>
        <w:rPr>
          <w:rFonts w:hint="eastAsia" w:ascii="仿宋" w:hAnsi="仿宋" w:eastAsia="仿宋" w:cs="仿宋"/>
          <w:b w:val="0"/>
          <w:bCs w:val="0"/>
          <w:sz w:val="32"/>
          <w:szCs w:val="32"/>
          <w:highlight w:val="none"/>
        </w:rPr>
        <w:t>有所反弹。</w:t>
      </w:r>
      <w:r>
        <w:rPr>
          <w:rFonts w:hint="eastAsia" w:ascii="仿宋" w:hAnsi="仿宋" w:eastAsia="仿宋" w:cs="仿宋"/>
          <w:b w:val="0"/>
          <w:bCs w:val="0"/>
          <w:sz w:val="32"/>
          <w:szCs w:val="32"/>
          <w:highlight w:val="none"/>
          <w:lang w:eastAsia="zh-CN"/>
        </w:rPr>
        <w:t>主要原因在于：一是全民交通安全意识不强，驾驶员素质有待进一步提高；二是道路运输风险研判和管控不够到位，道路交通安全隐患排查治理不够深入；三是公路基础设施安全隐患存量还较多，违章行车（走）、违章载重（客）、违章乘车等行为依旧存在。</w:t>
      </w:r>
    </w:p>
    <w:p w14:paraId="563735EA">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3" w:name="_Toc3287"/>
      <w:r>
        <w:rPr>
          <w:rFonts w:hint="eastAsia" w:ascii="楷体" w:hAnsi="楷体" w:eastAsia="楷体" w:cs="楷体"/>
          <w:b w:val="0"/>
          <w:bCs w:val="0"/>
          <w:sz w:val="32"/>
          <w:szCs w:val="32"/>
          <w:highlight w:val="none"/>
        </w:rPr>
        <w:t>（三）发展形势</w:t>
      </w:r>
      <w:bookmarkEnd w:id="3"/>
      <w:r>
        <w:rPr>
          <w:rFonts w:hint="eastAsia" w:ascii="楷体" w:hAnsi="楷体" w:eastAsia="楷体" w:cs="楷体"/>
          <w:b w:val="0"/>
          <w:bCs w:val="0"/>
          <w:sz w:val="32"/>
          <w:szCs w:val="32"/>
          <w:highlight w:val="none"/>
          <w:lang w:eastAsia="zh-CN"/>
        </w:rPr>
        <w:t>。</w:t>
      </w:r>
    </w:p>
    <w:p w14:paraId="4326BAC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进入“十四五”时期，我市应急管理工作面临新形势，迎接新挑战，应对和处置突发自然灾害和安全生产事故</w:t>
      </w:r>
      <w:r>
        <w:rPr>
          <w:rFonts w:hint="eastAsia" w:ascii="仿宋" w:hAnsi="仿宋" w:eastAsia="仿宋" w:cs="仿宋"/>
          <w:b w:val="0"/>
          <w:bCs w:val="0"/>
          <w:color w:val="000000"/>
          <w:sz w:val="32"/>
          <w:szCs w:val="32"/>
          <w:highlight w:val="none"/>
          <w:shd w:val="clear" w:color="auto" w:fill="FFFFFF"/>
        </w:rPr>
        <w:t>，为实现</w:t>
      </w:r>
      <w:r>
        <w:rPr>
          <w:rFonts w:hint="eastAsia" w:ascii="仿宋" w:hAnsi="仿宋" w:eastAsia="仿宋" w:cs="仿宋"/>
          <w:b w:val="0"/>
          <w:bCs w:val="0"/>
          <w:color w:val="000000"/>
          <w:sz w:val="32"/>
          <w:szCs w:val="32"/>
          <w:highlight w:val="none"/>
          <w:shd w:val="clear" w:color="auto" w:fill="FFFFFF"/>
          <w:lang w:eastAsia="zh-CN"/>
        </w:rPr>
        <w:t>兴宁苏区</w:t>
      </w:r>
      <w:r>
        <w:rPr>
          <w:rFonts w:hint="eastAsia" w:ascii="仿宋" w:hAnsi="仿宋" w:eastAsia="仿宋" w:cs="仿宋"/>
          <w:b w:val="0"/>
          <w:bCs w:val="0"/>
          <w:color w:val="000000"/>
          <w:sz w:val="32"/>
          <w:szCs w:val="32"/>
          <w:highlight w:val="none"/>
          <w:shd w:val="clear" w:color="auto" w:fill="FFFFFF"/>
        </w:rPr>
        <w:t>振兴发展提供更加安全稳定的社会环境</w:t>
      </w:r>
      <w:r>
        <w:rPr>
          <w:rFonts w:hint="eastAsia" w:ascii="仿宋" w:hAnsi="仿宋" w:eastAsia="仿宋" w:cs="仿宋"/>
          <w:b w:val="0"/>
          <w:bCs w:val="0"/>
          <w:sz w:val="32"/>
          <w:szCs w:val="32"/>
          <w:highlight w:val="none"/>
        </w:rPr>
        <w:t>，任重道远。</w:t>
      </w:r>
    </w:p>
    <w:p w14:paraId="7490854B">
      <w:pPr>
        <w:keepNext w:val="0"/>
        <w:keepLines w:val="0"/>
        <w:pageBreakBefore w:val="0"/>
        <w:kinsoku/>
        <w:wordWrap/>
        <w:overflowPunct/>
        <w:topLinePunct w:val="0"/>
        <w:bidi w:val="0"/>
        <w:adjustRightInd w:val="0"/>
        <w:snapToGrid w:val="0"/>
        <w:spacing w:line="560" w:lineRule="exact"/>
        <w:ind w:firstLine="64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1.应急管理改革发展任务繁重艰巨。围绕构建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统一指挥、专常兼备、反应灵敏、上下联动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的应急管理体制和</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统一领导、权责一致、权威高效</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的应急能力体系这个总体目标，深入推进应急指挥体制、部门管理体制、安全监管和执法体制改革。一是要建立健全应急管理权责清单，正确处理好“统”与“分”、“防”与“救”、“上”与“下”的关系，充分发挥应急管理部门的综合优势和各有关部门的专业优势；二是要建立健全应急处置机制，全面完成综合指挥系统建设，搭建信息齐全、便捷高效、上下融通的指挥网络；三是要全面加强执法监察规范化建设，继续推进常态化执法工作</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四是要建立应急宣传常态化机制，打造应急管理宣传品牌，持续推进应急宣传“五进”活动。</w:t>
      </w:r>
    </w:p>
    <w:p w14:paraId="1F327322">
      <w:pPr>
        <w:keepNext w:val="0"/>
        <w:keepLines w:val="0"/>
        <w:pageBreakBefore w:val="0"/>
        <w:kinsoku/>
        <w:wordWrap/>
        <w:overflowPunct/>
        <w:topLinePunct w:val="0"/>
        <w:bidi w:val="0"/>
        <w:adjustRightInd w:val="0"/>
        <w:snapToGrid w:val="0"/>
        <w:spacing w:line="560" w:lineRule="exact"/>
        <w:ind w:firstLine="64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安全生产风险防控压力大。从安全投入看，调结构、转方式过程中部分传统工业、矿山企业经济效益短期下滑，会带来安全投入不足、安全生产保障能力降低的风险；从生产要素看，大量农村劳动力加快转化为产业工人，人员安全技能和素质短期内难以快速提升，事故风险增加；从产业结构看，新兴产业快速发展，非传统高危行业安全风险加大；从商业生态看，互联网、电商的快速发展，隐蔽性、流动性、关联性风险增加。随着我市“一城一廊一带”建设的推进，城镇化、工业化发展加快，高速公路总里程、机动车保有量不断增大，大项目建设逐步增多，产业转型升级带来新产业安全风险，安全生产监管压力将进一步加大。</w:t>
      </w:r>
    </w:p>
    <w:p w14:paraId="4E0432BE">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综合预期，“十四五”时期事故总量仍将保持稳定下降，但部分行业领域和</w:t>
      </w:r>
      <w:r>
        <w:rPr>
          <w:rFonts w:hint="eastAsia" w:ascii="仿宋" w:hAnsi="仿宋" w:eastAsia="仿宋" w:cs="仿宋"/>
          <w:b w:val="0"/>
          <w:bCs w:val="0"/>
          <w:sz w:val="32"/>
          <w:szCs w:val="32"/>
          <w:highlight w:val="none"/>
          <w:lang w:eastAsia="zh-CN"/>
        </w:rPr>
        <w:t>区域</w:t>
      </w:r>
      <w:r>
        <w:rPr>
          <w:rFonts w:hint="eastAsia" w:ascii="仿宋" w:hAnsi="仿宋" w:eastAsia="仿宋" w:cs="仿宋"/>
          <w:b w:val="0"/>
          <w:bCs w:val="0"/>
          <w:sz w:val="32"/>
          <w:szCs w:val="32"/>
          <w:highlight w:val="none"/>
        </w:rPr>
        <w:t>事故会有所反弹，生产安全事故预计呈现诱因多样化、类型复合化。应急管理工作进入以实现安全发展为目标，健全应急管理法治体系，严格安全监管执法，加强全民安全意识教育，创新安全管理和应急处置。</w:t>
      </w:r>
    </w:p>
    <w:p w14:paraId="71351985">
      <w:pPr>
        <w:keepNext w:val="0"/>
        <w:keepLines w:val="0"/>
        <w:pageBreakBefore w:val="0"/>
        <w:kinsoku/>
        <w:wordWrap/>
        <w:overflowPunct/>
        <w:topLinePunct w:val="0"/>
        <w:bidi w:val="0"/>
        <w:adjustRightInd w:val="0"/>
        <w:snapToGrid w:val="0"/>
        <w:spacing w:line="560" w:lineRule="exact"/>
        <w:ind w:firstLine="640" w:firstLineChars="200"/>
        <w:jc w:val="both"/>
        <w:outlineLvl w:val="0"/>
        <w:rPr>
          <w:rFonts w:ascii="黑体" w:hAnsi="Calibri" w:eastAsia="黑体"/>
          <w:b w:val="0"/>
          <w:bCs w:val="0"/>
          <w:sz w:val="32"/>
          <w:szCs w:val="32"/>
          <w:highlight w:val="none"/>
        </w:rPr>
      </w:pPr>
      <w:bookmarkStart w:id="4" w:name="_Toc11361"/>
      <w:r>
        <w:rPr>
          <w:rFonts w:hint="eastAsia" w:ascii="黑体" w:hAnsi="Calibri" w:eastAsia="黑体"/>
          <w:b w:val="0"/>
          <w:bCs w:val="0"/>
          <w:sz w:val="32"/>
          <w:szCs w:val="32"/>
          <w:highlight w:val="none"/>
        </w:rPr>
        <w:t>二、指导思想和规划目标</w:t>
      </w:r>
      <w:bookmarkEnd w:id="4"/>
    </w:p>
    <w:p w14:paraId="7F708B89">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5" w:name="_Toc29924"/>
      <w:r>
        <w:rPr>
          <w:rFonts w:hint="eastAsia" w:ascii="楷体" w:hAnsi="楷体" w:eastAsia="楷体" w:cs="楷体"/>
          <w:b w:val="0"/>
          <w:bCs w:val="0"/>
          <w:sz w:val="32"/>
          <w:szCs w:val="32"/>
          <w:highlight w:val="none"/>
        </w:rPr>
        <w:t>（一）指导思想</w:t>
      </w:r>
      <w:bookmarkEnd w:id="5"/>
      <w:r>
        <w:rPr>
          <w:rFonts w:hint="eastAsia" w:ascii="楷体" w:hAnsi="楷体" w:eastAsia="楷体" w:cs="楷体"/>
          <w:b w:val="0"/>
          <w:bCs w:val="0"/>
          <w:sz w:val="32"/>
          <w:szCs w:val="32"/>
          <w:highlight w:val="none"/>
          <w:lang w:eastAsia="zh-CN"/>
        </w:rPr>
        <w:t>。</w:t>
      </w:r>
    </w:p>
    <w:p w14:paraId="445545E9">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sz w:val="32"/>
          <w:szCs w:val="32"/>
          <w:highlight w:val="none"/>
        </w:rPr>
        <w:t>以</w:t>
      </w:r>
      <w:r>
        <w:rPr>
          <w:rFonts w:hint="eastAsia" w:ascii="仿宋" w:hAnsi="仿宋" w:eastAsia="仿宋" w:cs="仿宋"/>
          <w:b w:val="0"/>
          <w:bCs w:val="0"/>
          <w:color w:val="000000"/>
          <w:sz w:val="32"/>
          <w:szCs w:val="32"/>
          <w:highlight w:val="none"/>
        </w:rPr>
        <w:t>习近平新时代中国特色社会主义思想</w:t>
      </w:r>
      <w:r>
        <w:rPr>
          <w:rFonts w:hint="eastAsia" w:ascii="仿宋" w:hAnsi="仿宋" w:eastAsia="仿宋" w:cs="仿宋"/>
          <w:b w:val="0"/>
          <w:bCs w:val="0"/>
          <w:sz w:val="32"/>
          <w:szCs w:val="32"/>
          <w:highlight w:val="none"/>
        </w:rPr>
        <w:t>为指导，</w:t>
      </w:r>
      <w:r>
        <w:rPr>
          <w:rFonts w:hint="eastAsia" w:ascii="仿宋" w:hAnsi="仿宋" w:eastAsia="仿宋" w:cs="仿宋"/>
          <w:b w:val="0"/>
          <w:bCs w:val="0"/>
          <w:color w:val="000000"/>
          <w:sz w:val="32"/>
          <w:szCs w:val="32"/>
          <w:highlight w:val="none"/>
        </w:rPr>
        <w:t>深入学习贯彻习近平总书记关于应急管理的重要论述，全面贯彻落实党的</w:t>
      </w:r>
      <w:r>
        <w:rPr>
          <w:rFonts w:hint="eastAsia" w:ascii="仿宋" w:hAnsi="仿宋" w:eastAsia="仿宋" w:cs="仿宋"/>
          <w:b w:val="0"/>
          <w:bCs w:val="0"/>
          <w:color w:val="000000"/>
          <w:sz w:val="32"/>
          <w:szCs w:val="32"/>
          <w:highlight w:val="none"/>
          <w:lang w:eastAsia="zh-CN"/>
        </w:rPr>
        <w:t>二十</w:t>
      </w:r>
      <w:r>
        <w:rPr>
          <w:rFonts w:hint="eastAsia" w:ascii="仿宋" w:hAnsi="仿宋" w:eastAsia="仿宋" w:cs="仿宋"/>
          <w:b w:val="0"/>
          <w:bCs w:val="0"/>
          <w:color w:val="000000"/>
          <w:sz w:val="32"/>
          <w:szCs w:val="32"/>
          <w:highlight w:val="none"/>
        </w:rPr>
        <w:t>大精神，</w:t>
      </w:r>
      <w:r>
        <w:rPr>
          <w:rFonts w:hint="eastAsia" w:ascii="仿宋" w:hAnsi="仿宋" w:eastAsia="仿宋" w:cs="仿宋"/>
          <w:b w:val="0"/>
          <w:bCs w:val="0"/>
          <w:color w:val="000000"/>
          <w:sz w:val="32"/>
          <w:szCs w:val="32"/>
          <w:highlight w:val="none"/>
          <w:lang w:eastAsia="zh-CN"/>
        </w:rPr>
        <w:t>深入贯彻落实省第十三次党代会、梅州市第八次党代会和兴宁市第十四次党代会精神，统筹发展与安全，坚持党的全面领导，坚持以人民为中心，强化底线思维，强化风险意识，牢固树立生命至上、安全发展理念，以深化应急管理改革创新为动力，以推进应急管理能力现代化建设为核心，以风险防范与应急准备为主线，着力防风险、保稳定、建制度、固根基、扬优势、补短板、强弱项，全力做好全市安全生产类、自然灾害类等突发事件应急处置和综合防灾减灾救灾工作，全面推进创建国家安全示范城市活动，完善安全生产诚信体系，构建安全生产法治环境，有效维护人民群众生命财产安全和社会稳定，为兴宁苏区振兴发展提供强有力的安全保障，为兴宁建设生态发展区先行示范市，奋力打造生态经济发展新标杆和“绿水青山就是金山银山”的兴宁样本，营造安全稳定环境。</w:t>
      </w:r>
    </w:p>
    <w:p w14:paraId="74B94991">
      <w:pPr>
        <w:keepNext w:val="0"/>
        <w:keepLines w:val="0"/>
        <w:pageBreakBefore w:val="0"/>
        <w:kinsoku/>
        <w:wordWrap/>
        <w:overflowPunct/>
        <w:topLinePunct w:val="0"/>
        <w:bidi w:val="0"/>
        <w:adjustRightInd w:val="0"/>
        <w:snapToGrid w:val="0"/>
        <w:spacing w:line="560" w:lineRule="exact"/>
        <w:ind w:firstLine="480" w:firstLineChars="150"/>
        <w:jc w:val="both"/>
        <w:outlineLvl w:val="1"/>
        <w:rPr>
          <w:rFonts w:hint="eastAsia" w:ascii="楷体" w:hAnsi="楷体" w:eastAsia="楷体" w:cs="楷体"/>
          <w:b w:val="0"/>
          <w:bCs w:val="0"/>
          <w:sz w:val="32"/>
          <w:szCs w:val="32"/>
          <w:highlight w:val="none"/>
          <w:lang w:eastAsia="zh-CN"/>
        </w:rPr>
      </w:pPr>
      <w:bookmarkStart w:id="6" w:name="_Toc362"/>
      <w:r>
        <w:rPr>
          <w:rFonts w:hint="eastAsia" w:ascii="楷体" w:hAnsi="楷体" w:eastAsia="楷体" w:cs="楷体"/>
          <w:b w:val="0"/>
          <w:bCs w:val="0"/>
          <w:sz w:val="32"/>
          <w:szCs w:val="32"/>
          <w:highlight w:val="none"/>
        </w:rPr>
        <w:t>（二）规划目标</w:t>
      </w:r>
      <w:r>
        <w:rPr>
          <w:rFonts w:hint="eastAsia" w:ascii="楷体" w:hAnsi="楷体" w:eastAsia="楷体" w:cs="楷体"/>
          <w:b w:val="0"/>
          <w:bCs w:val="0"/>
          <w:sz w:val="32"/>
          <w:szCs w:val="32"/>
          <w:highlight w:val="none"/>
          <w:lang w:eastAsia="zh-CN"/>
        </w:rPr>
        <w:t>。</w:t>
      </w:r>
      <w:r>
        <w:rPr>
          <w:rFonts w:hint="eastAsia" w:ascii="仿宋" w:hAnsi="仿宋" w:eastAsia="仿宋" w:cs="仿宋"/>
          <w:b w:val="0"/>
          <w:bCs w:val="0"/>
          <w:sz w:val="32"/>
          <w:szCs w:val="32"/>
          <w:highlight w:val="none"/>
          <w:lang w:eastAsia="zh-CN"/>
        </w:rPr>
        <w:t>至“十四五”期末，全市应急管理各项工作实现如下目标：</w:t>
      </w:r>
      <w:bookmarkEnd w:id="6"/>
    </w:p>
    <w:p w14:paraId="31DF8C03">
      <w:pPr>
        <w:keepNext w:val="0"/>
        <w:keepLines w:val="0"/>
        <w:pageBreakBefore w:val="0"/>
        <w:kinsoku/>
        <w:wordWrap/>
        <w:overflowPunct/>
        <w:topLinePunct w:val="0"/>
        <w:autoSpaceDE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基本建成与公共安全风险相匹配、与我市中心任务相适应、覆盖应急管理全过程和全社会共同参与的突发事件应急指挥体系和应急预案体系，应急指挥机制更加完善，应急管理机构的协调性、权威性更加强化，突发事件防控能力和防灾减灾能力切实增强，应急预案管理将更加科学、更加规范，总体应急预案与专项、部门预案将更加有效衔接，应急处置和应急救援能力明显提高。</w:t>
      </w:r>
    </w:p>
    <w:p w14:paraId="262BAF50">
      <w:pPr>
        <w:keepNext w:val="0"/>
        <w:keepLines w:val="0"/>
        <w:pageBreakBefore w:val="0"/>
        <w:kinsoku/>
        <w:wordWrap/>
        <w:overflowPunct/>
        <w:topLinePunct w:val="0"/>
        <w:autoSpaceDE w:val="0"/>
        <w:bidi w:val="0"/>
        <w:adjustRightInd w:val="0"/>
        <w:snapToGrid w:val="0"/>
        <w:spacing w:line="560" w:lineRule="exact"/>
        <w:ind w:firstLine="640" w:firstLineChars="200"/>
        <w:jc w:val="both"/>
        <w:rPr>
          <w:rFonts w:hint="eastAsia" w:ascii="仿宋" w:hAnsi="仿宋" w:eastAsia="仿宋" w:cs="仿宋"/>
          <w:b w:val="0"/>
          <w:bCs w:val="0"/>
          <w:highlight w:val="none"/>
        </w:rPr>
      </w:pPr>
      <w:r>
        <w:rPr>
          <w:rFonts w:hint="eastAsia" w:ascii="仿宋" w:hAnsi="仿宋" w:eastAsia="仿宋" w:cs="仿宋"/>
          <w:b w:val="0"/>
          <w:bCs w:val="0"/>
          <w:sz w:val="32"/>
          <w:szCs w:val="32"/>
          <w:highlight w:val="none"/>
        </w:rPr>
        <w:t>2.全市安全生产形势实现根本好转，安全生产与经济社会同步协调发展，为</w:t>
      </w:r>
      <w:r>
        <w:rPr>
          <w:rFonts w:hint="eastAsia" w:ascii="仿宋" w:hAnsi="仿宋" w:eastAsia="仿宋" w:cs="仿宋"/>
          <w:b w:val="0"/>
          <w:bCs w:val="0"/>
          <w:sz w:val="32"/>
          <w:szCs w:val="32"/>
          <w:highlight w:val="none"/>
          <w:lang w:eastAsia="zh-CN"/>
        </w:rPr>
        <w:t>兴宁苏区</w:t>
      </w:r>
      <w:r>
        <w:rPr>
          <w:rFonts w:hint="eastAsia" w:ascii="仿宋" w:hAnsi="仿宋" w:eastAsia="仿宋" w:cs="仿宋"/>
          <w:b w:val="0"/>
          <w:bCs w:val="0"/>
          <w:sz w:val="32"/>
          <w:szCs w:val="32"/>
          <w:highlight w:val="none"/>
        </w:rPr>
        <w:t>振兴发展</w:t>
      </w:r>
      <w:r>
        <w:rPr>
          <w:rFonts w:hint="eastAsia" w:ascii="仿宋" w:hAnsi="仿宋" w:eastAsia="仿宋" w:cs="仿宋"/>
          <w:b w:val="0"/>
          <w:bCs w:val="0"/>
          <w:sz w:val="32"/>
          <w:szCs w:val="32"/>
          <w:highlight w:val="none"/>
          <w:lang w:eastAsia="zh-CN"/>
        </w:rPr>
        <w:t>提</w:t>
      </w:r>
      <w:r>
        <w:rPr>
          <w:rFonts w:hint="eastAsia" w:ascii="仿宋" w:hAnsi="仿宋" w:eastAsia="仿宋" w:cs="仿宋"/>
          <w:b w:val="0"/>
          <w:bCs w:val="0"/>
          <w:sz w:val="32"/>
          <w:szCs w:val="32"/>
          <w:highlight w:val="none"/>
        </w:rPr>
        <w:t>供坚实的安全保障。杜绝重特大生产安全事故，有效控制较大生产安全事故，各类生产安全事故死亡人数、亿元GDP生产安全事故死亡人数、工矿商贸就业人员十万人生产安全事故死亡人数、道路交通万车死亡人数等目标指标与全面建成小康社会目标要求相一致。</w:t>
      </w:r>
    </w:p>
    <w:p w14:paraId="32100C72">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3.</w:t>
      </w:r>
      <w:r>
        <w:rPr>
          <w:rFonts w:hint="eastAsia" w:ascii="仿宋" w:hAnsi="仿宋" w:eastAsia="仿宋" w:cs="仿宋"/>
          <w:b w:val="0"/>
          <w:bCs w:val="0"/>
          <w:color w:val="000000"/>
          <w:sz w:val="32"/>
          <w:szCs w:val="32"/>
          <w:highlight w:val="none"/>
          <w:lang w:eastAsia="zh-CN"/>
        </w:rPr>
        <w:t>推进自然灾害防治体系和防治能力现代化建设，</w:t>
      </w:r>
      <w:r>
        <w:rPr>
          <w:rFonts w:hint="eastAsia" w:ascii="仿宋" w:hAnsi="仿宋" w:eastAsia="仿宋" w:cs="仿宋"/>
          <w:b w:val="0"/>
          <w:bCs w:val="0"/>
          <w:color w:val="000000"/>
          <w:sz w:val="32"/>
          <w:szCs w:val="32"/>
          <w:highlight w:val="none"/>
        </w:rPr>
        <w:t>建立健全自然灾害突发事件调查评估工作机制</w:t>
      </w:r>
      <w:r>
        <w:rPr>
          <w:rFonts w:hint="eastAsia" w:ascii="仿宋" w:hAnsi="仿宋" w:eastAsia="仿宋" w:cs="仿宋"/>
          <w:b w:val="0"/>
          <w:bCs w:val="0"/>
          <w:color w:val="000000"/>
          <w:sz w:val="32"/>
          <w:szCs w:val="32"/>
          <w:highlight w:val="none"/>
          <w:lang w:eastAsia="zh-CN"/>
        </w:rPr>
        <w:t>和自然灾害防治综合协调机制，完善各类灾害应急预案和各领域标准规范，夯实自然灾害风险监测和综合减灾基础</w:t>
      </w:r>
      <w:r>
        <w:rPr>
          <w:rFonts w:hint="eastAsia" w:ascii="仿宋" w:hAnsi="仿宋" w:eastAsia="仿宋" w:cs="仿宋"/>
          <w:b w:val="0"/>
          <w:bCs w:val="0"/>
          <w:color w:val="000000"/>
          <w:sz w:val="32"/>
          <w:szCs w:val="32"/>
          <w:highlight w:val="none"/>
        </w:rPr>
        <w:t>，不断推进我市防灾减灾救灾能力提升。</w:t>
      </w:r>
    </w:p>
    <w:p w14:paraId="2A2FFE4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4.年均因灾直接经济损失占国内生产总值的比例控制在1.3%以内，年均每百万人口因灾死亡率控制在1.3</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rPr>
        <w:t>以内。建立并完善多灾种综合监测预报预警信息发布平台，信息发布的准确性、时效性和社会公众覆盖率显著提高。提高重要基础设施和基本公共服务设施的灾害设防水平，特别要有效降低学校、医院、工矿及</w:t>
      </w:r>
      <w:r>
        <w:rPr>
          <w:rFonts w:hint="eastAsia" w:ascii="仿宋" w:hAnsi="仿宋" w:eastAsia="仿宋" w:cs="仿宋"/>
          <w:b w:val="0"/>
          <w:bCs w:val="0"/>
          <w:color w:val="000000"/>
          <w:sz w:val="32"/>
          <w:szCs w:val="32"/>
          <w:highlight w:val="none"/>
          <w:lang w:eastAsia="zh-CN"/>
        </w:rPr>
        <w:t>危险化学品</w:t>
      </w:r>
      <w:r>
        <w:rPr>
          <w:rFonts w:hint="eastAsia" w:ascii="仿宋" w:hAnsi="仿宋" w:eastAsia="仿宋" w:cs="仿宋"/>
          <w:b w:val="0"/>
          <w:bCs w:val="0"/>
          <w:color w:val="000000"/>
          <w:sz w:val="32"/>
          <w:szCs w:val="32"/>
          <w:highlight w:val="none"/>
        </w:rPr>
        <w:t>企业等设施因灾造成的损毁及影响程度。建成</w:t>
      </w:r>
      <w:r>
        <w:rPr>
          <w:rFonts w:hint="eastAsia" w:ascii="仿宋" w:hAnsi="仿宋" w:eastAsia="仿宋" w:cs="仿宋"/>
          <w:b w:val="0"/>
          <w:bCs w:val="0"/>
          <w:color w:val="000000"/>
          <w:sz w:val="32"/>
          <w:szCs w:val="32"/>
          <w:highlight w:val="none"/>
          <w:lang w:eastAsia="zh-CN"/>
        </w:rPr>
        <w:t>市</w:t>
      </w:r>
      <w:r>
        <w:rPr>
          <w:rFonts w:hint="eastAsia" w:ascii="仿宋" w:hAnsi="仿宋" w:eastAsia="仿宋" w:cs="仿宋"/>
          <w:b w:val="0"/>
          <w:bCs w:val="0"/>
          <w:color w:val="000000"/>
          <w:sz w:val="32"/>
          <w:szCs w:val="32"/>
          <w:highlight w:val="none"/>
        </w:rPr>
        <w:t>、镇、村</w:t>
      </w:r>
      <w:r>
        <w:rPr>
          <w:rFonts w:hint="eastAsia" w:ascii="仿宋" w:hAnsi="仿宋" w:eastAsia="仿宋" w:cs="仿宋"/>
          <w:b w:val="0"/>
          <w:bCs w:val="0"/>
          <w:color w:val="000000"/>
          <w:sz w:val="32"/>
          <w:szCs w:val="32"/>
          <w:highlight w:val="none"/>
          <w:lang w:eastAsia="zh-CN"/>
        </w:rPr>
        <w:t>三</w:t>
      </w:r>
      <w:r>
        <w:rPr>
          <w:rFonts w:hint="eastAsia" w:ascii="仿宋" w:hAnsi="仿宋" w:eastAsia="仿宋" w:cs="仿宋"/>
          <w:b w:val="0"/>
          <w:bCs w:val="0"/>
          <w:color w:val="000000"/>
          <w:sz w:val="32"/>
          <w:szCs w:val="32"/>
          <w:highlight w:val="none"/>
        </w:rPr>
        <w:t>级救灾物资储备体系，确保自然灾害发生8小时之内受灾人员基本生活得到有效救助。</w:t>
      </w:r>
    </w:p>
    <w:p w14:paraId="4502895E">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5.建设动态备灾地理信息数据库和城市地下管线隐患点数据库，开展高精度地质灾害防治专用图测</w:t>
      </w:r>
      <w:r>
        <w:rPr>
          <w:rFonts w:hint="eastAsia" w:ascii="仿宋" w:hAnsi="仿宋" w:eastAsia="仿宋" w:cs="仿宋"/>
          <w:b w:val="0"/>
          <w:bCs w:val="0"/>
          <w:color w:val="000000"/>
          <w:sz w:val="32"/>
          <w:szCs w:val="32"/>
          <w:highlight w:val="none"/>
          <w:lang w:eastAsia="zh-CN"/>
        </w:rPr>
        <w:t>制</w:t>
      </w:r>
      <w:r>
        <w:rPr>
          <w:rFonts w:hint="eastAsia" w:ascii="仿宋" w:hAnsi="仿宋" w:eastAsia="仿宋" w:cs="仿宋"/>
          <w:b w:val="0"/>
          <w:bCs w:val="0"/>
          <w:color w:val="000000"/>
          <w:sz w:val="32"/>
          <w:szCs w:val="32"/>
          <w:highlight w:val="none"/>
        </w:rPr>
        <w:t>与更新，丰富防灾减灾地理信息资源，进一步提升应急测绘保障能力。基本具备抗御6.0级左右地震、相当于各地区地震基本烈度</w:t>
      </w:r>
      <w:r>
        <w:rPr>
          <w:rFonts w:hint="eastAsia" w:ascii="仿宋" w:hAnsi="仿宋" w:eastAsia="仿宋" w:cs="仿宋"/>
          <w:b w:val="0"/>
          <w:bCs w:val="0"/>
          <w:color w:val="000000"/>
          <w:sz w:val="32"/>
          <w:szCs w:val="32"/>
          <w:highlight w:val="none"/>
          <w:lang w:eastAsia="zh-CN"/>
        </w:rPr>
        <w:t>的综合能力</w:t>
      </w:r>
      <w:r>
        <w:rPr>
          <w:rFonts w:hint="eastAsia" w:ascii="仿宋" w:hAnsi="仿宋" w:eastAsia="仿宋" w:cs="仿宋"/>
          <w:b w:val="0"/>
          <w:bCs w:val="0"/>
          <w:color w:val="000000"/>
          <w:sz w:val="32"/>
          <w:szCs w:val="32"/>
          <w:highlight w:val="none"/>
        </w:rPr>
        <w:t>，完善工程与非工程措施相结合的防治体系，进一步提升洪涝干旱、地质灾害、森林火灾应对能力。新建、改建、扩建的所有建设工程均应达到国家防灾减灾标准规定的要求。</w:t>
      </w:r>
    </w:p>
    <w:p w14:paraId="5B34672D">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rPr>
        <w:t>6.建成与</w:t>
      </w:r>
      <w:r>
        <w:rPr>
          <w:rFonts w:hint="eastAsia" w:ascii="仿宋" w:hAnsi="仿宋" w:eastAsia="仿宋" w:cs="仿宋"/>
          <w:b w:val="0"/>
          <w:bCs w:val="0"/>
          <w:color w:val="000000"/>
          <w:sz w:val="32"/>
          <w:szCs w:val="32"/>
          <w:highlight w:val="none"/>
          <w:lang w:eastAsia="zh-CN"/>
        </w:rPr>
        <w:t>兴宁</w:t>
      </w:r>
      <w:r>
        <w:rPr>
          <w:rFonts w:hint="eastAsia" w:ascii="仿宋" w:hAnsi="仿宋" w:eastAsia="仿宋" w:cs="仿宋"/>
          <w:b w:val="0"/>
          <w:bCs w:val="0"/>
          <w:color w:val="000000"/>
          <w:sz w:val="32"/>
          <w:szCs w:val="32"/>
          <w:highlight w:val="none"/>
        </w:rPr>
        <w:t>经济社会发展相适应的森林防灭火体系</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形成完备的森林火灾预防、扑救、保障三大体系，预警响应规范化、火灾管理法治化、火灾扑救科学化、队伍建设标准化、装备建设现代化、基础工作信息化建设取得突破性进展，人力灭火和机械化灭火、风力灭火和以水灭火、传统防灭火和科学防灭火有机结合，森林防灭火长效机制基本形成，森林火灾防控能力显著提高，实现森林防灭火治理体系和治理能力现代化。24小时火灾扑灭率达到95%以上，森林火灾受害率稳定控制在</w:t>
      </w:r>
      <w:r>
        <w:rPr>
          <w:rFonts w:hint="eastAsia" w:ascii="仿宋" w:hAnsi="仿宋" w:eastAsia="仿宋" w:cs="仿宋"/>
          <w:b w:val="0"/>
          <w:bCs w:val="0"/>
          <w:color w:val="000000"/>
          <w:sz w:val="32"/>
          <w:szCs w:val="32"/>
          <w:highlight w:val="none"/>
          <w:lang w:val="en-US" w:eastAsia="zh-CN"/>
        </w:rPr>
        <w:t>1</w:t>
      </w:r>
      <w:r>
        <w:rPr>
          <w:rFonts w:hint="eastAsia" w:ascii="仿宋" w:hAnsi="仿宋" w:eastAsia="仿宋" w:cs="仿宋"/>
          <w:b w:val="0"/>
          <w:bCs w:val="0"/>
          <w:color w:val="000000"/>
          <w:sz w:val="32"/>
          <w:szCs w:val="32"/>
          <w:highlight w:val="none"/>
        </w:rPr>
        <w:t>‰以内，重点区域瞭望监测覆盖率达到90%以上，森林消防专业队伍建设达标率95%以上，生物防灭火林带密度每公顷有林地增加0.5</w:t>
      </w:r>
      <w:r>
        <w:rPr>
          <w:rFonts w:hint="eastAsia" w:ascii="微软雅黑" w:hAnsi="微软雅黑" w:eastAsia="微软雅黑" w:cs="微软雅黑"/>
          <w:b w:val="0"/>
          <w:bCs w:val="0"/>
          <w:color w:val="000000"/>
          <w:sz w:val="32"/>
          <w:szCs w:val="32"/>
          <w:highlight w:val="none"/>
        </w:rPr>
        <w:t>～</w:t>
      </w:r>
      <w:r>
        <w:rPr>
          <w:rFonts w:hint="eastAsia" w:ascii="仿宋" w:hAnsi="仿宋" w:eastAsia="仿宋" w:cs="仿宋"/>
          <w:b w:val="0"/>
          <w:bCs w:val="0"/>
          <w:color w:val="000000"/>
          <w:sz w:val="32"/>
          <w:szCs w:val="32"/>
          <w:highlight w:val="none"/>
        </w:rPr>
        <w:t>1米的目标</w:t>
      </w:r>
      <w:r>
        <w:rPr>
          <w:rFonts w:hint="eastAsia" w:ascii="仿宋" w:hAnsi="仿宋" w:eastAsia="仿宋" w:cs="仿宋"/>
          <w:b w:val="0"/>
          <w:bCs w:val="0"/>
          <w:color w:val="000000"/>
          <w:sz w:val="32"/>
          <w:szCs w:val="32"/>
          <w:highlight w:val="none"/>
          <w:lang w:eastAsia="zh-CN"/>
        </w:rPr>
        <w:t>。</w:t>
      </w:r>
    </w:p>
    <w:p w14:paraId="6875CC3E">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7.非煤矿山法治建设得到全面加强，安全监管效能和信息化水平显著提升；淘汰关闭矿山</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座，矿山企业规模化、机械化、标准化水平明显提高，从业人员安全素质普遍增强；非煤矿山视频信息采集、在线监控系统和智慧矿山建设得到全面推进；推进中介技术服务机构与矿山企业深度融合，提升矿山企业技术支撑水平；</w:t>
      </w:r>
      <w:r>
        <w:rPr>
          <w:rFonts w:hint="eastAsia" w:ascii="仿宋" w:hAnsi="仿宋" w:eastAsia="仿宋" w:cs="仿宋"/>
          <w:b w:val="0"/>
          <w:bCs w:val="0"/>
          <w:sz w:val="32"/>
          <w:szCs w:val="32"/>
          <w:highlight w:val="none"/>
          <w:lang w:eastAsia="zh-CN"/>
        </w:rPr>
        <w:t>有效遏制一般以上生产安全事故</w:t>
      </w:r>
      <w:r>
        <w:rPr>
          <w:rFonts w:hint="eastAsia" w:ascii="仿宋" w:hAnsi="仿宋" w:eastAsia="仿宋" w:cs="仿宋"/>
          <w:b w:val="0"/>
          <w:bCs w:val="0"/>
          <w:sz w:val="32"/>
          <w:szCs w:val="32"/>
          <w:highlight w:val="none"/>
        </w:rPr>
        <w:t>，非煤矿山安全生产形势持续稳定向好。</w:t>
      </w:r>
    </w:p>
    <w:p w14:paraId="07452118">
      <w:pPr>
        <w:keepNext w:val="0"/>
        <w:keepLines w:val="0"/>
        <w:pageBreakBefore w:val="0"/>
        <w:kinsoku/>
        <w:wordWrap/>
        <w:overflowPunct/>
        <w:topLinePunct w:val="0"/>
        <w:bidi w:val="0"/>
        <w:adjustRightInd w:val="0"/>
        <w:snapToGrid w:val="0"/>
        <w:spacing w:line="560" w:lineRule="exact"/>
        <w:ind w:firstLine="640" w:firstLineChars="200"/>
        <w:jc w:val="both"/>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8.健全完善道路交通安全体制机制，隐患排查治理体系和协同治理体系完善有效，道路交通运输风险研判和管控健全完备，驾驶人员素质整体提升，公路基础设施安全建设和科技装备支撑体系保障有力，全民安全意识普遍增强，形成统一指挥、布局合理、反应迅速、运转高效、保障有力的交通安全应急体系，道路交通事故应得到有效控制。</w:t>
      </w:r>
    </w:p>
    <w:p w14:paraId="47A81A1A">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.加强基层基础建设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推进镇村两级应急管理队伍建设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夯实镇</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街道</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应急管理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四个一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有一个健全的应急管理组织体系、有一支应急救援队伍、有一个应急指挥平台、有一个应急救援物资仓库</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基础。以农村防灾减灾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十个有</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即有组织体系、有大喇叭、有警报器、有避难场所、有风险地形图、有明白卡、有应急</w:t>
      </w:r>
      <w:r>
        <w:rPr>
          <w:rFonts w:hint="eastAsia" w:ascii="仿宋" w:hAnsi="仿宋" w:eastAsia="仿宋" w:cs="仿宋"/>
          <w:b w:val="0"/>
          <w:bCs w:val="0"/>
          <w:sz w:val="32"/>
          <w:szCs w:val="32"/>
          <w:highlight w:val="none"/>
          <w:lang w:eastAsia="zh-CN"/>
        </w:rPr>
        <w:t>值守</w:t>
      </w:r>
      <w:r>
        <w:rPr>
          <w:rFonts w:hint="eastAsia" w:ascii="仿宋" w:hAnsi="仿宋" w:eastAsia="仿宋" w:cs="仿宋"/>
          <w:b w:val="0"/>
          <w:bCs w:val="0"/>
          <w:sz w:val="32"/>
          <w:szCs w:val="32"/>
          <w:highlight w:val="none"/>
        </w:rPr>
        <w:t>、有应急照明、有小册子、有宣传栏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工作为抓手</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全面加强村级防灾减灾救灾建设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真正发挥村</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委会神经末梢和保安作用。</w:t>
      </w:r>
    </w:p>
    <w:p w14:paraId="370A9C3E">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.进一步加强市镇</w:t>
      </w:r>
      <w:r>
        <w:rPr>
          <w:rFonts w:hint="eastAsia" w:ascii="仿宋" w:hAnsi="仿宋" w:eastAsia="仿宋" w:cs="仿宋"/>
          <w:b w:val="0"/>
          <w:bCs w:val="0"/>
          <w:sz w:val="32"/>
          <w:szCs w:val="32"/>
          <w:highlight w:val="none"/>
          <w:lang w:eastAsia="zh-CN"/>
        </w:rPr>
        <w:t>两</w:t>
      </w:r>
      <w:r>
        <w:rPr>
          <w:rFonts w:hint="eastAsia" w:ascii="仿宋" w:hAnsi="仿宋" w:eastAsia="仿宋" w:cs="仿宋"/>
          <w:b w:val="0"/>
          <w:bCs w:val="0"/>
          <w:sz w:val="32"/>
          <w:szCs w:val="32"/>
          <w:highlight w:val="none"/>
        </w:rPr>
        <w:t>级应急管理综合行政执法队伍建设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力争全市应急管理综合行政执法队伍人员、装备配备率和执法信息系统使用率达100%</w:t>
      </w:r>
      <w:r>
        <w:rPr>
          <w:rFonts w:hint="eastAsia" w:ascii="仿宋" w:hAnsi="仿宋" w:eastAsia="仿宋" w:cs="仿宋"/>
          <w:b w:val="0"/>
          <w:bCs w:val="0"/>
          <w:sz w:val="32"/>
          <w:szCs w:val="32"/>
          <w:highlight w:val="none"/>
          <w:lang w:eastAsia="zh-CN"/>
        </w:rPr>
        <w:t>。</w:t>
      </w:r>
    </w:p>
    <w:p w14:paraId="35E0F2B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.应急管理与文化有机融合</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开辟更为广阔的应急管理知识宣传新平台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打造参与性强、寓教于乐的群众性安全文化阵地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增强安全文化在全市的渗透力、影响力和感染力</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让群众不知不觉地受到文化熏陶和感性共鸣</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增强理性思考</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达到自觉接受的效果。增强群众安全意识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形成</w:t>
      </w:r>
      <w:r>
        <w:rPr>
          <w:rFonts w:hint="eastAsia" w:ascii="仿宋" w:hAnsi="仿宋" w:eastAsia="仿宋" w:cs="仿宋"/>
          <w:b w:val="0"/>
          <w:bCs w:val="0"/>
          <w:sz w:val="32"/>
          <w:szCs w:val="32"/>
          <w:highlight w:val="none"/>
          <w:lang w:eastAsia="zh-CN"/>
        </w:rPr>
        <w:t>全</w:t>
      </w:r>
      <w:r>
        <w:rPr>
          <w:rFonts w:hint="eastAsia" w:ascii="仿宋" w:hAnsi="仿宋" w:eastAsia="仿宋" w:cs="仿宋"/>
          <w:b w:val="0"/>
          <w:bCs w:val="0"/>
          <w:sz w:val="32"/>
          <w:szCs w:val="32"/>
          <w:highlight w:val="none"/>
        </w:rPr>
        <w:t>社会关爱生命、关注安全的浓厚氛围。</w:t>
      </w:r>
    </w:p>
    <w:p w14:paraId="7202C072">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.打造具有</w:t>
      </w:r>
      <w:r>
        <w:rPr>
          <w:rFonts w:hint="eastAsia" w:ascii="仿宋" w:hAnsi="仿宋" w:eastAsia="仿宋" w:cs="仿宋"/>
          <w:b w:val="0"/>
          <w:bCs w:val="0"/>
          <w:sz w:val="32"/>
          <w:szCs w:val="32"/>
          <w:highlight w:val="none"/>
          <w:lang w:eastAsia="zh-CN"/>
        </w:rPr>
        <w:t>兴宁</w:t>
      </w:r>
      <w:r>
        <w:rPr>
          <w:rFonts w:hint="eastAsia" w:ascii="仿宋" w:hAnsi="仿宋" w:eastAsia="仿宋" w:cs="仿宋"/>
          <w:b w:val="0"/>
          <w:bCs w:val="0"/>
          <w:sz w:val="32"/>
          <w:szCs w:val="32"/>
          <w:highlight w:val="none"/>
        </w:rPr>
        <w:t>特色“大应急”“大指挥”“大联合”的智慧应急指挥信息平台。打造应急指挥中心</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建设应急指挥大</w:t>
      </w:r>
      <w:r>
        <w:rPr>
          <w:rFonts w:hint="eastAsia" w:ascii="仿宋" w:hAnsi="仿宋" w:eastAsia="仿宋" w:cs="仿宋"/>
          <w:b w:val="0"/>
          <w:bCs w:val="0"/>
          <w:sz w:val="32"/>
          <w:szCs w:val="32"/>
          <w:highlight w:val="none"/>
          <w:lang w:eastAsia="zh-CN"/>
        </w:rPr>
        <w:t>厅</w:t>
      </w:r>
      <w:r>
        <w:rPr>
          <w:rFonts w:hint="eastAsia" w:ascii="仿宋" w:hAnsi="仿宋" w:eastAsia="仿宋" w:cs="仿宋"/>
          <w:b w:val="0"/>
          <w:bCs w:val="0"/>
          <w:sz w:val="32"/>
          <w:szCs w:val="32"/>
          <w:highlight w:val="none"/>
        </w:rPr>
        <w:t>、应急管理融合通信系统、应急视频汇聚系统、专家会商室等多功能场所。建设应急管理综合应用平台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依托应急指挥中心，打造汇集所有业务系统、应用支撑和数据支撑所形成的综合性集成平台，面向所有用户提供“一站式”访问入口。建设应急感知网络。围绕安全生产、自然灾害、城市安全、应急救援等领域的监测预警和应急处置动态数据采集汇聚的需要，建设</w:t>
      </w:r>
      <w:r>
        <w:rPr>
          <w:rFonts w:hint="eastAsia" w:ascii="仿宋" w:hAnsi="仿宋" w:eastAsia="仿宋" w:cs="仿宋"/>
          <w:b w:val="0"/>
          <w:bCs w:val="0"/>
          <w:sz w:val="32"/>
          <w:szCs w:val="32"/>
          <w:highlight w:val="none"/>
          <w:lang w:eastAsia="zh-CN"/>
        </w:rPr>
        <w:t>或使用</w:t>
      </w:r>
      <w:r>
        <w:rPr>
          <w:rFonts w:hint="eastAsia" w:ascii="仿宋" w:hAnsi="仿宋" w:eastAsia="仿宋" w:cs="仿宋"/>
          <w:b w:val="0"/>
          <w:bCs w:val="0"/>
          <w:sz w:val="32"/>
          <w:szCs w:val="32"/>
          <w:highlight w:val="none"/>
        </w:rPr>
        <w:t>包含生产安全感知、自然灾害感知、城市安全感知、应急处置现场感知网等的应急感知网络</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持续推进应急卫星通讯网络建设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在原有手持终端的基础上，增加VSAT卫星应急通信系统、天通卫星应急通信系统、卫星窄带应急通信系统、高通量卫星应急通信系统。</w:t>
      </w:r>
    </w:p>
    <w:p w14:paraId="7961ADEB">
      <w:pPr>
        <w:pStyle w:val="14"/>
        <w:keepNext w:val="0"/>
        <w:keepLines w:val="0"/>
        <w:pageBreakBefore w:val="0"/>
        <w:kinsoku/>
        <w:wordWrap/>
        <w:overflowPunct/>
        <w:topLinePunct w:val="0"/>
        <w:bidi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color w:val="auto"/>
          <w:kern w:val="2"/>
          <w:sz w:val="32"/>
          <w:szCs w:val="32"/>
          <w:highlight w:val="none"/>
        </w:rPr>
        <w:t>1</w:t>
      </w:r>
      <w:r>
        <w:rPr>
          <w:rFonts w:hint="eastAsia" w:ascii="仿宋" w:hAnsi="仿宋" w:eastAsia="仿宋" w:cs="仿宋"/>
          <w:b w:val="0"/>
          <w:bCs w:val="0"/>
          <w:color w:val="auto"/>
          <w:kern w:val="2"/>
          <w:sz w:val="32"/>
          <w:szCs w:val="32"/>
          <w:highlight w:val="none"/>
          <w:lang w:val="en-US" w:eastAsia="zh-CN"/>
        </w:rPr>
        <w:t>3</w:t>
      </w:r>
      <w:r>
        <w:rPr>
          <w:rFonts w:hint="eastAsia" w:ascii="仿宋" w:hAnsi="仿宋" w:eastAsia="仿宋" w:cs="仿宋"/>
          <w:b w:val="0"/>
          <w:bCs w:val="0"/>
          <w:color w:val="auto"/>
          <w:kern w:val="2"/>
          <w:sz w:val="32"/>
          <w:szCs w:val="32"/>
          <w:highlight w:val="none"/>
        </w:rPr>
        <w:t>.推进应急管理人才队伍建设。坚</w:t>
      </w:r>
      <w:r>
        <w:rPr>
          <w:rFonts w:hint="eastAsia" w:ascii="仿宋" w:hAnsi="仿宋" w:eastAsia="仿宋" w:cs="仿宋"/>
          <w:b w:val="0"/>
          <w:bCs w:val="0"/>
          <w:sz w:val="32"/>
          <w:szCs w:val="32"/>
          <w:highlight w:val="none"/>
        </w:rPr>
        <w:t>持新时代好干部标准，吸纳优秀人才，优化干部队伍，开展安全生产、防灾减灾救灾、应急管理等业务教育培训，不断提升干部队伍的思想政治觉悟和业务工作能力，坚持严管厚爱结合，营造干事创业的良好环境，激励干部担当作为，全面提升党员干部精气神，为全面依法履职提供坚强组织人才保证。</w:t>
      </w:r>
    </w:p>
    <w:p w14:paraId="7D13644C">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br w:type="page"/>
      </w:r>
    </w:p>
    <w:tbl>
      <w:tblPr>
        <w:tblStyle w:val="15"/>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589"/>
        <w:gridCol w:w="4944"/>
        <w:gridCol w:w="1658"/>
        <w:gridCol w:w="1154"/>
      </w:tblGrid>
      <w:tr w14:paraId="169B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039" w:type="dxa"/>
            <w:gridSpan w:val="5"/>
            <w:tcBorders>
              <w:top w:val="single" w:color="000000" w:sz="2" w:space="0"/>
              <w:bottom w:val="single" w:color="000000" w:sz="2" w:space="0"/>
            </w:tcBorders>
            <w:vAlign w:val="top"/>
          </w:tcPr>
          <w:p w14:paraId="6F27EAF9">
            <w:pPr>
              <w:kinsoku w:val="0"/>
              <w:autoSpaceDE w:val="0"/>
              <w:autoSpaceDN w:val="0"/>
              <w:adjustRightInd w:val="0"/>
              <w:snapToGrid w:val="0"/>
              <w:spacing w:before="139" w:line="219" w:lineRule="auto"/>
              <w:ind w:firstLine="235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lang w:eastAsia="zh-CN"/>
              </w:rPr>
              <w:t>兴宁</w:t>
            </w:r>
            <w:r>
              <w:rPr>
                <w:rFonts w:hint="eastAsia" w:ascii="仿宋" w:hAnsi="仿宋" w:eastAsia="仿宋" w:cs="仿宋"/>
                <w:snapToGrid w:val="0"/>
                <w:color w:val="000000"/>
                <w:kern w:val="0"/>
                <w:sz w:val="28"/>
                <w:szCs w:val="28"/>
                <w:highlight w:val="none"/>
              </w:rPr>
              <w:t>市应急管理</w:t>
            </w:r>
            <w:r>
              <w:rPr>
                <w:rFonts w:hint="eastAsia" w:ascii="仿宋" w:hAnsi="仿宋" w:eastAsia="仿宋" w:cs="仿宋"/>
                <w:snapToGrid w:val="0"/>
                <w:color w:val="000000"/>
                <w:kern w:val="0"/>
                <w:sz w:val="28"/>
                <w:szCs w:val="28"/>
                <w:highlight w:val="none"/>
                <w:lang w:eastAsia="zh-CN"/>
              </w:rPr>
              <w:t>“</w:t>
            </w:r>
            <w:r>
              <w:rPr>
                <w:rFonts w:hint="eastAsia" w:ascii="仿宋" w:hAnsi="仿宋" w:eastAsia="仿宋" w:cs="仿宋"/>
                <w:snapToGrid w:val="0"/>
                <w:color w:val="000000"/>
                <w:kern w:val="0"/>
                <w:sz w:val="28"/>
                <w:szCs w:val="28"/>
                <w:highlight w:val="none"/>
              </w:rPr>
              <w:t>十四五</w:t>
            </w:r>
            <w:r>
              <w:rPr>
                <w:rFonts w:hint="eastAsia" w:ascii="仿宋" w:hAnsi="仿宋" w:eastAsia="仿宋" w:cs="仿宋"/>
                <w:snapToGrid w:val="0"/>
                <w:color w:val="000000"/>
                <w:kern w:val="0"/>
                <w:sz w:val="28"/>
                <w:szCs w:val="28"/>
                <w:highlight w:val="none"/>
                <w:lang w:eastAsia="zh-CN"/>
              </w:rPr>
              <w:t>”</w:t>
            </w:r>
            <w:r>
              <w:rPr>
                <w:rFonts w:hint="eastAsia" w:ascii="仿宋" w:hAnsi="仿宋" w:eastAsia="仿宋" w:cs="仿宋"/>
                <w:snapToGrid w:val="0"/>
                <w:color w:val="000000"/>
                <w:kern w:val="0"/>
                <w:sz w:val="28"/>
                <w:szCs w:val="28"/>
                <w:highlight w:val="none"/>
              </w:rPr>
              <w:t>规划指标表</w:t>
            </w:r>
          </w:p>
        </w:tc>
      </w:tr>
      <w:tr w14:paraId="78CDE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94" w:type="dxa"/>
            <w:tcBorders>
              <w:top w:val="single" w:color="000000" w:sz="2" w:space="0"/>
              <w:bottom w:val="single" w:color="000000" w:sz="2" w:space="0"/>
            </w:tcBorders>
            <w:textDirection w:val="tbRlV"/>
            <w:vAlign w:val="top"/>
          </w:tcPr>
          <w:p w14:paraId="48F1155D">
            <w:pPr>
              <w:kinsoku w:val="0"/>
              <w:autoSpaceDE w:val="0"/>
              <w:autoSpaceDN w:val="0"/>
              <w:adjustRightInd w:val="0"/>
              <w:snapToGrid w:val="0"/>
              <w:spacing w:before="208" w:line="217" w:lineRule="auto"/>
              <w:ind w:firstLine="30"/>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0"/>
                <w:kern w:val="0"/>
                <w:sz w:val="28"/>
                <w:szCs w:val="28"/>
                <w:highlight w:val="none"/>
              </w:rPr>
              <w:t>序号</w:t>
            </w:r>
          </w:p>
        </w:tc>
        <w:tc>
          <w:tcPr>
            <w:tcW w:w="589" w:type="dxa"/>
            <w:tcBorders>
              <w:top w:val="single" w:color="000000" w:sz="2" w:space="0"/>
              <w:bottom w:val="single" w:color="000000" w:sz="2" w:space="0"/>
            </w:tcBorders>
            <w:textDirection w:val="tbRlV"/>
            <w:vAlign w:val="top"/>
          </w:tcPr>
          <w:p w14:paraId="3701C008">
            <w:pPr>
              <w:kinsoku w:val="0"/>
              <w:autoSpaceDE w:val="0"/>
              <w:autoSpaceDN w:val="0"/>
              <w:adjustRightInd w:val="0"/>
              <w:snapToGrid w:val="0"/>
              <w:spacing w:before="158" w:line="215" w:lineRule="auto"/>
              <w:ind w:firstLine="30"/>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0"/>
                <w:kern w:val="0"/>
                <w:sz w:val="28"/>
                <w:szCs w:val="28"/>
                <w:highlight w:val="none"/>
              </w:rPr>
              <w:t>类别</w:t>
            </w:r>
          </w:p>
        </w:tc>
        <w:tc>
          <w:tcPr>
            <w:tcW w:w="4944" w:type="dxa"/>
            <w:tcBorders>
              <w:top w:val="single" w:color="000000" w:sz="2" w:space="0"/>
              <w:bottom w:val="single" w:color="000000" w:sz="2" w:space="0"/>
            </w:tcBorders>
            <w:vAlign w:val="top"/>
          </w:tcPr>
          <w:p w14:paraId="2BA8BE64">
            <w:pPr>
              <w:kinsoku w:val="0"/>
              <w:autoSpaceDE w:val="0"/>
              <w:autoSpaceDN w:val="0"/>
              <w:adjustRightInd w:val="0"/>
              <w:snapToGrid w:val="0"/>
              <w:spacing w:before="196" w:line="220" w:lineRule="auto"/>
              <w:ind w:firstLine="2202"/>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5"/>
                <w:kern w:val="0"/>
                <w:sz w:val="28"/>
                <w:szCs w:val="28"/>
                <w:highlight w:val="none"/>
              </w:rPr>
              <w:t>指标</w:t>
            </w:r>
          </w:p>
        </w:tc>
        <w:tc>
          <w:tcPr>
            <w:tcW w:w="1658" w:type="dxa"/>
            <w:tcBorders>
              <w:top w:val="single" w:color="000000" w:sz="2" w:space="0"/>
              <w:bottom w:val="single" w:color="000000" w:sz="2" w:space="0"/>
            </w:tcBorders>
            <w:vAlign w:val="top"/>
          </w:tcPr>
          <w:p w14:paraId="5266157E">
            <w:pPr>
              <w:kinsoku w:val="0"/>
              <w:autoSpaceDE w:val="0"/>
              <w:autoSpaceDN w:val="0"/>
              <w:adjustRightInd w:val="0"/>
              <w:snapToGrid w:val="0"/>
              <w:spacing w:before="196" w:line="219" w:lineRule="auto"/>
              <w:ind w:firstLine="347"/>
              <w:jc w:val="left"/>
              <w:textAlignment w:val="baseline"/>
              <w:rPr>
                <w:rFonts w:hint="eastAsia" w:ascii="仿宋" w:hAnsi="仿宋" w:eastAsia="仿宋" w:cs="仿宋"/>
                <w:snapToGrid w:val="0"/>
                <w:color w:val="000000"/>
                <w:kern w:val="0"/>
                <w:sz w:val="28"/>
                <w:szCs w:val="28"/>
                <w:highlight w:val="none"/>
                <w:lang w:val="en-US" w:eastAsia="zh-CN"/>
              </w:rPr>
            </w:pPr>
            <w:r>
              <w:rPr>
                <w:rFonts w:hint="eastAsia" w:ascii="仿宋" w:hAnsi="仿宋" w:eastAsia="仿宋" w:cs="仿宋"/>
                <w:snapToGrid w:val="0"/>
                <w:color w:val="000000"/>
                <w:spacing w:val="6"/>
                <w:kern w:val="0"/>
                <w:sz w:val="28"/>
                <w:szCs w:val="28"/>
                <w:highlight w:val="none"/>
              </w:rPr>
              <w:t>指标值</w:t>
            </w:r>
            <w:r>
              <w:rPr>
                <w:sz w:val="32"/>
                <w:szCs w:val="32"/>
              </w:rPr>
              <w:t>*</w:t>
            </w:r>
          </w:p>
        </w:tc>
        <w:tc>
          <w:tcPr>
            <w:tcW w:w="1154" w:type="dxa"/>
            <w:tcBorders>
              <w:top w:val="single" w:color="000000" w:sz="2" w:space="0"/>
              <w:bottom w:val="single" w:color="000000" w:sz="2" w:space="0"/>
            </w:tcBorders>
            <w:vAlign w:val="top"/>
          </w:tcPr>
          <w:p w14:paraId="6B50A181">
            <w:pPr>
              <w:kinsoku w:val="0"/>
              <w:autoSpaceDE w:val="0"/>
              <w:autoSpaceDN w:val="0"/>
              <w:adjustRightInd w:val="0"/>
              <w:snapToGrid w:val="0"/>
              <w:spacing w:before="57" w:line="237" w:lineRule="auto"/>
              <w:ind w:firstLine="29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5"/>
                <w:kern w:val="0"/>
                <w:sz w:val="28"/>
                <w:szCs w:val="28"/>
                <w:highlight w:val="none"/>
              </w:rPr>
              <w:t>指标</w:t>
            </w:r>
          </w:p>
          <w:p w14:paraId="6CF0D7F4">
            <w:pPr>
              <w:kinsoku w:val="0"/>
              <w:autoSpaceDE w:val="0"/>
              <w:autoSpaceDN w:val="0"/>
              <w:adjustRightInd w:val="0"/>
              <w:snapToGrid w:val="0"/>
              <w:spacing w:line="187" w:lineRule="auto"/>
              <w:ind w:firstLine="29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5"/>
                <w:kern w:val="0"/>
                <w:sz w:val="28"/>
                <w:szCs w:val="28"/>
                <w:highlight w:val="none"/>
              </w:rPr>
              <w:t>属性</w:t>
            </w:r>
          </w:p>
        </w:tc>
      </w:tr>
      <w:tr w14:paraId="477A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94" w:type="dxa"/>
            <w:tcBorders>
              <w:top w:val="single" w:color="000000" w:sz="2" w:space="0"/>
              <w:bottom w:val="single" w:color="000000" w:sz="2" w:space="0"/>
            </w:tcBorders>
            <w:vAlign w:val="top"/>
          </w:tcPr>
          <w:p w14:paraId="7B8C7724">
            <w:p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8"/>
                <w:szCs w:val="28"/>
                <w:highlight w:val="none"/>
                <w:lang w:val="en-US" w:eastAsia="zh-CN"/>
              </w:rPr>
            </w:pPr>
            <w:r>
              <w:rPr>
                <w:rFonts w:hint="eastAsia" w:ascii="仿宋" w:hAnsi="仿宋" w:eastAsia="仿宋" w:cs="仿宋"/>
                <w:snapToGrid w:val="0"/>
                <w:color w:val="000000"/>
                <w:kern w:val="0"/>
                <w:position w:val="-3"/>
                <w:sz w:val="28"/>
                <w:szCs w:val="28"/>
                <w:highlight w:val="none"/>
                <w:lang w:val="en-US" w:eastAsia="zh-CN"/>
              </w:rPr>
              <w:t>1</w:t>
            </w:r>
          </w:p>
        </w:tc>
        <w:tc>
          <w:tcPr>
            <w:tcW w:w="589" w:type="dxa"/>
            <w:vMerge w:val="restart"/>
            <w:tcBorders>
              <w:top w:val="single" w:color="000000" w:sz="2" w:space="0"/>
              <w:bottom w:val="nil"/>
            </w:tcBorders>
            <w:textDirection w:val="tbRlV"/>
            <w:vAlign w:val="top"/>
          </w:tcPr>
          <w:p w14:paraId="5F62DC2B">
            <w:pPr>
              <w:kinsoku w:val="0"/>
              <w:autoSpaceDE w:val="0"/>
              <w:autoSpaceDN w:val="0"/>
              <w:adjustRightInd w:val="0"/>
              <w:snapToGrid w:val="0"/>
              <w:spacing w:before="158" w:line="215" w:lineRule="auto"/>
              <w:ind w:firstLine="1562"/>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安全生产</w:t>
            </w:r>
          </w:p>
        </w:tc>
        <w:tc>
          <w:tcPr>
            <w:tcW w:w="4944" w:type="dxa"/>
            <w:tcBorders>
              <w:top w:val="single" w:color="000000" w:sz="2" w:space="0"/>
              <w:bottom w:val="single" w:color="000000" w:sz="2" w:space="0"/>
            </w:tcBorders>
            <w:vAlign w:val="top"/>
          </w:tcPr>
          <w:p w14:paraId="3ACBEF82">
            <w:pPr>
              <w:kinsoku w:val="0"/>
              <w:autoSpaceDE w:val="0"/>
              <w:autoSpaceDN w:val="0"/>
              <w:adjustRightInd w:val="0"/>
              <w:snapToGrid w:val="0"/>
              <w:spacing w:before="66"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生产安全事故死亡人数</w:t>
            </w:r>
          </w:p>
        </w:tc>
        <w:tc>
          <w:tcPr>
            <w:tcW w:w="1658" w:type="dxa"/>
            <w:tcBorders>
              <w:top w:val="single" w:color="000000" w:sz="2" w:space="0"/>
              <w:bottom w:val="single" w:color="000000" w:sz="2" w:space="0"/>
            </w:tcBorders>
            <w:vAlign w:val="top"/>
          </w:tcPr>
          <w:p w14:paraId="51BBE3D9">
            <w:pPr>
              <w:kinsoku w:val="0"/>
              <w:autoSpaceDE w:val="0"/>
              <w:autoSpaceDN w:val="0"/>
              <w:adjustRightInd w:val="0"/>
              <w:snapToGrid w:val="0"/>
              <w:spacing w:before="66" w:line="219" w:lineRule="auto"/>
              <w:ind w:firstLine="3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下降10%</w:t>
            </w:r>
          </w:p>
        </w:tc>
        <w:tc>
          <w:tcPr>
            <w:tcW w:w="1154" w:type="dxa"/>
            <w:tcBorders>
              <w:top w:val="single" w:color="000000" w:sz="2" w:space="0"/>
              <w:bottom w:val="single" w:color="000000" w:sz="2" w:space="0"/>
            </w:tcBorders>
            <w:vAlign w:val="top"/>
          </w:tcPr>
          <w:p w14:paraId="5304EF23">
            <w:pPr>
              <w:kinsoku w:val="0"/>
              <w:autoSpaceDE w:val="0"/>
              <w:autoSpaceDN w:val="0"/>
              <w:adjustRightInd w:val="0"/>
              <w:snapToGrid w:val="0"/>
              <w:spacing w:before="116" w:line="19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约束性</w:t>
            </w:r>
          </w:p>
        </w:tc>
      </w:tr>
      <w:tr w14:paraId="60E8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2768E643">
            <w:pPr>
              <w:kinsoku w:val="0"/>
              <w:autoSpaceDE w:val="0"/>
              <w:autoSpaceDN w:val="0"/>
              <w:adjustRightInd w:val="0"/>
              <w:snapToGrid w:val="0"/>
              <w:spacing w:before="176" w:line="218" w:lineRule="exact"/>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position w:val="-3"/>
                <w:sz w:val="28"/>
                <w:szCs w:val="28"/>
                <w:highlight w:val="none"/>
              </w:rPr>
              <w:t>2</w:t>
            </w:r>
          </w:p>
        </w:tc>
        <w:tc>
          <w:tcPr>
            <w:tcW w:w="589" w:type="dxa"/>
            <w:vMerge w:val="continue"/>
            <w:tcBorders>
              <w:top w:val="nil"/>
              <w:bottom w:val="nil"/>
            </w:tcBorders>
            <w:textDirection w:val="tbRlV"/>
            <w:vAlign w:val="top"/>
          </w:tcPr>
          <w:p w14:paraId="0E004FB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1E9FE899">
            <w:pPr>
              <w:kinsoku w:val="0"/>
              <w:autoSpaceDE w:val="0"/>
              <w:autoSpaceDN w:val="0"/>
              <w:adjustRightInd w:val="0"/>
              <w:snapToGrid w:val="0"/>
              <w:spacing w:before="67"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亿元地区生产总值生产安全事故死亡率</w:t>
            </w:r>
          </w:p>
        </w:tc>
        <w:tc>
          <w:tcPr>
            <w:tcW w:w="1658" w:type="dxa"/>
            <w:tcBorders>
              <w:top w:val="single" w:color="000000" w:sz="2" w:space="0"/>
              <w:bottom w:val="single" w:color="000000" w:sz="2" w:space="0"/>
            </w:tcBorders>
            <w:vAlign w:val="top"/>
          </w:tcPr>
          <w:p w14:paraId="462E8B4E">
            <w:pPr>
              <w:kinsoku w:val="0"/>
              <w:autoSpaceDE w:val="0"/>
              <w:autoSpaceDN w:val="0"/>
              <w:adjustRightInd w:val="0"/>
              <w:snapToGrid w:val="0"/>
              <w:spacing w:before="67" w:line="219" w:lineRule="auto"/>
              <w:ind w:firstLine="3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下降30%</w:t>
            </w:r>
          </w:p>
        </w:tc>
        <w:tc>
          <w:tcPr>
            <w:tcW w:w="1154" w:type="dxa"/>
            <w:tcBorders>
              <w:top w:val="single" w:color="000000" w:sz="2" w:space="0"/>
              <w:bottom w:val="single" w:color="000000" w:sz="2" w:space="0"/>
            </w:tcBorders>
            <w:vAlign w:val="top"/>
          </w:tcPr>
          <w:p w14:paraId="6A80FE31">
            <w:pPr>
              <w:kinsoku w:val="0"/>
              <w:autoSpaceDE w:val="0"/>
              <w:autoSpaceDN w:val="0"/>
              <w:adjustRightInd w:val="0"/>
              <w:snapToGrid w:val="0"/>
              <w:spacing w:before="67" w:line="219"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约束性</w:t>
            </w:r>
          </w:p>
        </w:tc>
      </w:tr>
      <w:tr w14:paraId="6A7C3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94" w:type="dxa"/>
            <w:tcBorders>
              <w:top w:val="single" w:color="000000" w:sz="2" w:space="0"/>
              <w:bottom w:val="single" w:color="000000" w:sz="2" w:space="0"/>
            </w:tcBorders>
            <w:vAlign w:val="top"/>
          </w:tcPr>
          <w:p w14:paraId="316949D0">
            <w:pPr>
              <w:kinsoku w:val="0"/>
              <w:autoSpaceDE w:val="0"/>
              <w:autoSpaceDN w:val="0"/>
              <w:adjustRightInd w:val="0"/>
              <w:snapToGrid w:val="0"/>
              <w:spacing w:before="306" w:line="185" w:lineRule="auto"/>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3</w:t>
            </w:r>
          </w:p>
        </w:tc>
        <w:tc>
          <w:tcPr>
            <w:tcW w:w="589" w:type="dxa"/>
            <w:vMerge w:val="continue"/>
            <w:tcBorders>
              <w:top w:val="nil"/>
              <w:bottom w:val="nil"/>
            </w:tcBorders>
            <w:textDirection w:val="tbRlV"/>
            <w:vAlign w:val="top"/>
          </w:tcPr>
          <w:p w14:paraId="2E9DF74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7B5A97D5">
            <w:pPr>
              <w:kinsoku w:val="0"/>
              <w:autoSpaceDE w:val="0"/>
              <w:autoSpaceDN w:val="0"/>
              <w:adjustRightInd w:val="0"/>
              <w:snapToGrid w:val="0"/>
              <w:spacing w:before="87" w:line="226" w:lineRule="auto"/>
              <w:ind w:left="122" w:right="120"/>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5"/>
                <w:kern w:val="0"/>
                <w:sz w:val="28"/>
                <w:szCs w:val="28"/>
                <w:highlight w:val="none"/>
              </w:rPr>
              <w:t>工矿商贸就业人员十万人生产安全事故</w:t>
            </w:r>
            <w:r>
              <w:rPr>
                <w:rFonts w:hint="eastAsia" w:ascii="仿宋" w:hAnsi="仿宋" w:eastAsia="仿宋" w:cs="仿宋"/>
                <w:snapToGrid w:val="0"/>
                <w:color w:val="000000"/>
                <w:spacing w:val="14"/>
                <w:kern w:val="0"/>
                <w:sz w:val="28"/>
                <w:szCs w:val="28"/>
                <w:highlight w:val="none"/>
              </w:rPr>
              <w:t>死亡率</w:t>
            </w:r>
          </w:p>
        </w:tc>
        <w:tc>
          <w:tcPr>
            <w:tcW w:w="1658" w:type="dxa"/>
            <w:tcBorders>
              <w:top w:val="single" w:color="000000" w:sz="2" w:space="0"/>
              <w:bottom w:val="single" w:color="000000" w:sz="2" w:space="0"/>
            </w:tcBorders>
            <w:vAlign w:val="top"/>
          </w:tcPr>
          <w:p w14:paraId="455BF8EF">
            <w:pPr>
              <w:kinsoku w:val="0"/>
              <w:autoSpaceDE w:val="0"/>
              <w:autoSpaceDN w:val="0"/>
              <w:adjustRightInd w:val="0"/>
              <w:snapToGrid w:val="0"/>
              <w:spacing w:before="237" w:line="219" w:lineRule="auto"/>
              <w:ind w:firstLine="3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下降19%</w:t>
            </w:r>
          </w:p>
        </w:tc>
        <w:tc>
          <w:tcPr>
            <w:tcW w:w="1154" w:type="dxa"/>
            <w:tcBorders>
              <w:top w:val="single" w:color="000000" w:sz="2" w:space="0"/>
              <w:bottom w:val="single" w:color="000000" w:sz="2" w:space="0"/>
            </w:tcBorders>
            <w:vAlign w:val="top"/>
          </w:tcPr>
          <w:p w14:paraId="2CB7E32C">
            <w:pPr>
              <w:kinsoku w:val="0"/>
              <w:autoSpaceDE w:val="0"/>
              <w:autoSpaceDN w:val="0"/>
              <w:adjustRightInd w:val="0"/>
              <w:snapToGrid w:val="0"/>
              <w:spacing w:before="237" w:line="219"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约束性</w:t>
            </w:r>
          </w:p>
        </w:tc>
      </w:tr>
      <w:tr w14:paraId="7F6F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94" w:type="dxa"/>
            <w:tcBorders>
              <w:top w:val="single" w:color="000000" w:sz="2" w:space="0"/>
              <w:bottom w:val="single" w:color="000000" w:sz="2" w:space="0"/>
            </w:tcBorders>
            <w:vAlign w:val="top"/>
          </w:tcPr>
          <w:p w14:paraId="4B7C0B2F">
            <w:pPr>
              <w:kinsoku w:val="0"/>
              <w:autoSpaceDE w:val="0"/>
              <w:autoSpaceDN w:val="0"/>
              <w:adjustRightInd w:val="0"/>
              <w:snapToGrid w:val="0"/>
              <w:spacing w:before="147" w:line="176" w:lineRule="auto"/>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4</w:t>
            </w:r>
          </w:p>
        </w:tc>
        <w:tc>
          <w:tcPr>
            <w:tcW w:w="589" w:type="dxa"/>
            <w:vMerge w:val="continue"/>
            <w:tcBorders>
              <w:top w:val="nil"/>
              <w:bottom w:val="nil"/>
            </w:tcBorders>
            <w:textDirection w:val="tbRlV"/>
            <w:vAlign w:val="top"/>
          </w:tcPr>
          <w:p w14:paraId="7938B53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0F03F0AA">
            <w:pPr>
              <w:kinsoku w:val="0"/>
              <w:autoSpaceDE w:val="0"/>
              <w:autoSpaceDN w:val="0"/>
              <w:adjustRightInd w:val="0"/>
              <w:snapToGrid w:val="0"/>
              <w:spacing w:before="137" w:line="190"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2"/>
                <w:kern w:val="0"/>
                <w:sz w:val="28"/>
                <w:szCs w:val="28"/>
                <w:highlight w:val="none"/>
              </w:rPr>
              <w:t>道路交通万车死亡率</w:t>
            </w:r>
          </w:p>
        </w:tc>
        <w:tc>
          <w:tcPr>
            <w:tcW w:w="1658" w:type="dxa"/>
            <w:tcBorders>
              <w:top w:val="single" w:color="000000" w:sz="2" w:space="0"/>
              <w:bottom w:val="single" w:color="000000" w:sz="2" w:space="0"/>
            </w:tcBorders>
            <w:vAlign w:val="top"/>
          </w:tcPr>
          <w:p w14:paraId="41100660">
            <w:pPr>
              <w:kinsoku w:val="0"/>
              <w:autoSpaceDE w:val="0"/>
              <w:autoSpaceDN w:val="0"/>
              <w:adjustRightInd w:val="0"/>
              <w:snapToGrid w:val="0"/>
              <w:spacing w:before="78" w:line="219" w:lineRule="auto"/>
              <w:ind w:firstLine="41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下降6%</w:t>
            </w:r>
          </w:p>
        </w:tc>
        <w:tc>
          <w:tcPr>
            <w:tcW w:w="1154" w:type="dxa"/>
            <w:tcBorders>
              <w:top w:val="single" w:color="000000" w:sz="2" w:space="0"/>
              <w:bottom w:val="single" w:color="000000" w:sz="2" w:space="0"/>
            </w:tcBorders>
            <w:vAlign w:val="top"/>
          </w:tcPr>
          <w:p w14:paraId="47741B17">
            <w:pPr>
              <w:kinsoku w:val="0"/>
              <w:autoSpaceDE w:val="0"/>
              <w:autoSpaceDN w:val="0"/>
              <w:adjustRightInd w:val="0"/>
              <w:snapToGrid w:val="0"/>
              <w:spacing w:before="128" w:line="189"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05F89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694" w:type="dxa"/>
            <w:tcBorders>
              <w:top w:val="single" w:color="000000" w:sz="2" w:space="0"/>
              <w:bottom w:val="single" w:color="000000" w:sz="2" w:space="0"/>
            </w:tcBorders>
            <w:vAlign w:val="top"/>
          </w:tcPr>
          <w:p w14:paraId="65AC4017">
            <w:pPr>
              <w:kinsoku w:val="0"/>
              <w:autoSpaceDE w:val="0"/>
              <w:autoSpaceDN w:val="0"/>
              <w:adjustRightInd w:val="0"/>
              <w:snapToGrid w:val="0"/>
              <w:spacing w:line="399" w:lineRule="auto"/>
              <w:jc w:val="left"/>
              <w:textAlignment w:val="baseline"/>
              <w:rPr>
                <w:rFonts w:hint="eastAsia" w:ascii="仿宋" w:hAnsi="仿宋" w:eastAsia="仿宋" w:cs="仿宋"/>
                <w:snapToGrid w:val="0"/>
                <w:color w:val="000000"/>
                <w:kern w:val="0"/>
                <w:sz w:val="28"/>
                <w:szCs w:val="28"/>
                <w:highlight w:val="none"/>
              </w:rPr>
            </w:pPr>
          </w:p>
          <w:p w14:paraId="77560168">
            <w:pPr>
              <w:kinsoku w:val="0"/>
              <w:autoSpaceDE w:val="0"/>
              <w:autoSpaceDN w:val="0"/>
              <w:adjustRightInd w:val="0"/>
              <w:snapToGrid w:val="0"/>
              <w:spacing w:before="88" w:line="183" w:lineRule="auto"/>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5</w:t>
            </w:r>
          </w:p>
        </w:tc>
        <w:tc>
          <w:tcPr>
            <w:tcW w:w="589" w:type="dxa"/>
            <w:vMerge w:val="continue"/>
            <w:tcBorders>
              <w:top w:val="nil"/>
              <w:bottom w:val="nil"/>
            </w:tcBorders>
            <w:textDirection w:val="tbRlV"/>
            <w:vAlign w:val="top"/>
          </w:tcPr>
          <w:p w14:paraId="0DDC5C9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center"/>
          </w:tcPr>
          <w:p w14:paraId="48253D99">
            <w:pPr>
              <w:kinsoku w:val="0"/>
              <w:autoSpaceDE w:val="0"/>
              <w:autoSpaceDN w:val="0"/>
              <w:adjustRightInd w:val="0"/>
              <w:snapToGrid w:val="0"/>
              <w:spacing w:before="88"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较大事故起数</w:t>
            </w:r>
          </w:p>
        </w:tc>
        <w:tc>
          <w:tcPr>
            <w:tcW w:w="1658" w:type="dxa"/>
            <w:tcBorders>
              <w:top w:val="single" w:color="000000" w:sz="2" w:space="0"/>
              <w:bottom w:val="single" w:color="000000" w:sz="2" w:space="0"/>
            </w:tcBorders>
            <w:vAlign w:val="top"/>
          </w:tcPr>
          <w:p w14:paraId="5F82516B">
            <w:pPr>
              <w:kinsoku w:val="0"/>
              <w:autoSpaceDE w:val="0"/>
              <w:autoSpaceDN w:val="0"/>
              <w:adjustRightInd w:val="0"/>
              <w:snapToGrid w:val="0"/>
              <w:spacing w:before="108" w:line="219" w:lineRule="auto"/>
              <w:ind w:firstLine="1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每年不超过</w:t>
            </w:r>
          </w:p>
          <w:p w14:paraId="58922497">
            <w:pPr>
              <w:kinsoku w:val="0"/>
              <w:autoSpaceDE w:val="0"/>
              <w:autoSpaceDN w:val="0"/>
              <w:adjustRightInd w:val="0"/>
              <w:snapToGrid w:val="0"/>
              <w:spacing w:before="39" w:line="219" w:lineRule="auto"/>
              <w:ind w:firstLine="1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4"/>
                <w:kern w:val="0"/>
                <w:sz w:val="28"/>
                <w:szCs w:val="28"/>
                <w:highlight w:val="none"/>
                <w:lang w:eastAsia="zh-CN"/>
              </w:rPr>
              <w:t>市</w:t>
            </w:r>
            <w:r>
              <w:rPr>
                <w:rFonts w:hint="eastAsia" w:ascii="仿宋" w:hAnsi="仿宋" w:eastAsia="仿宋" w:cs="仿宋"/>
                <w:snapToGrid w:val="0"/>
                <w:color w:val="000000"/>
                <w:spacing w:val="4"/>
                <w:kern w:val="0"/>
                <w:sz w:val="28"/>
                <w:szCs w:val="28"/>
                <w:highlight w:val="none"/>
              </w:rPr>
              <w:t>下达控制</w:t>
            </w:r>
          </w:p>
          <w:p w14:paraId="3197B001">
            <w:pPr>
              <w:kinsoku w:val="0"/>
              <w:autoSpaceDE w:val="0"/>
              <w:autoSpaceDN w:val="0"/>
              <w:adjustRightInd w:val="0"/>
              <w:snapToGrid w:val="0"/>
              <w:spacing w:before="30" w:line="188" w:lineRule="auto"/>
              <w:ind w:firstLine="558"/>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5"/>
                <w:kern w:val="0"/>
                <w:sz w:val="28"/>
                <w:szCs w:val="28"/>
                <w:highlight w:val="none"/>
              </w:rPr>
              <w:t>指标</w:t>
            </w:r>
          </w:p>
        </w:tc>
        <w:tc>
          <w:tcPr>
            <w:tcW w:w="1154" w:type="dxa"/>
            <w:tcBorders>
              <w:top w:val="single" w:color="000000" w:sz="2" w:space="0"/>
              <w:bottom w:val="single" w:color="000000" w:sz="2" w:space="0"/>
            </w:tcBorders>
            <w:vAlign w:val="top"/>
          </w:tcPr>
          <w:p w14:paraId="551D0F1B">
            <w:pPr>
              <w:kinsoku w:val="0"/>
              <w:autoSpaceDE w:val="0"/>
              <w:autoSpaceDN w:val="0"/>
              <w:adjustRightInd w:val="0"/>
              <w:snapToGrid w:val="0"/>
              <w:spacing w:line="329" w:lineRule="auto"/>
              <w:jc w:val="left"/>
              <w:textAlignment w:val="baseline"/>
              <w:rPr>
                <w:rFonts w:hint="eastAsia" w:ascii="仿宋" w:hAnsi="仿宋" w:eastAsia="仿宋" w:cs="仿宋"/>
                <w:snapToGrid w:val="0"/>
                <w:color w:val="000000"/>
                <w:kern w:val="0"/>
                <w:sz w:val="28"/>
                <w:szCs w:val="28"/>
                <w:highlight w:val="none"/>
              </w:rPr>
            </w:pPr>
          </w:p>
          <w:p w14:paraId="47DAB481">
            <w:pPr>
              <w:kinsoku w:val="0"/>
              <w:autoSpaceDE w:val="0"/>
              <w:autoSpaceDN w:val="0"/>
              <w:adjustRightInd w:val="0"/>
              <w:snapToGrid w:val="0"/>
              <w:spacing w:before="87"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4398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29A48AE4">
            <w:pPr>
              <w:kinsoku w:val="0"/>
              <w:autoSpaceDE w:val="0"/>
              <w:autoSpaceDN w:val="0"/>
              <w:adjustRightInd w:val="0"/>
              <w:snapToGrid w:val="0"/>
              <w:spacing w:before="139" w:line="175" w:lineRule="auto"/>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6</w:t>
            </w:r>
          </w:p>
        </w:tc>
        <w:tc>
          <w:tcPr>
            <w:tcW w:w="589" w:type="dxa"/>
            <w:vMerge w:val="continue"/>
            <w:tcBorders>
              <w:top w:val="nil"/>
              <w:bottom w:val="nil"/>
            </w:tcBorders>
            <w:textDirection w:val="tbRlV"/>
            <w:vAlign w:val="top"/>
          </w:tcPr>
          <w:p w14:paraId="4CB68F7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441831E5">
            <w:pPr>
              <w:kinsoku w:val="0"/>
              <w:autoSpaceDE w:val="0"/>
              <w:autoSpaceDN w:val="0"/>
              <w:adjustRightInd w:val="0"/>
              <w:snapToGrid w:val="0"/>
              <w:spacing w:before="69"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非煤矿山一般生产安全事故起数</w:t>
            </w:r>
          </w:p>
        </w:tc>
        <w:tc>
          <w:tcPr>
            <w:tcW w:w="1658" w:type="dxa"/>
            <w:tcBorders>
              <w:top w:val="single" w:color="000000" w:sz="2" w:space="0"/>
              <w:bottom w:val="single" w:color="000000" w:sz="2" w:space="0"/>
            </w:tcBorders>
            <w:vAlign w:val="top"/>
          </w:tcPr>
          <w:p w14:paraId="0D0080AD">
            <w:pPr>
              <w:kinsoku w:val="0"/>
              <w:autoSpaceDE w:val="0"/>
              <w:autoSpaceDN w:val="0"/>
              <w:adjustRightInd w:val="0"/>
              <w:snapToGrid w:val="0"/>
              <w:spacing w:before="69" w:line="219" w:lineRule="auto"/>
              <w:ind w:firstLine="3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下降10%</w:t>
            </w:r>
          </w:p>
        </w:tc>
        <w:tc>
          <w:tcPr>
            <w:tcW w:w="1154" w:type="dxa"/>
            <w:tcBorders>
              <w:top w:val="single" w:color="000000" w:sz="2" w:space="0"/>
              <w:bottom w:val="single" w:color="000000" w:sz="2" w:space="0"/>
            </w:tcBorders>
            <w:vAlign w:val="top"/>
          </w:tcPr>
          <w:p w14:paraId="3CE6C16B">
            <w:pPr>
              <w:kinsoku w:val="0"/>
              <w:autoSpaceDE w:val="0"/>
              <w:autoSpaceDN w:val="0"/>
              <w:adjustRightInd w:val="0"/>
              <w:snapToGrid w:val="0"/>
              <w:spacing w:before="69"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6A8F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017FBEAF">
            <w:pPr>
              <w:kinsoku w:val="0"/>
              <w:autoSpaceDE w:val="0"/>
              <w:autoSpaceDN w:val="0"/>
              <w:adjustRightInd w:val="0"/>
              <w:snapToGrid w:val="0"/>
              <w:spacing w:before="140" w:line="174" w:lineRule="auto"/>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7</w:t>
            </w:r>
          </w:p>
        </w:tc>
        <w:tc>
          <w:tcPr>
            <w:tcW w:w="589" w:type="dxa"/>
            <w:vMerge w:val="continue"/>
            <w:tcBorders>
              <w:top w:val="nil"/>
              <w:bottom w:val="nil"/>
            </w:tcBorders>
            <w:textDirection w:val="tbRlV"/>
            <w:vAlign w:val="top"/>
          </w:tcPr>
          <w:p w14:paraId="3DAAF60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3595BD39">
            <w:pPr>
              <w:kinsoku w:val="0"/>
              <w:autoSpaceDE w:val="0"/>
              <w:autoSpaceDN w:val="0"/>
              <w:adjustRightInd w:val="0"/>
              <w:snapToGrid w:val="0"/>
              <w:spacing w:before="69"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非煤矿山一般生产安全事故死亡人数</w:t>
            </w:r>
          </w:p>
        </w:tc>
        <w:tc>
          <w:tcPr>
            <w:tcW w:w="1658" w:type="dxa"/>
            <w:tcBorders>
              <w:top w:val="single" w:color="000000" w:sz="2" w:space="0"/>
              <w:bottom w:val="single" w:color="000000" w:sz="2" w:space="0"/>
            </w:tcBorders>
            <w:vAlign w:val="top"/>
          </w:tcPr>
          <w:p w14:paraId="4D756863">
            <w:pPr>
              <w:kinsoku w:val="0"/>
              <w:autoSpaceDE w:val="0"/>
              <w:autoSpaceDN w:val="0"/>
              <w:adjustRightInd w:val="0"/>
              <w:snapToGrid w:val="0"/>
              <w:spacing w:before="69" w:line="219" w:lineRule="auto"/>
              <w:ind w:firstLine="3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下降10%</w:t>
            </w:r>
          </w:p>
        </w:tc>
        <w:tc>
          <w:tcPr>
            <w:tcW w:w="1154" w:type="dxa"/>
            <w:tcBorders>
              <w:top w:val="single" w:color="000000" w:sz="2" w:space="0"/>
              <w:bottom w:val="single" w:color="000000" w:sz="2" w:space="0"/>
            </w:tcBorders>
            <w:vAlign w:val="top"/>
          </w:tcPr>
          <w:p w14:paraId="1DC40D10">
            <w:pPr>
              <w:kinsoku w:val="0"/>
              <w:autoSpaceDE w:val="0"/>
              <w:autoSpaceDN w:val="0"/>
              <w:adjustRightInd w:val="0"/>
              <w:snapToGrid w:val="0"/>
              <w:spacing w:before="69"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66CBA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546CF472">
            <w:pPr>
              <w:kinsoku w:val="0"/>
              <w:autoSpaceDE w:val="0"/>
              <w:autoSpaceDN w:val="0"/>
              <w:adjustRightInd w:val="0"/>
              <w:snapToGrid w:val="0"/>
              <w:spacing w:before="139" w:line="175" w:lineRule="auto"/>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8</w:t>
            </w:r>
          </w:p>
        </w:tc>
        <w:tc>
          <w:tcPr>
            <w:tcW w:w="589" w:type="dxa"/>
            <w:vMerge w:val="continue"/>
            <w:tcBorders>
              <w:top w:val="nil"/>
              <w:bottom w:val="single" w:color="000000" w:sz="2" w:space="0"/>
            </w:tcBorders>
            <w:textDirection w:val="tbRlV"/>
            <w:vAlign w:val="top"/>
          </w:tcPr>
          <w:p w14:paraId="2B9A439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3B63991C">
            <w:pPr>
              <w:kinsoku w:val="0"/>
              <w:autoSpaceDE w:val="0"/>
              <w:autoSpaceDN w:val="0"/>
              <w:adjustRightInd w:val="0"/>
              <w:snapToGrid w:val="0"/>
              <w:spacing w:before="69"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非煤矿山从业人员千人死亡率</w:t>
            </w:r>
          </w:p>
        </w:tc>
        <w:tc>
          <w:tcPr>
            <w:tcW w:w="1658" w:type="dxa"/>
            <w:tcBorders>
              <w:top w:val="single" w:color="000000" w:sz="2" w:space="0"/>
              <w:bottom w:val="single" w:color="000000" w:sz="2" w:space="0"/>
            </w:tcBorders>
            <w:vAlign w:val="top"/>
          </w:tcPr>
          <w:p w14:paraId="7829A395">
            <w:pPr>
              <w:kinsoku w:val="0"/>
              <w:autoSpaceDE w:val="0"/>
              <w:autoSpaceDN w:val="0"/>
              <w:adjustRightInd w:val="0"/>
              <w:snapToGrid w:val="0"/>
              <w:spacing w:before="69" w:line="219" w:lineRule="auto"/>
              <w:ind w:firstLine="34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下降10%</w:t>
            </w:r>
          </w:p>
        </w:tc>
        <w:tc>
          <w:tcPr>
            <w:tcW w:w="1154" w:type="dxa"/>
            <w:tcBorders>
              <w:top w:val="single" w:color="000000" w:sz="2" w:space="0"/>
              <w:bottom w:val="single" w:color="000000" w:sz="2" w:space="0"/>
            </w:tcBorders>
            <w:vAlign w:val="top"/>
          </w:tcPr>
          <w:p w14:paraId="069AAAAA">
            <w:pPr>
              <w:kinsoku w:val="0"/>
              <w:autoSpaceDE w:val="0"/>
              <w:autoSpaceDN w:val="0"/>
              <w:adjustRightInd w:val="0"/>
              <w:snapToGrid w:val="0"/>
              <w:spacing w:before="109" w:line="195"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6C16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94" w:type="dxa"/>
            <w:tcBorders>
              <w:top w:val="single" w:color="000000" w:sz="2" w:space="0"/>
              <w:bottom w:val="single" w:color="000000" w:sz="2" w:space="0"/>
            </w:tcBorders>
            <w:vAlign w:val="top"/>
          </w:tcPr>
          <w:p w14:paraId="5C7ECE36">
            <w:pPr>
              <w:kinsoku w:val="0"/>
              <w:autoSpaceDE w:val="0"/>
              <w:autoSpaceDN w:val="0"/>
              <w:adjustRightInd w:val="0"/>
              <w:snapToGrid w:val="0"/>
              <w:spacing w:before="308" w:line="185" w:lineRule="auto"/>
              <w:ind w:firstLine="26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9</w:t>
            </w:r>
          </w:p>
        </w:tc>
        <w:tc>
          <w:tcPr>
            <w:tcW w:w="589" w:type="dxa"/>
            <w:vMerge w:val="restart"/>
            <w:tcBorders>
              <w:top w:val="single" w:color="000000" w:sz="2" w:space="0"/>
              <w:bottom w:val="nil"/>
            </w:tcBorders>
            <w:textDirection w:val="tbRlV"/>
            <w:vAlign w:val="top"/>
          </w:tcPr>
          <w:p w14:paraId="73218455">
            <w:pPr>
              <w:kinsoku w:val="0"/>
              <w:autoSpaceDE w:val="0"/>
              <w:autoSpaceDN w:val="0"/>
              <w:adjustRightInd w:val="0"/>
              <w:snapToGrid w:val="0"/>
              <w:spacing w:before="158" w:line="216" w:lineRule="auto"/>
              <w:ind w:firstLine="603"/>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5"/>
                <w:kern w:val="0"/>
                <w:sz w:val="28"/>
                <w:szCs w:val="28"/>
                <w:highlight w:val="none"/>
              </w:rPr>
              <w:t>防灾减灾</w:t>
            </w:r>
          </w:p>
        </w:tc>
        <w:tc>
          <w:tcPr>
            <w:tcW w:w="4944" w:type="dxa"/>
            <w:tcBorders>
              <w:top w:val="single" w:color="000000" w:sz="2" w:space="0"/>
              <w:bottom w:val="single" w:color="000000" w:sz="2" w:space="0"/>
            </w:tcBorders>
            <w:vAlign w:val="top"/>
          </w:tcPr>
          <w:p w14:paraId="076105A5">
            <w:pPr>
              <w:kinsoku w:val="0"/>
              <w:autoSpaceDE w:val="0"/>
              <w:autoSpaceDN w:val="0"/>
              <w:adjustRightInd w:val="0"/>
              <w:snapToGrid w:val="0"/>
              <w:spacing w:before="78" w:line="229" w:lineRule="auto"/>
              <w:ind w:left="121" w:right="101" w:hanging="19"/>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8"/>
                <w:kern w:val="0"/>
                <w:sz w:val="28"/>
                <w:szCs w:val="28"/>
                <w:highlight w:val="none"/>
              </w:rPr>
              <w:t>年均因灾直接经济损失占地区生产总值</w:t>
            </w:r>
            <w:r>
              <w:rPr>
                <w:rFonts w:hint="eastAsia" w:ascii="仿宋" w:hAnsi="仿宋" w:eastAsia="仿宋" w:cs="仿宋"/>
                <w:snapToGrid w:val="0"/>
                <w:color w:val="000000"/>
                <w:spacing w:val="21"/>
                <w:kern w:val="0"/>
                <w:sz w:val="28"/>
                <w:szCs w:val="28"/>
                <w:highlight w:val="none"/>
              </w:rPr>
              <w:t>比例</w:t>
            </w:r>
          </w:p>
        </w:tc>
        <w:tc>
          <w:tcPr>
            <w:tcW w:w="1658" w:type="dxa"/>
            <w:tcBorders>
              <w:top w:val="single" w:color="000000" w:sz="2" w:space="0"/>
              <w:bottom w:val="single" w:color="000000" w:sz="2" w:space="0"/>
            </w:tcBorders>
            <w:vAlign w:val="top"/>
          </w:tcPr>
          <w:p w14:paraId="08ABA1C7">
            <w:pPr>
              <w:kinsoku w:val="0"/>
              <w:autoSpaceDE w:val="0"/>
              <w:autoSpaceDN w:val="0"/>
              <w:adjustRightInd w:val="0"/>
              <w:snapToGrid w:val="0"/>
              <w:spacing w:before="248" w:line="227" w:lineRule="auto"/>
              <w:ind w:firstLine="12"/>
              <w:jc w:val="center"/>
              <w:textAlignment w:val="baseline"/>
              <w:rPr>
                <w:rFonts w:hint="eastAsia" w:ascii="仿宋" w:hAnsi="仿宋" w:eastAsia="仿宋" w:cs="仿宋"/>
                <w:snapToGrid w:val="0"/>
                <w:color w:val="000000"/>
                <w:kern w:val="0"/>
                <w:sz w:val="28"/>
                <w:szCs w:val="28"/>
                <w:highlight w:val="none"/>
                <w:lang w:eastAsia="zh-CN"/>
              </w:rPr>
            </w:pPr>
            <w:r>
              <w:rPr>
                <w:rFonts w:hint="eastAsia" w:ascii="仿宋" w:hAnsi="仿宋" w:eastAsia="仿宋" w:cs="仿宋"/>
                <w:snapToGrid w:val="0"/>
                <w:color w:val="000000"/>
                <w:kern w:val="0"/>
                <w:sz w:val="28"/>
                <w:szCs w:val="28"/>
                <w:highlight w:val="none"/>
                <w:lang w:val="en-US" w:eastAsia="zh-CN"/>
              </w:rPr>
              <w:t>[</w:t>
            </w:r>
            <w:r>
              <w:rPr>
                <w:rFonts w:hint="eastAsia" w:ascii="仿宋" w:hAnsi="仿宋" w:eastAsia="仿宋" w:cs="仿宋"/>
                <w:snapToGrid w:val="0"/>
                <w:color w:val="000000"/>
                <w:kern w:val="0"/>
                <w:sz w:val="28"/>
                <w:szCs w:val="28"/>
                <w:highlight w:val="none"/>
              </w:rPr>
              <w:t>≤1.3%</w:t>
            </w:r>
            <w:r>
              <w:rPr>
                <w:rFonts w:hint="eastAsia" w:ascii="仿宋" w:hAnsi="仿宋" w:eastAsia="仿宋" w:cs="仿宋"/>
                <w:snapToGrid w:val="0"/>
                <w:color w:val="000000"/>
                <w:kern w:val="0"/>
                <w:sz w:val="28"/>
                <w:szCs w:val="28"/>
                <w:highlight w:val="none"/>
                <w:lang w:val="en-US" w:eastAsia="zh-CN"/>
              </w:rPr>
              <w:t>]</w:t>
            </w:r>
          </w:p>
        </w:tc>
        <w:tc>
          <w:tcPr>
            <w:tcW w:w="1154" w:type="dxa"/>
            <w:tcBorders>
              <w:top w:val="single" w:color="000000" w:sz="2" w:space="0"/>
              <w:bottom w:val="single" w:color="000000" w:sz="2" w:space="0"/>
            </w:tcBorders>
            <w:vAlign w:val="top"/>
          </w:tcPr>
          <w:p w14:paraId="19203CD0">
            <w:pPr>
              <w:kinsoku w:val="0"/>
              <w:autoSpaceDE w:val="0"/>
              <w:autoSpaceDN w:val="0"/>
              <w:adjustRightInd w:val="0"/>
              <w:snapToGrid w:val="0"/>
              <w:spacing w:before="240"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5B59E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460C8C77">
            <w:pPr>
              <w:kinsoku w:val="0"/>
              <w:autoSpaceDE w:val="0"/>
              <w:autoSpaceDN w:val="0"/>
              <w:adjustRightInd w:val="0"/>
              <w:snapToGrid w:val="0"/>
              <w:spacing w:before="13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10</w:t>
            </w:r>
          </w:p>
        </w:tc>
        <w:tc>
          <w:tcPr>
            <w:tcW w:w="589" w:type="dxa"/>
            <w:vMerge w:val="continue"/>
            <w:tcBorders>
              <w:top w:val="nil"/>
              <w:bottom w:val="nil"/>
            </w:tcBorders>
            <w:textDirection w:val="tbRlV"/>
            <w:vAlign w:val="top"/>
          </w:tcPr>
          <w:p w14:paraId="66EA5EB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32DCD2D9">
            <w:pPr>
              <w:kinsoku w:val="0"/>
              <w:autoSpaceDE w:val="0"/>
              <w:autoSpaceDN w:val="0"/>
              <w:adjustRightInd w:val="0"/>
              <w:snapToGrid w:val="0"/>
              <w:spacing w:before="70"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年均每百万人口因自然灾害死亡率</w:t>
            </w:r>
          </w:p>
        </w:tc>
        <w:tc>
          <w:tcPr>
            <w:tcW w:w="1658" w:type="dxa"/>
            <w:tcBorders>
              <w:top w:val="single" w:color="000000" w:sz="2" w:space="0"/>
              <w:bottom w:val="single" w:color="000000" w:sz="2" w:space="0"/>
            </w:tcBorders>
            <w:vAlign w:val="top"/>
          </w:tcPr>
          <w:p w14:paraId="5C5E8487">
            <w:pPr>
              <w:kinsoku w:val="0"/>
              <w:autoSpaceDE w:val="0"/>
              <w:autoSpaceDN w:val="0"/>
              <w:adjustRightInd w:val="0"/>
              <w:snapToGrid w:val="0"/>
              <w:spacing w:before="150" w:line="188" w:lineRule="auto"/>
              <w:ind w:firstLine="12"/>
              <w:jc w:val="center"/>
              <w:textAlignment w:val="baseline"/>
              <w:rPr>
                <w:rFonts w:hint="eastAsia" w:ascii="仿宋" w:hAnsi="仿宋" w:eastAsia="仿宋" w:cs="仿宋"/>
                <w:snapToGrid w:val="0"/>
                <w:color w:val="000000"/>
                <w:kern w:val="0"/>
                <w:sz w:val="28"/>
                <w:szCs w:val="28"/>
                <w:highlight w:val="none"/>
                <w:lang w:val="en-US" w:eastAsia="zh-CN"/>
              </w:rPr>
            </w:pPr>
            <w:r>
              <w:rPr>
                <w:rFonts w:hint="eastAsia" w:ascii="仿宋" w:hAnsi="仿宋" w:eastAsia="仿宋" w:cs="仿宋"/>
                <w:snapToGrid w:val="0"/>
                <w:color w:val="000000"/>
                <w:spacing w:val="12"/>
                <w:w w:val="104"/>
                <w:kern w:val="0"/>
                <w:sz w:val="28"/>
                <w:szCs w:val="28"/>
                <w:highlight w:val="none"/>
                <w:lang w:val="en-US" w:eastAsia="zh-CN"/>
              </w:rPr>
              <w:t>[</w:t>
            </w:r>
            <w:r>
              <w:rPr>
                <w:rFonts w:hint="eastAsia" w:ascii="仿宋" w:hAnsi="仿宋" w:eastAsia="仿宋" w:cs="仿宋"/>
                <w:snapToGrid w:val="0"/>
                <w:color w:val="000000"/>
                <w:spacing w:val="12"/>
                <w:w w:val="104"/>
                <w:kern w:val="0"/>
                <w:sz w:val="28"/>
                <w:szCs w:val="28"/>
                <w:highlight w:val="none"/>
              </w:rPr>
              <w:t>≤1.3%</w:t>
            </w:r>
            <w:r>
              <w:rPr>
                <w:rFonts w:hint="eastAsia" w:ascii="仿宋" w:hAnsi="仿宋" w:eastAsia="仿宋" w:cs="仿宋"/>
                <w:snapToGrid w:val="0"/>
                <w:color w:val="000000"/>
                <w:spacing w:val="12"/>
                <w:w w:val="104"/>
                <w:kern w:val="0"/>
                <w:sz w:val="28"/>
                <w:szCs w:val="28"/>
                <w:highlight w:val="none"/>
                <w:lang w:val="en-US" w:eastAsia="zh-CN"/>
              </w:rPr>
              <w:t>]</w:t>
            </w:r>
          </w:p>
        </w:tc>
        <w:tc>
          <w:tcPr>
            <w:tcW w:w="1154" w:type="dxa"/>
            <w:tcBorders>
              <w:top w:val="single" w:color="000000" w:sz="2" w:space="0"/>
              <w:bottom w:val="single" w:color="000000" w:sz="2" w:space="0"/>
            </w:tcBorders>
            <w:vAlign w:val="top"/>
          </w:tcPr>
          <w:p w14:paraId="6B9BEF98">
            <w:pPr>
              <w:kinsoku w:val="0"/>
              <w:autoSpaceDE w:val="0"/>
              <w:autoSpaceDN w:val="0"/>
              <w:adjustRightInd w:val="0"/>
              <w:snapToGrid w:val="0"/>
              <w:spacing w:before="130" w:line="188"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3"/>
                <w:kern w:val="0"/>
                <w:sz w:val="28"/>
                <w:szCs w:val="28"/>
                <w:highlight w:val="none"/>
              </w:rPr>
              <w:t>预期性</w:t>
            </w:r>
          </w:p>
        </w:tc>
      </w:tr>
      <w:tr w14:paraId="6E3BB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76CB0F83">
            <w:pPr>
              <w:kinsoku w:val="0"/>
              <w:autoSpaceDE w:val="0"/>
              <w:autoSpaceDN w:val="0"/>
              <w:adjustRightInd w:val="0"/>
              <w:snapToGrid w:val="0"/>
              <w:spacing w:before="13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11</w:t>
            </w:r>
          </w:p>
        </w:tc>
        <w:tc>
          <w:tcPr>
            <w:tcW w:w="589" w:type="dxa"/>
            <w:vMerge w:val="continue"/>
            <w:tcBorders>
              <w:top w:val="nil"/>
              <w:bottom w:val="nil"/>
            </w:tcBorders>
            <w:textDirection w:val="tbRlV"/>
            <w:vAlign w:val="top"/>
          </w:tcPr>
          <w:p w14:paraId="342EAC2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3DDDD521">
            <w:pPr>
              <w:kinsoku w:val="0"/>
              <w:autoSpaceDE w:val="0"/>
              <w:autoSpaceDN w:val="0"/>
              <w:adjustRightInd w:val="0"/>
              <w:snapToGrid w:val="0"/>
              <w:spacing w:before="70"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重点区域林火瞭望监测覆盖率</w:t>
            </w:r>
          </w:p>
        </w:tc>
        <w:tc>
          <w:tcPr>
            <w:tcW w:w="1658" w:type="dxa"/>
            <w:tcBorders>
              <w:top w:val="single" w:color="000000" w:sz="2" w:space="0"/>
              <w:bottom w:val="single" w:color="000000" w:sz="2" w:space="0"/>
            </w:tcBorders>
            <w:vAlign w:val="top"/>
          </w:tcPr>
          <w:p w14:paraId="6DC91D47">
            <w:pPr>
              <w:kinsoku w:val="0"/>
              <w:autoSpaceDE w:val="0"/>
              <w:autoSpaceDN w:val="0"/>
              <w:adjustRightInd w:val="0"/>
              <w:snapToGrid w:val="0"/>
              <w:spacing w:before="96" w:line="204" w:lineRule="auto"/>
              <w:ind w:firstLine="48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≥90%</w:t>
            </w:r>
          </w:p>
        </w:tc>
        <w:tc>
          <w:tcPr>
            <w:tcW w:w="1154" w:type="dxa"/>
            <w:tcBorders>
              <w:top w:val="single" w:color="000000" w:sz="2" w:space="0"/>
              <w:bottom w:val="single" w:color="000000" w:sz="2" w:space="0"/>
            </w:tcBorders>
            <w:vAlign w:val="top"/>
          </w:tcPr>
          <w:p w14:paraId="702649F2">
            <w:pPr>
              <w:kinsoku w:val="0"/>
              <w:autoSpaceDE w:val="0"/>
              <w:autoSpaceDN w:val="0"/>
              <w:adjustRightInd w:val="0"/>
              <w:snapToGrid w:val="0"/>
              <w:spacing w:before="121" w:line="187"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0025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1B0FA2DC">
            <w:pPr>
              <w:kinsoku w:val="0"/>
              <w:autoSpaceDE w:val="0"/>
              <w:autoSpaceDN w:val="0"/>
              <w:adjustRightInd w:val="0"/>
              <w:snapToGrid w:val="0"/>
              <w:spacing w:before="13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12</w:t>
            </w:r>
          </w:p>
        </w:tc>
        <w:tc>
          <w:tcPr>
            <w:tcW w:w="589" w:type="dxa"/>
            <w:vMerge w:val="continue"/>
            <w:tcBorders>
              <w:top w:val="nil"/>
              <w:bottom w:val="nil"/>
            </w:tcBorders>
            <w:textDirection w:val="tbRlV"/>
            <w:vAlign w:val="top"/>
          </w:tcPr>
          <w:p w14:paraId="54CAE39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2263BA48">
            <w:pPr>
              <w:kinsoku w:val="0"/>
              <w:autoSpaceDE w:val="0"/>
              <w:autoSpaceDN w:val="0"/>
              <w:adjustRightInd w:val="0"/>
              <w:snapToGrid w:val="0"/>
              <w:spacing w:before="70"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森林火灾受害率</w:t>
            </w:r>
          </w:p>
        </w:tc>
        <w:tc>
          <w:tcPr>
            <w:tcW w:w="1658" w:type="dxa"/>
            <w:tcBorders>
              <w:top w:val="single" w:color="000000" w:sz="2" w:space="0"/>
              <w:bottom w:val="single" w:color="000000" w:sz="2" w:space="0"/>
            </w:tcBorders>
            <w:vAlign w:val="top"/>
          </w:tcPr>
          <w:p w14:paraId="4CDBC9FA">
            <w:pPr>
              <w:kinsoku w:val="0"/>
              <w:autoSpaceDE w:val="0"/>
              <w:autoSpaceDN w:val="0"/>
              <w:adjustRightInd w:val="0"/>
              <w:snapToGrid w:val="0"/>
              <w:spacing w:before="93" w:line="206" w:lineRule="auto"/>
              <w:ind w:firstLine="487"/>
              <w:jc w:val="left"/>
              <w:textAlignment w:val="baseline"/>
              <w:rPr>
                <w:rFonts w:hint="eastAsia" w:ascii="仿宋" w:hAnsi="仿宋" w:eastAsia="仿宋" w:cs="仿宋"/>
                <w:snapToGrid w:val="0"/>
                <w:color w:val="000000"/>
                <w:kern w:val="0"/>
                <w:sz w:val="28"/>
                <w:szCs w:val="28"/>
                <w:highlight w:val="none"/>
                <w:lang w:eastAsia="zh-CN"/>
              </w:rPr>
            </w:pPr>
            <w:r>
              <w:rPr>
                <w:rFonts w:hint="eastAsia" w:ascii="仿宋" w:hAnsi="仿宋" w:eastAsia="仿宋" w:cs="仿宋"/>
                <w:snapToGrid w:val="0"/>
                <w:color w:val="000000"/>
                <w:spacing w:val="-6"/>
                <w:kern w:val="0"/>
                <w:sz w:val="28"/>
                <w:szCs w:val="28"/>
                <w:highlight w:val="none"/>
              </w:rPr>
              <w:t>≤1</w:t>
            </w:r>
            <w:r>
              <w:rPr>
                <w:rFonts w:hint="eastAsia" w:ascii="仿宋" w:hAnsi="仿宋" w:eastAsia="仿宋" w:cs="仿宋"/>
                <w:snapToGrid w:val="0"/>
                <w:color w:val="000000"/>
                <w:spacing w:val="-6"/>
                <w:kern w:val="0"/>
                <w:sz w:val="28"/>
                <w:szCs w:val="28"/>
                <w:highlight w:val="none"/>
                <w:lang w:eastAsia="zh-CN"/>
              </w:rPr>
              <w:t>‰</w:t>
            </w:r>
          </w:p>
        </w:tc>
        <w:tc>
          <w:tcPr>
            <w:tcW w:w="1154" w:type="dxa"/>
            <w:tcBorders>
              <w:top w:val="single" w:color="000000" w:sz="2" w:space="0"/>
              <w:bottom w:val="single" w:color="000000" w:sz="2" w:space="0"/>
            </w:tcBorders>
            <w:vAlign w:val="top"/>
          </w:tcPr>
          <w:p w14:paraId="2FF2D7ED">
            <w:pPr>
              <w:kinsoku w:val="0"/>
              <w:autoSpaceDE w:val="0"/>
              <w:autoSpaceDN w:val="0"/>
              <w:adjustRightInd w:val="0"/>
              <w:snapToGrid w:val="0"/>
              <w:spacing w:before="70"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64B54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5236ABCB">
            <w:pPr>
              <w:kinsoku w:val="0"/>
              <w:autoSpaceDE w:val="0"/>
              <w:autoSpaceDN w:val="0"/>
              <w:adjustRightInd w:val="0"/>
              <w:snapToGrid w:val="0"/>
              <w:spacing w:before="13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13</w:t>
            </w:r>
          </w:p>
        </w:tc>
        <w:tc>
          <w:tcPr>
            <w:tcW w:w="589" w:type="dxa"/>
            <w:vMerge w:val="continue"/>
            <w:tcBorders>
              <w:top w:val="nil"/>
              <w:bottom w:val="single" w:color="000000" w:sz="2" w:space="0"/>
            </w:tcBorders>
            <w:textDirection w:val="tbRlV"/>
            <w:vAlign w:val="top"/>
          </w:tcPr>
          <w:p w14:paraId="0AB99E3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1ADCD5F6">
            <w:pPr>
              <w:kinsoku w:val="0"/>
              <w:autoSpaceDE w:val="0"/>
              <w:autoSpaceDN w:val="0"/>
              <w:adjustRightInd w:val="0"/>
              <w:snapToGrid w:val="0"/>
              <w:spacing w:before="68"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受灾群众基本生活初步救助时间</w:t>
            </w:r>
          </w:p>
        </w:tc>
        <w:tc>
          <w:tcPr>
            <w:tcW w:w="1658" w:type="dxa"/>
            <w:tcBorders>
              <w:top w:val="single" w:color="000000" w:sz="2" w:space="0"/>
              <w:bottom w:val="single" w:color="000000" w:sz="2" w:space="0"/>
            </w:tcBorders>
            <w:vAlign w:val="top"/>
          </w:tcPr>
          <w:p w14:paraId="52B1E0CA">
            <w:pPr>
              <w:kinsoku w:val="0"/>
              <w:autoSpaceDE w:val="0"/>
              <w:autoSpaceDN w:val="0"/>
              <w:adjustRightInd w:val="0"/>
              <w:snapToGrid w:val="0"/>
              <w:spacing w:before="73" w:line="220" w:lineRule="auto"/>
              <w:ind w:firstLine="41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&lt;8小时</w:t>
            </w:r>
          </w:p>
        </w:tc>
        <w:tc>
          <w:tcPr>
            <w:tcW w:w="1154" w:type="dxa"/>
            <w:tcBorders>
              <w:top w:val="single" w:color="000000" w:sz="2" w:space="0"/>
              <w:bottom w:val="single" w:color="000000" w:sz="2" w:space="0"/>
            </w:tcBorders>
            <w:vAlign w:val="top"/>
          </w:tcPr>
          <w:p w14:paraId="7326845C">
            <w:pPr>
              <w:kinsoku w:val="0"/>
              <w:autoSpaceDE w:val="0"/>
              <w:autoSpaceDN w:val="0"/>
              <w:adjustRightInd w:val="0"/>
              <w:snapToGrid w:val="0"/>
              <w:spacing w:before="70"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715A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94" w:type="dxa"/>
            <w:tcBorders>
              <w:top w:val="single" w:color="000000" w:sz="2" w:space="0"/>
              <w:bottom w:val="single" w:color="000000" w:sz="2" w:space="0"/>
            </w:tcBorders>
            <w:vAlign w:val="top"/>
          </w:tcPr>
          <w:p w14:paraId="693DB205">
            <w:pPr>
              <w:kinsoku w:val="0"/>
              <w:autoSpaceDE w:val="0"/>
              <w:autoSpaceDN w:val="0"/>
              <w:adjustRightInd w:val="0"/>
              <w:snapToGrid w:val="0"/>
              <w:spacing w:before="14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14</w:t>
            </w:r>
          </w:p>
        </w:tc>
        <w:tc>
          <w:tcPr>
            <w:tcW w:w="589" w:type="dxa"/>
            <w:vMerge w:val="restart"/>
            <w:tcBorders>
              <w:top w:val="single" w:color="000000" w:sz="2" w:space="0"/>
              <w:bottom w:val="nil"/>
            </w:tcBorders>
            <w:textDirection w:val="tbRlV"/>
            <w:vAlign w:val="top"/>
          </w:tcPr>
          <w:p w14:paraId="1993C7A6">
            <w:pPr>
              <w:kinsoku w:val="0"/>
              <w:autoSpaceDE w:val="0"/>
              <w:autoSpaceDN w:val="0"/>
              <w:adjustRightInd w:val="0"/>
              <w:snapToGrid w:val="0"/>
              <w:spacing w:before="158" w:line="215" w:lineRule="auto"/>
              <w:ind w:firstLine="604"/>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5"/>
                <w:kern w:val="0"/>
                <w:sz w:val="28"/>
                <w:szCs w:val="28"/>
                <w:highlight w:val="none"/>
              </w:rPr>
              <w:t>应急救援</w:t>
            </w:r>
          </w:p>
        </w:tc>
        <w:tc>
          <w:tcPr>
            <w:tcW w:w="4944" w:type="dxa"/>
            <w:tcBorders>
              <w:top w:val="single" w:color="000000" w:sz="2" w:space="0"/>
              <w:bottom w:val="single" w:color="000000" w:sz="2" w:space="0"/>
            </w:tcBorders>
            <w:vAlign w:val="top"/>
          </w:tcPr>
          <w:p w14:paraId="27B8BA4C">
            <w:pPr>
              <w:kinsoku w:val="0"/>
              <w:autoSpaceDE w:val="0"/>
              <w:autoSpaceDN w:val="0"/>
              <w:adjustRightInd w:val="0"/>
              <w:snapToGrid w:val="0"/>
              <w:spacing w:before="80"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灾害预警信息公众覆盖率</w:t>
            </w:r>
          </w:p>
        </w:tc>
        <w:tc>
          <w:tcPr>
            <w:tcW w:w="1658" w:type="dxa"/>
            <w:tcBorders>
              <w:top w:val="single" w:color="000000" w:sz="2" w:space="0"/>
              <w:bottom w:val="single" w:color="000000" w:sz="2" w:space="0"/>
            </w:tcBorders>
            <w:vAlign w:val="top"/>
          </w:tcPr>
          <w:p w14:paraId="0551ABBA">
            <w:pPr>
              <w:kinsoku w:val="0"/>
              <w:autoSpaceDE w:val="0"/>
              <w:autoSpaceDN w:val="0"/>
              <w:adjustRightInd w:val="0"/>
              <w:snapToGrid w:val="0"/>
              <w:spacing w:before="106" w:line="204" w:lineRule="auto"/>
              <w:ind w:firstLine="48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≥95%</w:t>
            </w:r>
          </w:p>
        </w:tc>
        <w:tc>
          <w:tcPr>
            <w:tcW w:w="1154" w:type="dxa"/>
            <w:tcBorders>
              <w:top w:val="single" w:color="000000" w:sz="2" w:space="0"/>
              <w:bottom w:val="single" w:color="000000" w:sz="2" w:space="0"/>
            </w:tcBorders>
            <w:vAlign w:val="top"/>
          </w:tcPr>
          <w:p w14:paraId="7A5F2230">
            <w:pPr>
              <w:kinsoku w:val="0"/>
              <w:autoSpaceDE w:val="0"/>
              <w:autoSpaceDN w:val="0"/>
              <w:adjustRightInd w:val="0"/>
              <w:snapToGrid w:val="0"/>
              <w:spacing w:before="80"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78618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94" w:type="dxa"/>
            <w:tcBorders>
              <w:top w:val="single" w:color="000000" w:sz="2" w:space="0"/>
              <w:bottom w:val="single" w:color="000000" w:sz="2" w:space="0"/>
            </w:tcBorders>
            <w:vAlign w:val="top"/>
          </w:tcPr>
          <w:p w14:paraId="08B0FCE3">
            <w:pPr>
              <w:kinsoku w:val="0"/>
              <w:autoSpaceDE w:val="0"/>
              <w:autoSpaceDN w:val="0"/>
              <w:adjustRightInd w:val="0"/>
              <w:snapToGrid w:val="0"/>
              <w:spacing w:before="127" w:line="169"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15</w:t>
            </w:r>
          </w:p>
        </w:tc>
        <w:tc>
          <w:tcPr>
            <w:tcW w:w="589" w:type="dxa"/>
            <w:vMerge w:val="continue"/>
            <w:tcBorders>
              <w:top w:val="nil"/>
              <w:bottom w:val="nil"/>
            </w:tcBorders>
            <w:textDirection w:val="tbRlV"/>
            <w:vAlign w:val="top"/>
          </w:tcPr>
          <w:p w14:paraId="3EAC182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2CF775BE">
            <w:pPr>
              <w:kinsoku w:val="0"/>
              <w:autoSpaceDE w:val="0"/>
              <w:autoSpaceDN w:val="0"/>
              <w:adjustRightInd w:val="0"/>
              <w:snapToGrid w:val="0"/>
              <w:spacing w:before="59" w:line="216"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灾害事故救援现场应急通信保障率</w:t>
            </w:r>
          </w:p>
        </w:tc>
        <w:tc>
          <w:tcPr>
            <w:tcW w:w="1658" w:type="dxa"/>
            <w:tcBorders>
              <w:top w:val="single" w:color="000000" w:sz="2" w:space="0"/>
              <w:bottom w:val="single" w:color="000000" w:sz="2" w:space="0"/>
            </w:tcBorders>
            <w:vAlign w:val="top"/>
          </w:tcPr>
          <w:p w14:paraId="662DB767">
            <w:pPr>
              <w:kinsoku w:val="0"/>
              <w:autoSpaceDE w:val="0"/>
              <w:autoSpaceDN w:val="0"/>
              <w:adjustRightInd w:val="0"/>
              <w:snapToGrid w:val="0"/>
              <w:spacing w:before="127" w:line="169" w:lineRule="auto"/>
              <w:ind w:firstLine="558"/>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6"/>
                <w:kern w:val="0"/>
                <w:sz w:val="28"/>
                <w:szCs w:val="28"/>
                <w:highlight w:val="none"/>
              </w:rPr>
              <w:t>100%</w:t>
            </w:r>
          </w:p>
        </w:tc>
        <w:tc>
          <w:tcPr>
            <w:tcW w:w="1154" w:type="dxa"/>
            <w:tcBorders>
              <w:top w:val="single" w:color="000000" w:sz="2" w:space="0"/>
              <w:bottom w:val="single" w:color="000000" w:sz="2" w:space="0"/>
            </w:tcBorders>
            <w:vAlign w:val="top"/>
          </w:tcPr>
          <w:p w14:paraId="3C53B370">
            <w:pPr>
              <w:kinsoku w:val="0"/>
              <w:autoSpaceDE w:val="0"/>
              <w:autoSpaceDN w:val="0"/>
              <w:adjustRightInd w:val="0"/>
              <w:snapToGrid w:val="0"/>
              <w:spacing w:before="60" w:line="215"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0E854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94" w:type="dxa"/>
            <w:tcBorders>
              <w:top w:val="single" w:color="000000" w:sz="2" w:space="0"/>
              <w:bottom w:val="single" w:color="000000" w:sz="2" w:space="0"/>
            </w:tcBorders>
            <w:vAlign w:val="top"/>
          </w:tcPr>
          <w:p w14:paraId="0C3F40B5">
            <w:pPr>
              <w:kinsoku w:val="0"/>
              <w:autoSpaceDE w:val="0"/>
              <w:autoSpaceDN w:val="0"/>
              <w:adjustRightInd w:val="0"/>
              <w:snapToGrid w:val="0"/>
              <w:spacing w:before="14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16</w:t>
            </w:r>
          </w:p>
        </w:tc>
        <w:tc>
          <w:tcPr>
            <w:tcW w:w="589" w:type="dxa"/>
            <w:vMerge w:val="continue"/>
            <w:tcBorders>
              <w:top w:val="nil"/>
              <w:bottom w:val="nil"/>
            </w:tcBorders>
            <w:textDirection w:val="tbRlV"/>
            <w:vAlign w:val="top"/>
          </w:tcPr>
          <w:p w14:paraId="72FF0B8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215D5742">
            <w:pPr>
              <w:kinsoku w:val="0"/>
              <w:autoSpaceDE w:val="0"/>
              <w:autoSpaceDN w:val="0"/>
              <w:adjustRightInd w:val="0"/>
              <w:snapToGrid w:val="0"/>
              <w:spacing w:before="80"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森林消防应急队伍达标率</w:t>
            </w:r>
          </w:p>
        </w:tc>
        <w:tc>
          <w:tcPr>
            <w:tcW w:w="1658" w:type="dxa"/>
            <w:tcBorders>
              <w:top w:val="single" w:color="000000" w:sz="2" w:space="0"/>
              <w:bottom w:val="single" w:color="000000" w:sz="2" w:space="0"/>
            </w:tcBorders>
            <w:vAlign w:val="top"/>
          </w:tcPr>
          <w:p w14:paraId="31AABC6C">
            <w:pPr>
              <w:kinsoku w:val="0"/>
              <w:autoSpaceDE w:val="0"/>
              <w:autoSpaceDN w:val="0"/>
              <w:adjustRightInd w:val="0"/>
              <w:snapToGrid w:val="0"/>
              <w:spacing w:before="106" w:line="204" w:lineRule="auto"/>
              <w:ind w:firstLine="48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≥90%</w:t>
            </w:r>
          </w:p>
        </w:tc>
        <w:tc>
          <w:tcPr>
            <w:tcW w:w="1154" w:type="dxa"/>
            <w:tcBorders>
              <w:top w:val="single" w:color="000000" w:sz="2" w:space="0"/>
              <w:bottom w:val="single" w:color="000000" w:sz="2" w:space="0"/>
            </w:tcBorders>
            <w:vAlign w:val="top"/>
          </w:tcPr>
          <w:p w14:paraId="4437DE47">
            <w:pPr>
              <w:kinsoku w:val="0"/>
              <w:autoSpaceDE w:val="0"/>
              <w:autoSpaceDN w:val="0"/>
              <w:adjustRightInd w:val="0"/>
              <w:snapToGrid w:val="0"/>
              <w:spacing w:before="80"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3A3F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94" w:type="dxa"/>
            <w:tcBorders>
              <w:top w:val="single" w:color="000000" w:sz="2" w:space="0"/>
              <w:bottom w:val="single" w:color="000000" w:sz="2" w:space="0"/>
            </w:tcBorders>
            <w:vAlign w:val="top"/>
          </w:tcPr>
          <w:p w14:paraId="2213B4A9">
            <w:pPr>
              <w:kinsoku w:val="0"/>
              <w:autoSpaceDE w:val="0"/>
              <w:autoSpaceDN w:val="0"/>
              <w:adjustRightInd w:val="0"/>
              <w:snapToGrid w:val="0"/>
              <w:spacing w:before="299" w:line="18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17</w:t>
            </w:r>
          </w:p>
        </w:tc>
        <w:tc>
          <w:tcPr>
            <w:tcW w:w="589" w:type="dxa"/>
            <w:vMerge w:val="continue"/>
            <w:tcBorders>
              <w:top w:val="nil"/>
              <w:bottom w:val="nil"/>
            </w:tcBorders>
            <w:textDirection w:val="tbRlV"/>
            <w:vAlign w:val="top"/>
          </w:tcPr>
          <w:p w14:paraId="16856B3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0B1DBAB5">
            <w:pPr>
              <w:kinsoku w:val="0"/>
              <w:autoSpaceDE w:val="0"/>
              <w:autoSpaceDN w:val="0"/>
              <w:adjustRightInd w:val="0"/>
              <w:snapToGrid w:val="0"/>
              <w:spacing w:before="88" w:line="222" w:lineRule="auto"/>
              <w:ind w:left="122" w:right="79"/>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8"/>
                <w:kern w:val="0"/>
                <w:sz w:val="28"/>
                <w:szCs w:val="28"/>
                <w:highlight w:val="none"/>
              </w:rPr>
              <w:t>应急航空救援力量到达重大灾害事故风</w:t>
            </w:r>
            <w:r>
              <w:rPr>
                <w:rFonts w:hint="eastAsia" w:ascii="仿宋" w:hAnsi="仿宋" w:eastAsia="仿宋" w:cs="仿宋"/>
                <w:snapToGrid w:val="0"/>
                <w:color w:val="000000"/>
                <w:spacing w:val="15"/>
                <w:kern w:val="0"/>
                <w:sz w:val="28"/>
                <w:szCs w:val="28"/>
                <w:highlight w:val="none"/>
              </w:rPr>
              <w:t>险区域时间</w:t>
            </w:r>
          </w:p>
        </w:tc>
        <w:tc>
          <w:tcPr>
            <w:tcW w:w="1658" w:type="dxa"/>
            <w:tcBorders>
              <w:top w:val="single" w:color="000000" w:sz="2" w:space="0"/>
              <w:bottom w:val="single" w:color="000000" w:sz="2" w:space="0"/>
            </w:tcBorders>
            <w:vAlign w:val="top"/>
          </w:tcPr>
          <w:p w14:paraId="0050564B">
            <w:pPr>
              <w:kinsoku w:val="0"/>
              <w:autoSpaceDE w:val="0"/>
              <w:autoSpaceDN w:val="0"/>
              <w:adjustRightInd w:val="0"/>
              <w:snapToGrid w:val="0"/>
              <w:spacing w:before="233" w:line="221" w:lineRule="auto"/>
              <w:ind w:firstLine="417"/>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&lt;1小时</w:t>
            </w:r>
          </w:p>
        </w:tc>
        <w:tc>
          <w:tcPr>
            <w:tcW w:w="1154" w:type="dxa"/>
            <w:tcBorders>
              <w:top w:val="single" w:color="000000" w:sz="2" w:space="0"/>
              <w:bottom w:val="single" w:color="000000" w:sz="2" w:space="0"/>
            </w:tcBorders>
            <w:vAlign w:val="top"/>
          </w:tcPr>
          <w:p w14:paraId="52E69478">
            <w:pPr>
              <w:kinsoku w:val="0"/>
              <w:autoSpaceDE w:val="0"/>
              <w:autoSpaceDN w:val="0"/>
              <w:adjustRightInd w:val="0"/>
              <w:snapToGrid w:val="0"/>
              <w:spacing w:before="231"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7C0D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94" w:type="dxa"/>
            <w:tcBorders>
              <w:top w:val="single" w:color="000000" w:sz="2" w:space="0"/>
              <w:bottom w:val="single" w:color="000000" w:sz="2" w:space="0"/>
            </w:tcBorders>
            <w:vAlign w:val="top"/>
          </w:tcPr>
          <w:p w14:paraId="0C1F1F17">
            <w:pPr>
              <w:kinsoku w:val="0"/>
              <w:autoSpaceDE w:val="0"/>
              <w:autoSpaceDN w:val="0"/>
              <w:adjustRightInd w:val="0"/>
              <w:snapToGrid w:val="0"/>
              <w:spacing w:before="14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18</w:t>
            </w:r>
          </w:p>
        </w:tc>
        <w:tc>
          <w:tcPr>
            <w:tcW w:w="589" w:type="dxa"/>
            <w:vMerge w:val="continue"/>
            <w:tcBorders>
              <w:top w:val="nil"/>
              <w:bottom w:val="single" w:color="000000" w:sz="2" w:space="0"/>
            </w:tcBorders>
            <w:textDirection w:val="tbRlV"/>
            <w:vAlign w:val="top"/>
          </w:tcPr>
          <w:p w14:paraId="7AB3949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5B6DFF1A">
            <w:pPr>
              <w:kinsoku w:val="0"/>
              <w:autoSpaceDE w:val="0"/>
              <w:autoSpaceDN w:val="0"/>
              <w:adjustRightInd w:val="0"/>
              <w:snapToGrid w:val="0"/>
              <w:spacing w:before="81"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0"/>
                <w:kern w:val="0"/>
                <w:sz w:val="28"/>
                <w:szCs w:val="28"/>
                <w:highlight w:val="none"/>
              </w:rPr>
              <w:t>24小时森林火灾扑灭率</w:t>
            </w:r>
          </w:p>
        </w:tc>
        <w:tc>
          <w:tcPr>
            <w:tcW w:w="1658" w:type="dxa"/>
            <w:tcBorders>
              <w:top w:val="single" w:color="000000" w:sz="2" w:space="0"/>
              <w:bottom w:val="single" w:color="000000" w:sz="2" w:space="0"/>
            </w:tcBorders>
            <w:vAlign w:val="top"/>
          </w:tcPr>
          <w:p w14:paraId="7AF54302">
            <w:pPr>
              <w:kinsoku w:val="0"/>
              <w:autoSpaceDE w:val="0"/>
              <w:autoSpaceDN w:val="0"/>
              <w:adjustRightInd w:val="0"/>
              <w:snapToGrid w:val="0"/>
              <w:spacing w:before="108" w:line="203" w:lineRule="auto"/>
              <w:ind w:firstLine="558"/>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4"/>
                <w:kern w:val="0"/>
                <w:sz w:val="28"/>
                <w:szCs w:val="28"/>
                <w:highlight w:val="none"/>
                <w:lang w:eastAsia="zh-CN"/>
              </w:rPr>
              <w:t>≥</w:t>
            </w:r>
            <w:r>
              <w:rPr>
                <w:rFonts w:hint="eastAsia" w:ascii="仿宋" w:hAnsi="仿宋" w:eastAsia="仿宋" w:cs="仿宋"/>
                <w:snapToGrid w:val="0"/>
                <w:color w:val="000000"/>
                <w:spacing w:val="-4"/>
                <w:kern w:val="0"/>
                <w:sz w:val="28"/>
                <w:szCs w:val="28"/>
                <w:highlight w:val="none"/>
              </w:rPr>
              <w:t>95%</w:t>
            </w:r>
          </w:p>
        </w:tc>
        <w:tc>
          <w:tcPr>
            <w:tcW w:w="1154" w:type="dxa"/>
            <w:tcBorders>
              <w:top w:val="single" w:color="000000" w:sz="2" w:space="0"/>
              <w:bottom w:val="single" w:color="000000" w:sz="2" w:space="0"/>
            </w:tcBorders>
            <w:vAlign w:val="top"/>
          </w:tcPr>
          <w:p w14:paraId="6F81F3B5">
            <w:pPr>
              <w:kinsoku w:val="0"/>
              <w:autoSpaceDE w:val="0"/>
              <w:autoSpaceDN w:val="0"/>
              <w:adjustRightInd w:val="0"/>
              <w:snapToGrid w:val="0"/>
              <w:spacing w:before="81"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141D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4F511CCD">
            <w:pPr>
              <w:kinsoku w:val="0"/>
              <w:autoSpaceDE w:val="0"/>
              <w:autoSpaceDN w:val="0"/>
              <w:adjustRightInd w:val="0"/>
              <w:snapToGrid w:val="0"/>
              <w:spacing w:before="139"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8"/>
                <w:kern w:val="0"/>
                <w:sz w:val="28"/>
                <w:szCs w:val="28"/>
                <w:highlight w:val="none"/>
              </w:rPr>
              <w:t>19</w:t>
            </w:r>
          </w:p>
        </w:tc>
        <w:tc>
          <w:tcPr>
            <w:tcW w:w="589" w:type="dxa"/>
            <w:vMerge w:val="restart"/>
            <w:tcBorders>
              <w:top w:val="single" w:color="000000" w:sz="2" w:space="0"/>
              <w:bottom w:val="nil"/>
            </w:tcBorders>
            <w:textDirection w:val="tbRlV"/>
            <w:vAlign w:val="top"/>
          </w:tcPr>
          <w:p w14:paraId="2930B1DC">
            <w:pPr>
              <w:kinsoku w:val="0"/>
              <w:autoSpaceDE w:val="0"/>
              <w:autoSpaceDN w:val="0"/>
              <w:adjustRightInd w:val="0"/>
              <w:snapToGrid w:val="0"/>
              <w:spacing w:before="158" w:line="216" w:lineRule="auto"/>
              <w:ind w:firstLine="3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2"/>
                <w:kern w:val="0"/>
                <w:sz w:val="28"/>
                <w:szCs w:val="28"/>
                <w:highlight w:val="none"/>
              </w:rPr>
              <w:t>综合</w:t>
            </w:r>
          </w:p>
        </w:tc>
        <w:tc>
          <w:tcPr>
            <w:tcW w:w="4944" w:type="dxa"/>
            <w:tcBorders>
              <w:top w:val="single" w:color="000000" w:sz="2" w:space="0"/>
              <w:bottom w:val="single" w:color="000000" w:sz="2" w:space="0"/>
            </w:tcBorders>
            <w:vAlign w:val="top"/>
          </w:tcPr>
          <w:p w14:paraId="7B6170C7">
            <w:pPr>
              <w:kinsoku w:val="0"/>
              <w:autoSpaceDE w:val="0"/>
              <w:autoSpaceDN w:val="0"/>
              <w:adjustRightInd w:val="0"/>
              <w:snapToGrid w:val="0"/>
              <w:spacing w:before="71"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2"/>
                <w:kern w:val="0"/>
                <w:sz w:val="28"/>
                <w:szCs w:val="28"/>
                <w:highlight w:val="none"/>
              </w:rPr>
              <w:t>县级以上应急管理部门装备达标率</w:t>
            </w:r>
          </w:p>
        </w:tc>
        <w:tc>
          <w:tcPr>
            <w:tcW w:w="1658" w:type="dxa"/>
            <w:tcBorders>
              <w:top w:val="single" w:color="000000" w:sz="2" w:space="0"/>
              <w:bottom w:val="single" w:color="000000" w:sz="2" w:space="0"/>
            </w:tcBorders>
            <w:vAlign w:val="top"/>
          </w:tcPr>
          <w:p w14:paraId="0F54EA7C">
            <w:pPr>
              <w:kinsoku w:val="0"/>
              <w:autoSpaceDE w:val="0"/>
              <w:autoSpaceDN w:val="0"/>
              <w:adjustRightInd w:val="0"/>
              <w:snapToGrid w:val="0"/>
              <w:spacing w:before="139" w:line="175" w:lineRule="auto"/>
              <w:ind w:firstLine="558"/>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6"/>
                <w:kern w:val="0"/>
                <w:sz w:val="28"/>
                <w:szCs w:val="28"/>
                <w:highlight w:val="none"/>
              </w:rPr>
              <w:t>100%</w:t>
            </w:r>
          </w:p>
        </w:tc>
        <w:tc>
          <w:tcPr>
            <w:tcW w:w="1154" w:type="dxa"/>
            <w:tcBorders>
              <w:top w:val="single" w:color="000000" w:sz="2" w:space="0"/>
              <w:bottom w:val="single" w:color="000000" w:sz="2" w:space="0"/>
            </w:tcBorders>
            <w:vAlign w:val="top"/>
          </w:tcPr>
          <w:p w14:paraId="3671E4D4">
            <w:pPr>
              <w:kinsoku w:val="0"/>
              <w:autoSpaceDE w:val="0"/>
              <w:autoSpaceDN w:val="0"/>
              <w:adjustRightInd w:val="0"/>
              <w:snapToGrid w:val="0"/>
              <w:spacing w:before="71"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12DCE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4" w:type="dxa"/>
            <w:tcBorders>
              <w:top w:val="single" w:color="000000" w:sz="2" w:space="0"/>
              <w:bottom w:val="single" w:color="000000" w:sz="2" w:space="0"/>
            </w:tcBorders>
            <w:vAlign w:val="top"/>
          </w:tcPr>
          <w:p w14:paraId="7F87831C">
            <w:pPr>
              <w:kinsoku w:val="0"/>
              <w:autoSpaceDE w:val="0"/>
              <w:autoSpaceDN w:val="0"/>
              <w:adjustRightInd w:val="0"/>
              <w:snapToGrid w:val="0"/>
              <w:spacing w:before="140" w:line="174"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4"/>
                <w:kern w:val="0"/>
                <w:sz w:val="28"/>
                <w:szCs w:val="28"/>
                <w:highlight w:val="none"/>
              </w:rPr>
              <w:t>20</w:t>
            </w:r>
          </w:p>
        </w:tc>
        <w:tc>
          <w:tcPr>
            <w:tcW w:w="589" w:type="dxa"/>
            <w:vMerge w:val="continue"/>
            <w:tcBorders>
              <w:top w:val="nil"/>
              <w:bottom w:val="nil"/>
            </w:tcBorders>
            <w:textDirection w:val="tbRlV"/>
            <w:vAlign w:val="top"/>
          </w:tcPr>
          <w:p w14:paraId="1FABD86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0EB7AD3A">
            <w:pPr>
              <w:kinsoku w:val="0"/>
              <w:autoSpaceDE w:val="0"/>
              <w:autoSpaceDN w:val="0"/>
              <w:adjustRightInd w:val="0"/>
              <w:snapToGrid w:val="0"/>
              <w:spacing w:before="69"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5"/>
                <w:kern w:val="0"/>
                <w:sz w:val="28"/>
                <w:szCs w:val="28"/>
                <w:highlight w:val="none"/>
              </w:rPr>
              <w:t>应急管理干部专业培训率</w:t>
            </w:r>
          </w:p>
        </w:tc>
        <w:tc>
          <w:tcPr>
            <w:tcW w:w="1658" w:type="dxa"/>
            <w:tcBorders>
              <w:top w:val="single" w:color="000000" w:sz="2" w:space="0"/>
              <w:bottom w:val="single" w:color="000000" w:sz="2" w:space="0"/>
            </w:tcBorders>
            <w:vAlign w:val="top"/>
          </w:tcPr>
          <w:p w14:paraId="6BDB354B">
            <w:pPr>
              <w:kinsoku w:val="0"/>
              <w:autoSpaceDE w:val="0"/>
              <w:autoSpaceDN w:val="0"/>
              <w:adjustRightInd w:val="0"/>
              <w:snapToGrid w:val="0"/>
              <w:spacing w:before="139" w:line="175" w:lineRule="auto"/>
              <w:ind w:firstLine="558"/>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6"/>
                <w:kern w:val="0"/>
                <w:sz w:val="28"/>
                <w:szCs w:val="28"/>
                <w:highlight w:val="none"/>
              </w:rPr>
              <w:t>100%</w:t>
            </w:r>
          </w:p>
        </w:tc>
        <w:tc>
          <w:tcPr>
            <w:tcW w:w="1154" w:type="dxa"/>
            <w:tcBorders>
              <w:top w:val="single" w:color="000000" w:sz="2" w:space="0"/>
              <w:bottom w:val="single" w:color="000000" w:sz="2" w:space="0"/>
            </w:tcBorders>
            <w:vAlign w:val="top"/>
          </w:tcPr>
          <w:p w14:paraId="5A448403">
            <w:pPr>
              <w:kinsoku w:val="0"/>
              <w:autoSpaceDE w:val="0"/>
              <w:autoSpaceDN w:val="0"/>
              <w:adjustRightInd w:val="0"/>
              <w:snapToGrid w:val="0"/>
              <w:spacing w:before="71" w:line="220"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3"/>
                <w:kern w:val="0"/>
                <w:sz w:val="28"/>
                <w:szCs w:val="28"/>
                <w:highlight w:val="none"/>
              </w:rPr>
              <w:t>预期性</w:t>
            </w:r>
          </w:p>
        </w:tc>
      </w:tr>
      <w:tr w14:paraId="4E83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94" w:type="dxa"/>
            <w:tcBorders>
              <w:top w:val="single" w:color="000000" w:sz="2" w:space="0"/>
              <w:bottom w:val="single" w:color="000000" w:sz="2" w:space="0"/>
            </w:tcBorders>
            <w:vAlign w:val="top"/>
          </w:tcPr>
          <w:p w14:paraId="2CBAACC2">
            <w:pPr>
              <w:kinsoku w:val="0"/>
              <w:autoSpaceDE w:val="0"/>
              <w:autoSpaceDN w:val="0"/>
              <w:adjustRightInd w:val="0"/>
              <w:snapToGrid w:val="0"/>
              <w:spacing w:before="130" w:line="175" w:lineRule="auto"/>
              <w:ind w:firstLine="205"/>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4"/>
                <w:kern w:val="0"/>
                <w:sz w:val="28"/>
                <w:szCs w:val="28"/>
                <w:highlight w:val="none"/>
              </w:rPr>
              <w:t>21</w:t>
            </w:r>
          </w:p>
        </w:tc>
        <w:tc>
          <w:tcPr>
            <w:tcW w:w="589" w:type="dxa"/>
            <w:vMerge w:val="continue"/>
            <w:tcBorders>
              <w:top w:val="nil"/>
              <w:bottom w:val="single" w:color="000000" w:sz="2" w:space="0"/>
            </w:tcBorders>
            <w:textDirection w:val="tbRlV"/>
            <w:vAlign w:val="top"/>
          </w:tcPr>
          <w:p w14:paraId="33730D4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highlight w:val="none"/>
              </w:rPr>
            </w:pPr>
          </w:p>
        </w:tc>
        <w:tc>
          <w:tcPr>
            <w:tcW w:w="4944" w:type="dxa"/>
            <w:tcBorders>
              <w:top w:val="single" w:color="000000" w:sz="2" w:space="0"/>
              <w:bottom w:val="single" w:color="000000" w:sz="2" w:space="0"/>
            </w:tcBorders>
            <w:vAlign w:val="top"/>
          </w:tcPr>
          <w:p w14:paraId="537C467F">
            <w:pPr>
              <w:kinsoku w:val="0"/>
              <w:autoSpaceDE w:val="0"/>
              <w:autoSpaceDN w:val="0"/>
              <w:adjustRightInd w:val="0"/>
              <w:snapToGrid w:val="0"/>
              <w:spacing w:before="61" w:line="219" w:lineRule="auto"/>
              <w:ind w:firstLine="122"/>
              <w:jc w:val="both"/>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
                <w:kern w:val="0"/>
                <w:sz w:val="28"/>
                <w:szCs w:val="28"/>
                <w:highlight w:val="none"/>
              </w:rPr>
              <w:t>应急管理执法信息系统使用率</w:t>
            </w:r>
          </w:p>
        </w:tc>
        <w:tc>
          <w:tcPr>
            <w:tcW w:w="1658" w:type="dxa"/>
            <w:tcBorders>
              <w:top w:val="single" w:color="000000" w:sz="2" w:space="0"/>
              <w:bottom w:val="single" w:color="000000" w:sz="2" w:space="0"/>
            </w:tcBorders>
            <w:vAlign w:val="top"/>
          </w:tcPr>
          <w:p w14:paraId="2EA96B89">
            <w:pPr>
              <w:kinsoku w:val="0"/>
              <w:autoSpaceDE w:val="0"/>
              <w:autoSpaceDN w:val="0"/>
              <w:adjustRightInd w:val="0"/>
              <w:snapToGrid w:val="0"/>
              <w:spacing w:before="130" w:line="175" w:lineRule="auto"/>
              <w:ind w:firstLine="558"/>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6"/>
                <w:kern w:val="0"/>
                <w:sz w:val="28"/>
                <w:szCs w:val="28"/>
                <w:highlight w:val="none"/>
              </w:rPr>
              <w:t>100%</w:t>
            </w:r>
          </w:p>
        </w:tc>
        <w:tc>
          <w:tcPr>
            <w:tcW w:w="1154" w:type="dxa"/>
            <w:tcBorders>
              <w:top w:val="single" w:color="000000" w:sz="2" w:space="0"/>
              <w:bottom w:val="single" w:color="000000" w:sz="2" w:space="0"/>
            </w:tcBorders>
            <w:vAlign w:val="top"/>
          </w:tcPr>
          <w:p w14:paraId="3F62972A">
            <w:pPr>
              <w:kinsoku w:val="0"/>
              <w:autoSpaceDE w:val="0"/>
              <w:autoSpaceDN w:val="0"/>
              <w:adjustRightInd w:val="0"/>
              <w:snapToGrid w:val="0"/>
              <w:spacing w:before="121" w:line="188" w:lineRule="auto"/>
              <w:ind w:firstLine="169"/>
              <w:jc w:val="left"/>
              <w:textAlignment w:val="baseline"/>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spacing w:val="13"/>
                <w:kern w:val="0"/>
                <w:sz w:val="28"/>
                <w:szCs w:val="28"/>
                <w:highlight w:val="none"/>
              </w:rPr>
              <w:t>预期性</w:t>
            </w:r>
          </w:p>
        </w:tc>
      </w:tr>
    </w:tbl>
    <w:p w14:paraId="535A09A6">
      <w:pPr>
        <w:kinsoku w:val="0"/>
        <w:autoSpaceDE w:val="0"/>
        <w:autoSpaceDN w:val="0"/>
        <w:adjustRightInd w:val="0"/>
        <w:snapToGrid w:val="0"/>
        <w:spacing w:before="107" w:line="210" w:lineRule="auto"/>
        <w:ind w:left="284" w:hanging="100"/>
        <w:jc w:val="left"/>
        <w:textAlignment w:val="baseline"/>
        <w:rPr>
          <w:rFonts w:ascii="仿宋" w:hAnsi="仿宋" w:eastAsia="仿宋" w:cs="仿宋"/>
          <w:snapToGrid w:val="0"/>
          <w:color w:val="000000"/>
          <w:spacing w:val="-11"/>
          <w:kern w:val="0"/>
          <w:sz w:val="29"/>
          <w:szCs w:val="29"/>
          <w:highlight w:val="none"/>
        </w:rPr>
      </w:pPr>
      <w:r>
        <w:rPr>
          <w:rFonts w:hint="eastAsia" w:ascii="仿宋" w:hAnsi="仿宋" w:eastAsia="仿宋" w:cs="仿宋"/>
          <w:snapToGrid w:val="0"/>
          <w:color w:val="000000"/>
          <w:spacing w:val="-7"/>
          <w:kern w:val="0"/>
          <w:sz w:val="28"/>
          <w:szCs w:val="28"/>
          <w:highlight w:val="none"/>
        </w:rPr>
        <w:t>注</w:t>
      </w:r>
      <w:r>
        <w:rPr>
          <w:rFonts w:hint="eastAsia" w:ascii="仿宋" w:hAnsi="仿宋" w:eastAsia="仿宋" w:cs="仿宋"/>
          <w:snapToGrid w:val="0"/>
          <w:color w:val="000000"/>
          <w:spacing w:val="-7"/>
          <w:kern w:val="0"/>
          <w:sz w:val="28"/>
          <w:szCs w:val="28"/>
          <w:highlight w:val="none"/>
          <w:lang w:eastAsia="zh-CN"/>
        </w:rPr>
        <w:t>：</w:t>
      </w:r>
      <w:r>
        <w:rPr>
          <w:rFonts w:hint="eastAsia" w:ascii="仿宋" w:hAnsi="仿宋" w:eastAsia="仿宋" w:cs="仿宋"/>
          <w:snapToGrid w:val="0"/>
          <w:color w:val="000000"/>
          <w:spacing w:val="-7"/>
          <w:kern w:val="0"/>
          <w:sz w:val="28"/>
          <w:szCs w:val="28"/>
          <w:highlight w:val="none"/>
        </w:rPr>
        <w:t>1.</w:t>
      </w:r>
      <w:r>
        <w:rPr>
          <w:rFonts w:hint="eastAsia" w:ascii="仿宋" w:hAnsi="仿宋" w:eastAsia="仿宋" w:cs="仿宋"/>
          <w:snapToGrid w:val="0"/>
          <w:color w:val="000000"/>
          <w:spacing w:val="-7"/>
          <w:kern w:val="0"/>
          <w:sz w:val="28"/>
          <w:szCs w:val="28"/>
          <w:highlight w:val="none"/>
          <w:lang w:val="en-US" w:eastAsia="zh-CN"/>
        </w:rPr>
        <w:t>[  ]</w:t>
      </w:r>
      <w:r>
        <w:rPr>
          <w:rFonts w:hint="eastAsia" w:ascii="仿宋" w:hAnsi="仿宋" w:eastAsia="仿宋" w:cs="仿宋"/>
          <w:snapToGrid w:val="0"/>
          <w:color w:val="000000"/>
          <w:spacing w:val="-7"/>
          <w:kern w:val="0"/>
          <w:sz w:val="28"/>
          <w:szCs w:val="28"/>
          <w:highlight w:val="none"/>
        </w:rPr>
        <w:t>为</w:t>
      </w:r>
      <w:r>
        <w:rPr>
          <w:rFonts w:hint="eastAsia" w:ascii="仿宋" w:hAnsi="仿宋" w:eastAsia="仿宋" w:cs="仿宋"/>
          <w:snapToGrid w:val="0"/>
          <w:color w:val="000000"/>
          <w:spacing w:val="-7"/>
          <w:kern w:val="0"/>
          <w:sz w:val="28"/>
          <w:szCs w:val="28"/>
          <w:highlight w:val="none"/>
          <w:lang w:eastAsia="zh-CN"/>
        </w:rPr>
        <w:t>“</w:t>
      </w:r>
      <w:r>
        <w:rPr>
          <w:rFonts w:hint="eastAsia" w:ascii="仿宋" w:hAnsi="仿宋" w:eastAsia="仿宋" w:cs="仿宋"/>
          <w:snapToGrid w:val="0"/>
          <w:color w:val="000000"/>
          <w:spacing w:val="-7"/>
          <w:kern w:val="0"/>
          <w:sz w:val="28"/>
          <w:szCs w:val="28"/>
          <w:highlight w:val="none"/>
        </w:rPr>
        <w:t>十四五</w:t>
      </w:r>
      <w:r>
        <w:rPr>
          <w:rFonts w:hint="eastAsia" w:ascii="仿宋" w:hAnsi="仿宋" w:eastAsia="仿宋" w:cs="仿宋"/>
          <w:snapToGrid w:val="0"/>
          <w:color w:val="000000"/>
          <w:spacing w:val="-7"/>
          <w:kern w:val="0"/>
          <w:sz w:val="28"/>
          <w:szCs w:val="28"/>
          <w:highlight w:val="none"/>
          <w:lang w:eastAsia="zh-CN"/>
        </w:rPr>
        <w:t>”</w:t>
      </w:r>
      <w:r>
        <w:rPr>
          <w:rFonts w:hint="eastAsia" w:ascii="仿宋" w:hAnsi="仿宋" w:eastAsia="仿宋" w:cs="仿宋"/>
          <w:snapToGrid w:val="0"/>
          <w:color w:val="000000"/>
          <w:spacing w:val="-7"/>
          <w:kern w:val="0"/>
          <w:sz w:val="28"/>
          <w:szCs w:val="28"/>
          <w:highlight w:val="none"/>
        </w:rPr>
        <w:t>平均值</w:t>
      </w:r>
      <w:r>
        <w:rPr>
          <w:rFonts w:hint="eastAsia" w:ascii="仿宋" w:hAnsi="仿宋" w:eastAsia="仿宋" w:cs="仿宋"/>
          <w:snapToGrid w:val="0"/>
          <w:color w:val="000000"/>
          <w:spacing w:val="-7"/>
          <w:kern w:val="0"/>
          <w:sz w:val="28"/>
          <w:szCs w:val="28"/>
          <w:highlight w:val="none"/>
          <w:lang w:eastAsia="zh-CN"/>
        </w:rPr>
        <w:t>；</w:t>
      </w:r>
      <w:r>
        <w:rPr>
          <w:rFonts w:hint="eastAsia" w:ascii="仿宋" w:hAnsi="仿宋" w:eastAsia="仿宋" w:cs="仿宋"/>
          <w:snapToGrid w:val="0"/>
          <w:color w:val="000000"/>
          <w:spacing w:val="-7"/>
          <w:kern w:val="0"/>
          <w:sz w:val="28"/>
          <w:szCs w:val="28"/>
          <w:highlight w:val="none"/>
        </w:rPr>
        <w:t>2.根据《应急管理部规划财务司关于做好</w:t>
      </w:r>
      <w:r>
        <w:rPr>
          <w:rFonts w:hint="eastAsia" w:ascii="仿宋" w:hAnsi="仿宋" w:eastAsia="仿宋" w:cs="仿宋"/>
          <w:snapToGrid w:val="0"/>
          <w:color w:val="000000"/>
          <w:spacing w:val="-7"/>
          <w:kern w:val="0"/>
          <w:sz w:val="28"/>
          <w:szCs w:val="28"/>
          <w:highlight w:val="none"/>
          <w:lang w:eastAsia="zh-CN"/>
        </w:rPr>
        <w:t>〈</w:t>
      </w:r>
      <w:r>
        <w:rPr>
          <w:rFonts w:hint="eastAsia" w:ascii="仿宋" w:hAnsi="仿宋" w:eastAsia="仿宋" w:cs="仿宋"/>
          <w:snapToGrid w:val="0"/>
          <w:color w:val="000000"/>
          <w:spacing w:val="-9"/>
          <w:kern w:val="0"/>
          <w:sz w:val="28"/>
          <w:szCs w:val="28"/>
          <w:highlight w:val="none"/>
          <w:lang w:eastAsia="zh-CN"/>
        </w:rPr>
        <w:t>“</w:t>
      </w:r>
      <w:r>
        <w:rPr>
          <w:rFonts w:hint="eastAsia" w:ascii="仿宋" w:hAnsi="仿宋" w:eastAsia="仿宋" w:cs="仿宋"/>
          <w:snapToGrid w:val="0"/>
          <w:color w:val="000000"/>
          <w:spacing w:val="-9"/>
          <w:kern w:val="0"/>
          <w:sz w:val="28"/>
          <w:szCs w:val="28"/>
          <w:highlight w:val="none"/>
        </w:rPr>
        <w:t>十四五</w:t>
      </w:r>
      <w:r>
        <w:rPr>
          <w:rFonts w:hint="eastAsia" w:ascii="仿宋" w:hAnsi="仿宋" w:eastAsia="仿宋" w:cs="仿宋"/>
          <w:snapToGrid w:val="0"/>
          <w:color w:val="000000"/>
          <w:spacing w:val="-9"/>
          <w:kern w:val="0"/>
          <w:sz w:val="28"/>
          <w:szCs w:val="28"/>
          <w:highlight w:val="none"/>
          <w:lang w:eastAsia="zh-CN"/>
        </w:rPr>
        <w:t>”</w:t>
      </w:r>
      <w:r>
        <w:rPr>
          <w:rFonts w:hint="eastAsia" w:ascii="仿宋" w:hAnsi="仿宋" w:eastAsia="仿宋" w:cs="仿宋"/>
          <w:snapToGrid w:val="0"/>
          <w:color w:val="000000"/>
          <w:spacing w:val="-9"/>
          <w:kern w:val="0"/>
          <w:sz w:val="28"/>
          <w:szCs w:val="28"/>
          <w:highlight w:val="none"/>
        </w:rPr>
        <w:t>国家应急体系规划</w:t>
      </w:r>
      <w:r>
        <w:rPr>
          <w:rFonts w:hint="eastAsia" w:ascii="仿宋" w:hAnsi="仿宋" w:eastAsia="仿宋" w:cs="仿宋"/>
          <w:snapToGrid w:val="0"/>
          <w:color w:val="000000"/>
          <w:spacing w:val="-9"/>
          <w:kern w:val="0"/>
          <w:sz w:val="28"/>
          <w:szCs w:val="28"/>
          <w:highlight w:val="none"/>
          <w:lang w:eastAsia="zh-CN"/>
        </w:rPr>
        <w:t>〉</w:t>
      </w:r>
      <w:r>
        <w:rPr>
          <w:rFonts w:hint="eastAsia" w:ascii="仿宋" w:hAnsi="仿宋" w:eastAsia="仿宋" w:cs="仿宋"/>
          <w:snapToGrid w:val="0"/>
          <w:color w:val="000000"/>
          <w:spacing w:val="-9"/>
          <w:kern w:val="0"/>
          <w:sz w:val="28"/>
          <w:szCs w:val="28"/>
          <w:highlight w:val="none"/>
        </w:rPr>
        <w:t>核心指标衔接工作的函》</w:t>
      </w:r>
      <w:r>
        <w:rPr>
          <w:rFonts w:hint="eastAsia" w:ascii="仿宋" w:hAnsi="仿宋" w:eastAsia="仿宋" w:cs="仿宋"/>
          <w:snapToGrid w:val="0"/>
          <w:color w:val="000000"/>
          <w:spacing w:val="-9"/>
          <w:kern w:val="0"/>
          <w:sz w:val="28"/>
          <w:szCs w:val="28"/>
          <w:highlight w:val="none"/>
          <w:lang w:eastAsia="zh-CN"/>
        </w:rPr>
        <w:t>（</w:t>
      </w:r>
      <w:r>
        <w:rPr>
          <w:rFonts w:hint="eastAsia" w:ascii="仿宋" w:hAnsi="仿宋" w:eastAsia="仿宋" w:cs="仿宋"/>
          <w:snapToGrid w:val="0"/>
          <w:color w:val="000000"/>
          <w:spacing w:val="-9"/>
          <w:kern w:val="0"/>
          <w:sz w:val="28"/>
          <w:szCs w:val="28"/>
          <w:highlight w:val="none"/>
        </w:rPr>
        <w:t>应急规财〔2020〕</w:t>
      </w:r>
      <w:r>
        <w:rPr>
          <w:rFonts w:hint="eastAsia" w:ascii="仿宋" w:hAnsi="仿宋" w:eastAsia="仿宋" w:cs="仿宋"/>
          <w:snapToGrid w:val="0"/>
          <w:color w:val="000000"/>
          <w:spacing w:val="6"/>
          <w:kern w:val="0"/>
          <w:sz w:val="28"/>
          <w:szCs w:val="28"/>
          <w:highlight w:val="none"/>
        </w:rPr>
        <w:t>165号</w:t>
      </w:r>
      <w:r>
        <w:rPr>
          <w:rFonts w:hint="eastAsia" w:ascii="仿宋" w:hAnsi="仿宋" w:eastAsia="仿宋" w:cs="仿宋"/>
          <w:snapToGrid w:val="0"/>
          <w:color w:val="000000"/>
          <w:spacing w:val="6"/>
          <w:kern w:val="0"/>
          <w:sz w:val="28"/>
          <w:szCs w:val="28"/>
          <w:highlight w:val="none"/>
          <w:lang w:eastAsia="zh-CN"/>
        </w:rPr>
        <w:t>）</w:t>
      </w:r>
      <w:r>
        <w:rPr>
          <w:rFonts w:hint="eastAsia" w:ascii="仿宋" w:hAnsi="仿宋" w:eastAsia="仿宋" w:cs="仿宋"/>
          <w:snapToGrid w:val="0"/>
          <w:color w:val="000000"/>
          <w:spacing w:val="6"/>
          <w:kern w:val="0"/>
          <w:sz w:val="28"/>
          <w:szCs w:val="28"/>
          <w:highlight w:val="none"/>
        </w:rPr>
        <w:t>文件要求</w:t>
      </w:r>
      <w:r>
        <w:rPr>
          <w:rFonts w:hint="eastAsia" w:ascii="仿宋" w:hAnsi="仿宋" w:eastAsia="仿宋" w:cs="仿宋"/>
          <w:snapToGrid w:val="0"/>
          <w:color w:val="000000"/>
          <w:spacing w:val="6"/>
          <w:kern w:val="0"/>
          <w:sz w:val="28"/>
          <w:szCs w:val="28"/>
          <w:highlight w:val="none"/>
          <w:lang w:eastAsia="zh-CN"/>
        </w:rPr>
        <w:t>，</w:t>
      </w:r>
      <w:r>
        <w:rPr>
          <w:rFonts w:hint="eastAsia" w:ascii="仿宋" w:hAnsi="仿宋" w:eastAsia="仿宋" w:cs="仿宋"/>
          <w:snapToGrid w:val="0"/>
          <w:color w:val="000000"/>
          <w:spacing w:val="6"/>
          <w:kern w:val="0"/>
          <w:sz w:val="28"/>
          <w:szCs w:val="28"/>
          <w:highlight w:val="none"/>
        </w:rPr>
        <w:t>2020年受新冠疫情原因</w:t>
      </w:r>
      <w:r>
        <w:rPr>
          <w:rFonts w:hint="eastAsia" w:ascii="仿宋" w:hAnsi="仿宋" w:eastAsia="仿宋" w:cs="仿宋"/>
          <w:snapToGrid w:val="0"/>
          <w:color w:val="000000"/>
          <w:spacing w:val="6"/>
          <w:kern w:val="0"/>
          <w:sz w:val="28"/>
          <w:szCs w:val="28"/>
          <w:highlight w:val="none"/>
          <w:lang w:eastAsia="zh-CN"/>
        </w:rPr>
        <w:t>，</w:t>
      </w:r>
      <w:r>
        <w:rPr>
          <w:rFonts w:hint="eastAsia" w:ascii="仿宋" w:hAnsi="仿宋" w:eastAsia="仿宋" w:cs="仿宋"/>
          <w:snapToGrid w:val="0"/>
          <w:color w:val="000000"/>
          <w:spacing w:val="6"/>
          <w:kern w:val="0"/>
          <w:sz w:val="28"/>
          <w:szCs w:val="28"/>
          <w:highlight w:val="none"/>
        </w:rPr>
        <w:t>事故指标数值波动较大</w:t>
      </w:r>
      <w:r>
        <w:rPr>
          <w:rFonts w:hint="eastAsia" w:ascii="仿宋" w:hAnsi="仿宋" w:eastAsia="仿宋" w:cs="仿宋"/>
          <w:snapToGrid w:val="0"/>
          <w:color w:val="000000"/>
          <w:spacing w:val="6"/>
          <w:kern w:val="0"/>
          <w:sz w:val="28"/>
          <w:szCs w:val="28"/>
          <w:highlight w:val="none"/>
          <w:lang w:eastAsia="zh-CN"/>
        </w:rPr>
        <w:t>，</w:t>
      </w:r>
      <w:r>
        <w:rPr>
          <w:rFonts w:hint="eastAsia" w:ascii="仿宋" w:hAnsi="仿宋" w:eastAsia="仿宋" w:cs="仿宋"/>
          <w:snapToGrid w:val="0"/>
          <w:color w:val="000000"/>
          <w:spacing w:val="6"/>
          <w:kern w:val="0"/>
          <w:sz w:val="28"/>
          <w:szCs w:val="28"/>
          <w:highlight w:val="none"/>
        </w:rPr>
        <w:t>安</w:t>
      </w:r>
      <w:r>
        <w:rPr>
          <w:rFonts w:hint="eastAsia" w:ascii="仿宋" w:hAnsi="仿宋" w:eastAsia="仿宋" w:cs="仿宋"/>
          <w:snapToGrid w:val="0"/>
          <w:color w:val="000000"/>
          <w:spacing w:val="-11"/>
          <w:kern w:val="0"/>
          <w:sz w:val="28"/>
          <w:szCs w:val="28"/>
          <w:highlight w:val="none"/>
        </w:rPr>
        <w:t>全生产类指标以2019年数据为基准值。</w:t>
      </w:r>
    </w:p>
    <w:p w14:paraId="6F037183">
      <w:pPr>
        <w:rPr>
          <w:rFonts w:ascii="仿宋" w:hAnsi="仿宋" w:eastAsia="仿宋" w:cs="仿宋"/>
          <w:snapToGrid w:val="0"/>
          <w:color w:val="000000"/>
          <w:spacing w:val="-11"/>
          <w:kern w:val="0"/>
          <w:sz w:val="29"/>
          <w:szCs w:val="29"/>
          <w:highlight w:val="none"/>
        </w:rPr>
      </w:pPr>
      <w:r>
        <w:rPr>
          <w:rFonts w:ascii="仿宋" w:hAnsi="仿宋" w:eastAsia="仿宋" w:cs="仿宋"/>
          <w:snapToGrid w:val="0"/>
          <w:color w:val="000000"/>
          <w:spacing w:val="-11"/>
          <w:kern w:val="0"/>
          <w:sz w:val="29"/>
          <w:szCs w:val="29"/>
          <w:highlight w:val="none"/>
        </w:rPr>
        <w:br w:type="page"/>
      </w:r>
    </w:p>
    <w:p w14:paraId="79793652">
      <w:pPr>
        <w:keepNext w:val="0"/>
        <w:keepLines w:val="0"/>
        <w:pageBreakBefore w:val="0"/>
        <w:kinsoku/>
        <w:wordWrap/>
        <w:overflowPunct/>
        <w:topLinePunct w:val="0"/>
        <w:bidi w:val="0"/>
        <w:adjustRightInd w:val="0"/>
        <w:snapToGrid w:val="0"/>
        <w:spacing w:line="560" w:lineRule="exact"/>
        <w:ind w:firstLine="640" w:firstLineChars="200"/>
        <w:jc w:val="both"/>
        <w:outlineLvl w:val="0"/>
        <w:rPr>
          <w:rFonts w:hint="eastAsia" w:ascii="黑体" w:hAnsi="黑体" w:eastAsia="黑体" w:cs="黑体"/>
          <w:b w:val="0"/>
          <w:bCs w:val="0"/>
          <w:sz w:val="32"/>
          <w:szCs w:val="32"/>
          <w:highlight w:val="none"/>
        </w:rPr>
      </w:pPr>
      <w:bookmarkStart w:id="7" w:name="_Toc22360"/>
      <w:r>
        <w:rPr>
          <w:rFonts w:hint="eastAsia" w:ascii="黑体" w:hAnsi="黑体" w:eastAsia="黑体" w:cs="黑体"/>
          <w:b w:val="0"/>
          <w:bCs w:val="0"/>
          <w:sz w:val="32"/>
          <w:szCs w:val="32"/>
          <w:highlight w:val="none"/>
        </w:rPr>
        <w:t>三、工作任务和实施措施</w:t>
      </w:r>
      <w:bookmarkEnd w:id="7"/>
    </w:p>
    <w:p w14:paraId="3CB75008">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8" w:name="_Toc6653"/>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eastAsia="zh-CN"/>
        </w:rPr>
        <w:t>一</w:t>
      </w:r>
      <w:r>
        <w:rPr>
          <w:rFonts w:hint="eastAsia" w:ascii="楷体" w:hAnsi="楷体" w:eastAsia="楷体" w:cs="楷体"/>
          <w:b w:val="0"/>
          <w:bCs w:val="0"/>
          <w:sz w:val="32"/>
          <w:szCs w:val="32"/>
          <w:highlight w:val="none"/>
        </w:rPr>
        <w:t>）完善应急预案体系，切实提升应急演练质量和实效。</w:t>
      </w:r>
      <w:bookmarkEnd w:id="8"/>
    </w:p>
    <w:p w14:paraId="25CBEA6B">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以突发事件分类为标准，细化完善各项应急预案，推动全市应急预案系统化，</w:t>
      </w:r>
      <w:r>
        <w:rPr>
          <w:rFonts w:hint="eastAsia" w:ascii="仿宋" w:hAnsi="仿宋" w:eastAsia="仿宋" w:cs="仿宋"/>
          <w:b w:val="0"/>
          <w:bCs w:val="0"/>
          <w:sz w:val="32"/>
          <w:szCs w:val="32"/>
          <w:highlight w:val="none"/>
          <w:lang w:eastAsia="zh-CN"/>
        </w:rPr>
        <w:t>完善应对突发事件的市级应急总预案、市级专项预案、各部门预案、各乡镇联防联控预案，加强各预案纵向和横向的衔接性，</w:t>
      </w:r>
      <w:r>
        <w:rPr>
          <w:rFonts w:hint="eastAsia" w:ascii="仿宋" w:hAnsi="仿宋" w:eastAsia="仿宋" w:cs="仿宋"/>
          <w:b w:val="0"/>
          <w:bCs w:val="0"/>
          <w:sz w:val="32"/>
          <w:szCs w:val="32"/>
          <w:highlight w:val="none"/>
        </w:rPr>
        <w:t>进一</w:t>
      </w:r>
      <w:r>
        <w:rPr>
          <w:rFonts w:hint="eastAsia" w:ascii="仿宋" w:hAnsi="仿宋" w:eastAsia="仿宋" w:cs="仿宋"/>
          <w:b w:val="0"/>
          <w:bCs w:val="0"/>
          <w:sz w:val="32"/>
          <w:szCs w:val="32"/>
          <w:highlight w:val="none"/>
          <w:lang w:eastAsia="zh-CN"/>
        </w:rPr>
        <w:t>步</w:t>
      </w:r>
      <w:r>
        <w:rPr>
          <w:rFonts w:hint="eastAsia" w:ascii="仿宋" w:hAnsi="仿宋" w:eastAsia="仿宋" w:cs="仿宋"/>
          <w:b w:val="0"/>
          <w:bCs w:val="0"/>
          <w:sz w:val="32"/>
          <w:szCs w:val="32"/>
          <w:highlight w:val="none"/>
        </w:rPr>
        <w:t>完善“横向到边、纵向到底”的应急预案体系。以情景构建为方向，编制我市基于情景构建的应急预案。开展专项应急预案及操作手册编制（修订）工作，指导各镇</w:t>
      </w:r>
      <w:r>
        <w:rPr>
          <w:rFonts w:hint="eastAsia" w:ascii="仿宋" w:hAnsi="仿宋" w:eastAsia="仿宋" w:cs="仿宋"/>
          <w:b w:val="0"/>
          <w:bCs w:val="0"/>
          <w:sz w:val="32"/>
          <w:szCs w:val="32"/>
          <w:highlight w:val="none"/>
          <w:lang w:eastAsia="zh-CN"/>
        </w:rPr>
        <w:t>人民</w:t>
      </w:r>
      <w:r>
        <w:rPr>
          <w:rFonts w:hint="eastAsia" w:ascii="仿宋" w:hAnsi="仿宋" w:eastAsia="仿宋" w:cs="仿宋"/>
          <w:b w:val="0"/>
          <w:bCs w:val="0"/>
          <w:sz w:val="32"/>
          <w:szCs w:val="32"/>
          <w:highlight w:val="none"/>
        </w:rPr>
        <w:t>政府、街道办事处及各单位制</w:t>
      </w:r>
      <w:r>
        <w:rPr>
          <w:rFonts w:hint="eastAsia" w:ascii="仿宋" w:hAnsi="仿宋" w:eastAsia="仿宋" w:cs="仿宋"/>
          <w:b w:val="0"/>
          <w:bCs w:val="0"/>
          <w:sz w:val="32"/>
          <w:szCs w:val="32"/>
          <w:highlight w:val="none"/>
          <w:lang w:eastAsia="zh-CN"/>
        </w:rPr>
        <w:t>定</w:t>
      </w:r>
      <w:r>
        <w:rPr>
          <w:rFonts w:hint="eastAsia" w:ascii="仿宋" w:hAnsi="仿宋" w:eastAsia="仿宋" w:cs="仿宋"/>
          <w:b w:val="0"/>
          <w:bCs w:val="0"/>
          <w:sz w:val="32"/>
          <w:szCs w:val="32"/>
          <w:highlight w:val="none"/>
        </w:rPr>
        <w:t>修订相应预案。定期组织开展</w:t>
      </w:r>
      <w:r>
        <w:rPr>
          <w:rFonts w:hint="eastAsia" w:ascii="仿宋" w:hAnsi="仿宋" w:eastAsia="仿宋" w:cs="仿宋"/>
          <w:b w:val="0"/>
          <w:bCs w:val="0"/>
          <w:sz w:val="32"/>
          <w:szCs w:val="32"/>
          <w:highlight w:val="none"/>
          <w:lang w:eastAsia="zh-CN"/>
        </w:rPr>
        <w:t>桌面</w:t>
      </w:r>
      <w:r>
        <w:rPr>
          <w:rFonts w:hint="eastAsia" w:ascii="仿宋" w:hAnsi="仿宋" w:eastAsia="仿宋" w:cs="仿宋"/>
          <w:b w:val="0"/>
          <w:bCs w:val="0"/>
          <w:sz w:val="32"/>
          <w:szCs w:val="32"/>
          <w:highlight w:val="none"/>
        </w:rPr>
        <w:t>演练、“双盲”演练和示范性专项预案演练</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根据演练结果</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落实演练评估制度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加强对应急预案动态进行修订更新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确保应急预案的持续</w:t>
      </w:r>
      <w:r>
        <w:rPr>
          <w:rFonts w:hint="eastAsia" w:ascii="仿宋" w:hAnsi="仿宋" w:eastAsia="仿宋" w:cs="仿宋"/>
          <w:b w:val="0"/>
          <w:bCs w:val="0"/>
          <w:sz w:val="32"/>
          <w:szCs w:val="32"/>
          <w:highlight w:val="none"/>
          <w:lang w:eastAsia="zh-CN"/>
        </w:rPr>
        <w:t>性、</w:t>
      </w:r>
      <w:r>
        <w:rPr>
          <w:rFonts w:hint="eastAsia" w:ascii="仿宋" w:hAnsi="仿宋" w:eastAsia="仿宋" w:cs="仿宋"/>
          <w:b w:val="0"/>
          <w:bCs w:val="0"/>
          <w:sz w:val="32"/>
          <w:szCs w:val="32"/>
          <w:highlight w:val="none"/>
        </w:rPr>
        <w:t>科学性和实用可操作性。</w:t>
      </w:r>
    </w:p>
    <w:p w14:paraId="5EA16367">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9" w:name="_Toc8182"/>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eastAsia="zh-CN"/>
        </w:rPr>
        <w:t>二</w:t>
      </w:r>
      <w:r>
        <w:rPr>
          <w:rFonts w:hint="eastAsia" w:ascii="楷体" w:hAnsi="楷体" w:eastAsia="楷体" w:cs="楷体"/>
          <w:b w:val="0"/>
          <w:bCs w:val="0"/>
          <w:sz w:val="32"/>
          <w:szCs w:val="32"/>
          <w:highlight w:val="none"/>
        </w:rPr>
        <w:t>）健全完善应急</w:t>
      </w:r>
      <w:r>
        <w:rPr>
          <w:rFonts w:hint="eastAsia" w:ascii="楷体" w:hAnsi="楷体" w:eastAsia="楷体" w:cs="楷体"/>
          <w:b w:val="0"/>
          <w:bCs w:val="0"/>
          <w:sz w:val="32"/>
          <w:szCs w:val="32"/>
          <w:highlight w:val="none"/>
          <w:lang w:eastAsia="zh-CN"/>
        </w:rPr>
        <w:t>体制</w:t>
      </w:r>
      <w:r>
        <w:rPr>
          <w:rFonts w:hint="eastAsia" w:ascii="楷体" w:hAnsi="楷体" w:eastAsia="楷体" w:cs="楷体"/>
          <w:b w:val="0"/>
          <w:bCs w:val="0"/>
          <w:sz w:val="32"/>
          <w:szCs w:val="32"/>
          <w:highlight w:val="none"/>
        </w:rPr>
        <w:t>机制，不断提升应急</w:t>
      </w:r>
      <w:r>
        <w:rPr>
          <w:rFonts w:hint="eastAsia" w:ascii="楷体" w:hAnsi="楷体" w:eastAsia="楷体" w:cs="楷体"/>
          <w:b w:val="0"/>
          <w:bCs w:val="0"/>
          <w:sz w:val="32"/>
          <w:szCs w:val="32"/>
          <w:highlight w:val="none"/>
          <w:lang w:eastAsia="zh-CN"/>
        </w:rPr>
        <w:t>管理</w:t>
      </w:r>
      <w:r>
        <w:rPr>
          <w:rFonts w:hint="eastAsia" w:ascii="楷体" w:hAnsi="楷体" w:eastAsia="楷体" w:cs="楷体"/>
          <w:b w:val="0"/>
          <w:bCs w:val="0"/>
          <w:sz w:val="32"/>
          <w:szCs w:val="32"/>
          <w:highlight w:val="none"/>
        </w:rPr>
        <w:t>能力。</w:t>
      </w:r>
      <w:bookmarkEnd w:id="9"/>
      <w:bookmarkStart w:id="10" w:name="_Toc466892803"/>
    </w:p>
    <w:p w14:paraId="4319EB53">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建立统一领导、综合协调、分级负责、属地为主的应对突发事件的管理体制。完善处置突发事件全过程中各种制度化、程序化的处置方法与措施。</w:t>
      </w:r>
    </w:p>
    <w:p w14:paraId="03FD4963">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健全领导组织体系。健全应急管理议事协调机构，</w:t>
      </w:r>
      <w:r>
        <w:rPr>
          <w:rFonts w:hint="eastAsia" w:ascii="仿宋" w:hAnsi="仿宋" w:eastAsia="仿宋" w:cs="仿宋"/>
          <w:b w:val="0"/>
          <w:bCs w:val="0"/>
          <w:sz w:val="32"/>
          <w:szCs w:val="32"/>
          <w:highlight w:val="none"/>
          <w:lang w:eastAsia="zh-CN"/>
        </w:rPr>
        <w:t>完善</w:t>
      </w:r>
      <w:r>
        <w:rPr>
          <w:rFonts w:hint="eastAsia" w:ascii="仿宋" w:hAnsi="仿宋" w:eastAsia="仿宋" w:cs="仿宋"/>
          <w:b w:val="0"/>
          <w:bCs w:val="0"/>
          <w:sz w:val="32"/>
          <w:szCs w:val="32"/>
          <w:highlight w:val="none"/>
        </w:rPr>
        <w:t>议事协调机构和专项指挥机构成员单位应急管理职责清单，逐步建立完善各部门各司其职、应急联动、协同处置机制，形成齐抓共管、统分结合的“全灾种、大应急”格局。按照“管行业必须管安全、管业务必须管安全、管生产经营必须管安全”和“谁主管、谁负责”的原则，完善安全监督管理责任体系，并且强化应急管理责任落实。</w:t>
      </w:r>
    </w:p>
    <w:p w14:paraId="4AE3A4AD">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建立健全跨</w:t>
      </w:r>
      <w:r>
        <w:rPr>
          <w:rFonts w:hint="eastAsia" w:ascii="仿宋" w:hAnsi="仿宋" w:eastAsia="仿宋" w:cs="仿宋"/>
          <w:b w:val="0"/>
          <w:bCs w:val="0"/>
          <w:sz w:val="32"/>
          <w:szCs w:val="32"/>
          <w:highlight w:val="none"/>
          <w:lang w:eastAsia="zh-CN"/>
        </w:rPr>
        <w:t>镇（街道）</w:t>
      </w:r>
      <w:r>
        <w:rPr>
          <w:rFonts w:hint="eastAsia" w:ascii="仿宋" w:hAnsi="仿宋" w:eastAsia="仿宋" w:cs="仿宋"/>
          <w:b w:val="0"/>
          <w:bCs w:val="0"/>
          <w:sz w:val="32"/>
          <w:szCs w:val="32"/>
          <w:highlight w:val="none"/>
        </w:rPr>
        <w:t>应急管理合作机制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切实提高区域合作处置水平。完善军地应急联动机制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构建情报信息共享体系</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制定军地联动预案</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加强军地应急联合训练演练。强化应急管理部门之间业务联系</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努力实现调度有序、资源共享、应对有力。</w:t>
      </w:r>
    </w:p>
    <w:p w14:paraId="4F07327F">
      <w:pPr>
        <w:keepNext w:val="0"/>
        <w:keepLines w:val="0"/>
        <w:pageBreakBefore w:val="0"/>
        <w:kinsoku/>
        <w:wordWrap/>
        <w:overflowPunct/>
        <w:topLinePunct w:val="0"/>
        <w:bidi w:val="0"/>
        <w:adjustRightInd w:val="0"/>
        <w:snapToGrid w:val="0"/>
        <w:spacing w:line="560" w:lineRule="exact"/>
        <w:ind w:firstLine="632" w:firstLineChars="200"/>
        <w:jc w:val="both"/>
        <w:outlineLvl w:val="9"/>
        <w:rPr>
          <w:rFonts w:hint="eastAsia" w:ascii="仿宋" w:hAnsi="仿宋" w:eastAsia="仿宋" w:cs="仿宋"/>
          <w:b w:val="0"/>
          <w:bCs w:val="0"/>
          <w:w w:val="99"/>
          <w:sz w:val="32"/>
          <w:szCs w:val="32"/>
          <w:highlight w:val="none"/>
        </w:rPr>
      </w:pPr>
      <w:r>
        <w:rPr>
          <w:rFonts w:hint="eastAsia" w:ascii="仿宋" w:hAnsi="仿宋" w:eastAsia="仿宋" w:cs="仿宋"/>
          <w:b w:val="0"/>
          <w:bCs w:val="0"/>
          <w:w w:val="99"/>
          <w:sz w:val="32"/>
          <w:szCs w:val="32"/>
          <w:highlight w:val="none"/>
          <w:lang w:val="en-US" w:eastAsia="zh-CN"/>
        </w:rPr>
        <w:t>3.</w:t>
      </w:r>
      <w:r>
        <w:rPr>
          <w:rFonts w:hint="eastAsia" w:ascii="仿宋" w:hAnsi="仿宋" w:eastAsia="仿宋" w:cs="仿宋"/>
          <w:b w:val="0"/>
          <w:bCs w:val="0"/>
          <w:w w:val="99"/>
          <w:sz w:val="32"/>
          <w:szCs w:val="32"/>
          <w:highlight w:val="none"/>
        </w:rPr>
        <w:t>加强现场指挥官的统筹协调能力</w:t>
      </w:r>
      <w:r>
        <w:rPr>
          <w:rFonts w:hint="eastAsia" w:ascii="仿宋" w:hAnsi="仿宋" w:eastAsia="仿宋" w:cs="仿宋"/>
          <w:b w:val="0"/>
          <w:bCs w:val="0"/>
          <w:w w:val="99"/>
          <w:sz w:val="32"/>
          <w:szCs w:val="32"/>
          <w:highlight w:val="none"/>
          <w:lang w:eastAsia="zh-CN"/>
        </w:rPr>
        <w:t>，</w:t>
      </w:r>
      <w:r>
        <w:rPr>
          <w:rFonts w:hint="eastAsia" w:ascii="仿宋" w:hAnsi="仿宋" w:eastAsia="仿宋" w:cs="仿宋"/>
          <w:b w:val="0"/>
          <w:bCs w:val="0"/>
          <w:w w:val="99"/>
          <w:sz w:val="32"/>
          <w:szCs w:val="32"/>
          <w:highlight w:val="none"/>
        </w:rPr>
        <w:t>充分发挥专家队伍的辅助决策作用</w:t>
      </w:r>
      <w:r>
        <w:rPr>
          <w:rFonts w:hint="eastAsia" w:ascii="仿宋" w:hAnsi="仿宋" w:eastAsia="仿宋" w:cs="仿宋"/>
          <w:b w:val="0"/>
          <w:bCs w:val="0"/>
          <w:w w:val="99"/>
          <w:sz w:val="32"/>
          <w:szCs w:val="32"/>
          <w:highlight w:val="none"/>
          <w:lang w:eastAsia="zh-CN"/>
        </w:rPr>
        <w:t>，</w:t>
      </w:r>
      <w:r>
        <w:rPr>
          <w:rFonts w:hint="eastAsia" w:ascii="仿宋" w:hAnsi="仿宋" w:eastAsia="仿宋" w:cs="仿宋"/>
          <w:b w:val="0"/>
          <w:bCs w:val="0"/>
          <w:w w:val="99"/>
          <w:sz w:val="32"/>
          <w:szCs w:val="32"/>
          <w:highlight w:val="none"/>
        </w:rPr>
        <w:t>全方位利用新技术新方法提升决策支持水平</w:t>
      </w:r>
      <w:r>
        <w:rPr>
          <w:rFonts w:hint="eastAsia" w:ascii="仿宋" w:hAnsi="仿宋" w:eastAsia="仿宋" w:cs="仿宋"/>
          <w:b w:val="0"/>
          <w:bCs w:val="0"/>
          <w:w w:val="99"/>
          <w:sz w:val="32"/>
          <w:szCs w:val="32"/>
          <w:highlight w:val="none"/>
          <w:lang w:eastAsia="zh-CN"/>
        </w:rPr>
        <w:t>，</w:t>
      </w:r>
      <w:r>
        <w:rPr>
          <w:rFonts w:hint="eastAsia" w:ascii="仿宋" w:hAnsi="仿宋" w:eastAsia="仿宋" w:cs="仿宋"/>
          <w:b w:val="0"/>
          <w:bCs w:val="0"/>
          <w:w w:val="99"/>
          <w:sz w:val="32"/>
          <w:szCs w:val="32"/>
          <w:highlight w:val="none"/>
        </w:rPr>
        <w:t>提高现场应急处置水平</w:t>
      </w:r>
      <w:r>
        <w:rPr>
          <w:rFonts w:hint="eastAsia" w:ascii="仿宋" w:hAnsi="仿宋" w:eastAsia="仿宋" w:cs="仿宋"/>
          <w:b w:val="0"/>
          <w:bCs w:val="0"/>
          <w:w w:val="99"/>
          <w:sz w:val="32"/>
          <w:szCs w:val="32"/>
          <w:highlight w:val="none"/>
          <w:lang w:eastAsia="zh-CN"/>
        </w:rPr>
        <w:t>，</w:t>
      </w:r>
      <w:r>
        <w:rPr>
          <w:rFonts w:hint="eastAsia" w:ascii="仿宋" w:hAnsi="仿宋" w:eastAsia="仿宋" w:cs="仿宋"/>
          <w:b w:val="0"/>
          <w:bCs w:val="0"/>
          <w:w w:val="99"/>
          <w:sz w:val="32"/>
          <w:szCs w:val="32"/>
          <w:highlight w:val="none"/>
        </w:rPr>
        <w:t>实现指挥调度一体化、现代化、扁平化。</w:t>
      </w:r>
    </w:p>
    <w:p w14:paraId="16FC1368">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健全应急管理专家工作制度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开展应急管理专家的选聘工作和专家会商、研判、培训和演练等活动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健全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行政专家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和</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业内专家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相结合的科学决策机制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提高科学处置水平。</w:t>
      </w:r>
    </w:p>
    <w:p w14:paraId="4773EA2E">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完善政府与社会救援力量的协同机制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通过政府购买服务、与企业签订</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服务协议</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、搭建协作服务平台等形式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鼓励专业社会工作者和企业自建的应急救援队伍提供社会化救援有偿服务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参与应急救援行动。</w:t>
      </w:r>
    </w:p>
    <w:p w14:paraId="51CA51E9">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rPr>
        <w:t>加强与毗邻县（区）应急部门联动合作</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进一步提升跨区域、跨流域协同处置突发事件能力。</w:t>
      </w:r>
    </w:p>
    <w:p w14:paraId="0968C449">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7.健全应急指挥体系，进一步明确突发事件应对的责任体系、工作流程和处置措施，进一步完善各类应急处置方案和执行程序。推进市、镇（街道）、村（居）的应急管理工作有机衔接、强化应急管理责任的细化落实。</w:t>
      </w:r>
    </w:p>
    <w:bookmarkEnd w:id="10"/>
    <w:p w14:paraId="0F4A1C21">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11" w:name="_Toc4800"/>
      <w:r>
        <w:rPr>
          <w:rFonts w:hint="eastAsia" w:ascii="楷体" w:hAnsi="楷体" w:eastAsia="楷体" w:cs="楷体"/>
          <w:b w:val="0"/>
          <w:bCs w:val="0"/>
          <w:sz w:val="32"/>
          <w:szCs w:val="32"/>
          <w:highlight w:val="none"/>
          <w:lang w:eastAsia="zh-CN"/>
        </w:rPr>
        <w:t>（三）夯实应急法制基础，营造良法善治新形态。</w:t>
      </w:r>
      <w:bookmarkEnd w:id="11"/>
    </w:p>
    <w:p w14:paraId="50BE3343">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严格安全生产执法。加大危险化学品、矿山、工贸、交通运输、建筑施工等重点行业领域安全生产执法力度，持续推进“互联网+执法”。综合运用“四不两直”、异地交叉执法、“双随机、一公开”等方式，加大重点抽查、突击检查力度，建立健全安全生产典型执法案例报告制度，严厉打击非法生产经营行为。全面推行行政执法公示、执法全过程记录、重大执法决定法制审核三项制度，以及公众聚集场所投入使用、营业前消防安全检查告知承诺制。健全安全生产行政处罚自由裁量标准，细化行政处罚等级。严格事故前严重违法行为责任追究，严格执行移送标准和程序，规范实施行政执法与刑事司法衔接机制。加强执法监督，完善内外部监督机制。</w:t>
      </w:r>
    </w:p>
    <w:p w14:paraId="64F50B3B">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推动依法行政决策。在深入总结处置突发事件的经验和教训、制订和改进各级各类应急处置方案、完善应急体制和机制基础上，为立法和行政决策提供实践依据和参考意见，使突发事件应对处置工作有章可循、有法可依。将应急管理行政决策全过程纳入法治化轨道，对一般和重大行政决策实行分类管理。完善公众参与、专家论证、风险评估、合法性审查、集体讨论决定等法定程序和配套制度，健全并实施应急管理重大行政决策责任倒查和追究机制。定期制定和更新决策事项目录和标准，依法向社会公布。建立依法应急决策制度，规范启动条件、实施方式、尽职免予问责等内容。深化应急管理“放管服”改革，加强事前事中事后监管和地方承接能力建设，积极营造公平有序竞争的市场环境。</w:t>
      </w:r>
    </w:p>
    <w:p w14:paraId="4DA7A124">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12" w:name="_Toc8433"/>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eastAsia="zh-CN"/>
        </w:rPr>
        <w:t>四</w:t>
      </w:r>
      <w:r>
        <w:rPr>
          <w:rFonts w:hint="eastAsia" w:ascii="楷体" w:hAnsi="楷体" w:eastAsia="楷体" w:cs="楷体"/>
          <w:b w:val="0"/>
          <w:bCs w:val="0"/>
          <w:sz w:val="32"/>
          <w:szCs w:val="32"/>
          <w:highlight w:val="none"/>
        </w:rPr>
        <w:t>）压实安全生产责任，切实加强安全综合监管工作。</w:t>
      </w:r>
      <w:bookmarkEnd w:id="12"/>
    </w:p>
    <w:p w14:paraId="79B2809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sz w:val="32"/>
          <w:szCs w:val="32"/>
          <w:highlight w:val="none"/>
        </w:rPr>
        <w:t>1．健全安全</w:t>
      </w:r>
      <w:r>
        <w:rPr>
          <w:rFonts w:hint="eastAsia" w:ascii="仿宋" w:hAnsi="仿宋" w:eastAsia="仿宋" w:cs="仿宋"/>
          <w:b w:val="0"/>
          <w:bCs w:val="0"/>
          <w:color w:val="000000"/>
          <w:sz w:val="32"/>
          <w:szCs w:val="32"/>
          <w:highlight w:val="none"/>
        </w:rPr>
        <w:t>生产</w:t>
      </w:r>
      <w:r>
        <w:rPr>
          <w:rFonts w:hint="eastAsia" w:ascii="仿宋" w:hAnsi="仿宋" w:eastAsia="仿宋" w:cs="仿宋"/>
          <w:b w:val="0"/>
          <w:bCs w:val="0"/>
          <w:sz w:val="32"/>
          <w:szCs w:val="32"/>
          <w:highlight w:val="none"/>
        </w:rPr>
        <w:t>责任体系。</w:t>
      </w:r>
      <w:r>
        <w:rPr>
          <w:rFonts w:hint="eastAsia" w:ascii="仿宋" w:hAnsi="仿宋" w:eastAsia="仿宋" w:cs="仿宋"/>
          <w:b w:val="0"/>
          <w:bCs w:val="0"/>
          <w:color w:val="000000"/>
          <w:sz w:val="32"/>
          <w:szCs w:val="32"/>
          <w:highlight w:val="none"/>
        </w:rPr>
        <w:t>推动落实《地方党政领导干部安全生产责任制规定》《消防安全责任制实施办法》及我市实施意见，组织修订《</w:t>
      </w:r>
      <w:r>
        <w:rPr>
          <w:rFonts w:hint="eastAsia" w:ascii="仿宋" w:hAnsi="仿宋" w:eastAsia="仿宋" w:cs="仿宋"/>
          <w:b w:val="0"/>
          <w:bCs w:val="0"/>
          <w:color w:val="000000"/>
          <w:sz w:val="32"/>
          <w:szCs w:val="32"/>
          <w:highlight w:val="none"/>
          <w:lang w:eastAsia="zh-CN"/>
        </w:rPr>
        <w:t>兴宁</w:t>
      </w:r>
      <w:r>
        <w:rPr>
          <w:rFonts w:hint="eastAsia" w:ascii="仿宋" w:hAnsi="仿宋" w:eastAsia="仿宋" w:cs="仿宋"/>
          <w:b w:val="0"/>
          <w:bCs w:val="0"/>
          <w:color w:val="000000"/>
          <w:sz w:val="32"/>
          <w:szCs w:val="32"/>
          <w:highlight w:val="none"/>
        </w:rPr>
        <w:t>市党政部门及</w:t>
      </w:r>
      <w:r>
        <w:rPr>
          <w:rFonts w:hint="eastAsia" w:ascii="仿宋" w:hAnsi="仿宋" w:eastAsia="仿宋" w:cs="仿宋"/>
          <w:b w:val="0"/>
          <w:bCs w:val="0"/>
          <w:color w:val="000000"/>
          <w:sz w:val="32"/>
          <w:szCs w:val="32"/>
          <w:highlight w:val="none"/>
          <w:lang w:eastAsia="zh-CN"/>
        </w:rPr>
        <w:t>省、梅属驻兴</w:t>
      </w:r>
      <w:r>
        <w:rPr>
          <w:rFonts w:hint="eastAsia" w:ascii="仿宋" w:hAnsi="仿宋" w:eastAsia="仿宋" w:cs="仿宋"/>
          <w:b w:val="0"/>
          <w:bCs w:val="0"/>
          <w:color w:val="000000"/>
          <w:sz w:val="32"/>
          <w:szCs w:val="32"/>
          <w:highlight w:val="none"/>
        </w:rPr>
        <w:t>有关单位安全生产工作职责》，厘清新业态新领域监管职责，优化完善安全生产、消防工作考核机制，组织开展年度全市安全生产责任制及消防工作考核。启动全市</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一盘棋</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应急响应机制，用好约谈通报、警示曝光、建议提醒等“组合拳”，落实属地、行业部门安全监管责任</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严格落实事故和重大隐患挂牌督办制度。严格事故责任追究，强化事故警示教育，健全完善事故整改评估制度，跟踪评估</w:t>
      </w:r>
      <w:r>
        <w:rPr>
          <w:rFonts w:hint="eastAsia" w:ascii="仿宋" w:hAnsi="仿宋" w:eastAsia="仿宋" w:cs="仿宋"/>
          <w:b w:val="0"/>
          <w:bCs w:val="0"/>
          <w:color w:val="000000"/>
          <w:sz w:val="32"/>
          <w:szCs w:val="32"/>
          <w:highlight w:val="none"/>
          <w:lang w:eastAsia="zh-CN"/>
        </w:rPr>
        <w:t>一般</w:t>
      </w:r>
      <w:r>
        <w:rPr>
          <w:rFonts w:hint="eastAsia" w:ascii="仿宋" w:hAnsi="仿宋" w:eastAsia="仿宋" w:cs="仿宋"/>
          <w:b w:val="0"/>
          <w:bCs w:val="0"/>
          <w:color w:val="000000"/>
          <w:sz w:val="32"/>
          <w:szCs w:val="32"/>
          <w:highlight w:val="none"/>
        </w:rPr>
        <w:t>以上典型事故调查报告提出的整改措施落实情况。</w:t>
      </w:r>
    </w:p>
    <w:p w14:paraId="57B88953">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落实企业安全生产主体责任。监督指导企业严格履行法定责任和义务，建立健全安全生产管理机构，按规定配齐安全生产管理人员，严格按照规定执行员工培训合格上岗制度。加强非煤矿山、危险化学品、烟花爆竹、建筑施工、交通运输等高危行业企业员工安全培训合格上岗情况的监督检查。推动企业加强基层班组建设，建立岗位安全生产责任清单，明确岗位责任人员、责任范围和考核标准。督促国有大中型企业和规模以上企业建立由董事长或总经理担任主任的安全生产委员会，深入实行企业安全生产“一岗双责”。加大对事故企业及其负责人的责任追究，推行企业负责人事故任职资格终身否决制。</w:t>
      </w:r>
    </w:p>
    <w:p w14:paraId="5387892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sz w:val="32"/>
          <w:szCs w:val="32"/>
          <w:highlight w:val="none"/>
        </w:rPr>
        <w:t>3．</w:t>
      </w:r>
      <w:r>
        <w:rPr>
          <w:rFonts w:hint="eastAsia" w:ascii="仿宋" w:hAnsi="仿宋" w:eastAsia="仿宋" w:cs="仿宋"/>
          <w:b w:val="0"/>
          <w:bCs w:val="0"/>
          <w:color w:val="000000"/>
          <w:sz w:val="32"/>
          <w:szCs w:val="32"/>
          <w:highlight w:val="none"/>
        </w:rPr>
        <w:t>创新安全监管方式。落实行业领域重大安全生产风险公告制度。推行实施分类分级监管执法制度，全面落实企业“双随机、一公开”监管模式。建立完善“互联网+安全监管”工作制度，提高监管信息化水平。加强与“放管服”改革相配套的事中事后安全监管。坚持严格执法与指导服务并重制度，推动落实对高危行业领域重点企业执法检查全覆盖，持续开展危险化学品专家指导服务等工作。</w:t>
      </w:r>
      <w:r>
        <w:rPr>
          <w:rFonts w:hint="eastAsia" w:ascii="仿宋" w:hAnsi="仿宋" w:eastAsia="仿宋" w:cs="仿宋"/>
          <w:b w:val="0"/>
          <w:bCs w:val="0"/>
          <w:color w:val="000000"/>
          <w:sz w:val="32"/>
          <w:szCs w:val="32"/>
          <w:highlight w:val="none"/>
          <w:shd w:val="clear" w:color="auto" w:fill="FFFFFF"/>
        </w:rPr>
        <w:t>建立“吹哨人”、内部举报人等制度，鼓励企业职工、社会公众等检举重大风险隐患和企业违法行为，推进落实举报奖励政策。支持新闻媒体的舆论监督。推动高危企业规范提取使用安全生产费用，督促高危企业全面依法依规投保安全生产责任险并建立信息化管理平台，推动落实安责险保险机构事故预防技术规范。研究建立安全生产信用分级分类制度</w:t>
      </w:r>
      <w:r>
        <w:rPr>
          <w:rFonts w:hint="eastAsia" w:ascii="仿宋" w:hAnsi="仿宋" w:eastAsia="仿宋" w:cs="仿宋"/>
          <w:b w:val="0"/>
          <w:bCs w:val="0"/>
          <w:color w:val="000000"/>
          <w:sz w:val="32"/>
          <w:szCs w:val="32"/>
          <w:highlight w:val="none"/>
          <w:shd w:val="clear" w:color="auto" w:fill="FFFFFF"/>
          <w:lang w:eastAsia="zh-CN"/>
        </w:rPr>
        <w:t>，</w:t>
      </w:r>
      <w:r>
        <w:rPr>
          <w:rFonts w:hint="eastAsia" w:ascii="仿宋" w:hAnsi="仿宋" w:eastAsia="仿宋" w:cs="仿宋"/>
          <w:b w:val="0"/>
          <w:bCs w:val="0"/>
          <w:color w:val="000000"/>
          <w:sz w:val="32"/>
          <w:szCs w:val="32"/>
          <w:highlight w:val="none"/>
          <w:shd w:val="clear" w:color="auto" w:fill="FFFFFF"/>
        </w:rPr>
        <w:t>发挥好</w:t>
      </w:r>
      <w:r>
        <w:rPr>
          <w:rFonts w:hint="eastAsia" w:ascii="仿宋" w:hAnsi="仿宋" w:eastAsia="仿宋" w:cs="仿宋"/>
          <w:b w:val="0"/>
          <w:bCs w:val="0"/>
          <w:color w:val="000000"/>
          <w:sz w:val="32"/>
          <w:szCs w:val="32"/>
          <w:highlight w:val="none"/>
          <w:shd w:val="clear" w:color="auto" w:fill="FFFFFF"/>
          <w:lang w:eastAsia="zh-CN"/>
        </w:rPr>
        <w:t>“</w:t>
      </w:r>
      <w:r>
        <w:rPr>
          <w:rFonts w:hint="eastAsia" w:ascii="仿宋" w:hAnsi="仿宋" w:eastAsia="仿宋" w:cs="仿宋"/>
          <w:b w:val="0"/>
          <w:bCs w:val="0"/>
          <w:color w:val="000000"/>
          <w:sz w:val="32"/>
          <w:szCs w:val="32"/>
          <w:highlight w:val="none"/>
          <w:shd w:val="clear" w:color="auto" w:fill="FFFFFF"/>
        </w:rPr>
        <w:t>一处失信、处处受限</w:t>
      </w:r>
      <w:r>
        <w:rPr>
          <w:rFonts w:hint="eastAsia" w:ascii="仿宋" w:hAnsi="仿宋" w:eastAsia="仿宋" w:cs="仿宋"/>
          <w:b w:val="0"/>
          <w:bCs w:val="0"/>
          <w:color w:val="000000"/>
          <w:sz w:val="32"/>
          <w:szCs w:val="32"/>
          <w:highlight w:val="none"/>
          <w:shd w:val="clear" w:color="auto" w:fill="FFFFFF"/>
          <w:lang w:eastAsia="zh-CN"/>
        </w:rPr>
        <w:t>”</w:t>
      </w:r>
      <w:r>
        <w:rPr>
          <w:rFonts w:hint="eastAsia" w:ascii="仿宋" w:hAnsi="仿宋" w:eastAsia="仿宋" w:cs="仿宋"/>
          <w:b w:val="0"/>
          <w:bCs w:val="0"/>
          <w:color w:val="000000"/>
          <w:sz w:val="32"/>
          <w:szCs w:val="32"/>
          <w:highlight w:val="none"/>
          <w:shd w:val="clear" w:color="auto" w:fill="FFFFFF"/>
        </w:rPr>
        <w:t>的联合惩戒和警示作用。</w:t>
      </w:r>
    </w:p>
    <w:p w14:paraId="3FA85632">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000000"/>
          <w:kern w:val="0"/>
          <w:sz w:val="32"/>
          <w:szCs w:val="32"/>
          <w:highlight w:val="none"/>
          <w:shd w:val="clear" w:color="auto" w:fill="FFFFFF"/>
        </w:rPr>
      </w:pPr>
      <w:bookmarkStart w:id="13" w:name="_Toc9377"/>
      <w:r>
        <w:rPr>
          <w:rFonts w:hint="eastAsia" w:ascii="楷体" w:hAnsi="楷体" w:eastAsia="楷体" w:cs="楷体"/>
          <w:b w:val="0"/>
          <w:bCs w:val="0"/>
          <w:color w:val="000000"/>
          <w:kern w:val="0"/>
          <w:sz w:val="32"/>
          <w:szCs w:val="32"/>
          <w:highlight w:val="none"/>
          <w:shd w:val="clear" w:color="auto" w:fill="FFFFFF"/>
        </w:rPr>
        <w:t>（</w:t>
      </w:r>
      <w:r>
        <w:rPr>
          <w:rFonts w:hint="eastAsia" w:ascii="楷体" w:hAnsi="楷体" w:eastAsia="楷体" w:cs="楷体"/>
          <w:b w:val="0"/>
          <w:bCs w:val="0"/>
          <w:color w:val="000000"/>
          <w:kern w:val="0"/>
          <w:sz w:val="32"/>
          <w:szCs w:val="32"/>
          <w:highlight w:val="none"/>
          <w:shd w:val="clear" w:color="auto" w:fill="FFFFFF"/>
          <w:lang w:eastAsia="zh-CN"/>
        </w:rPr>
        <w:t>五</w:t>
      </w:r>
      <w:r>
        <w:rPr>
          <w:rFonts w:hint="eastAsia" w:ascii="楷体" w:hAnsi="楷体" w:eastAsia="楷体" w:cs="楷体"/>
          <w:b w:val="0"/>
          <w:bCs w:val="0"/>
          <w:color w:val="000000"/>
          <w:kern w:val="0"/>
          <w:sz w:val="32"/>
          <w:szCs w:val="32"/>
          <w:highlight w:val="none"/>
          <w:shd w:val="clear" w:color="auto" w:fill="FFFFFF"/>
        </w:rPr>
        <w:t>）推进</w:t>
      </w:r>
      <w:r>
        <w:rPr>
          <w:rFonts w:hint="eastAsia" w:ascii="楷体" w:hAnsi="楷体" w:eastAsia="楷体" w:cs="楷体"/>
          <w:b w:val="0"/>
          <w:bCs w:val="0"/>
          <w:color w:val="000000"/>
          <w:kern w:val="0"/>
          <w:sz w:val="32"/>
          <w:szCs w:val="32"/>
          <w:highlight w:val="none"/>
          <w:shd w:val="clear" w:color="auto" w:fill="FFFFFF"/>
          <w:lang w:eastAsia="zh-CN"/>
        </w:rPr>
        <w:t>森林防灭火基础建设</w:t>
      </w:r>
      <w:r>
        <w:rPr>
          <w:rFonts w:hint="eastAsia" w:ascii="楷体" w:hAnsi="楷体" w:eastAsia="楷体" w:cs="楷体"/>
          <w:b w:val="0"/>
          <w:bCs w:val="0"/>
          <w:color w:val="000000"/>
          <w:kern w:val="0"/>
          <w:sz w:val="32"/>
          <w:szCs w:val="32"/>
          <w:highlight w:val="none"/>
          <w:shd w:val="clear" w:color="auto" w:fill="FFFFFF"/>
        </w:rPr>
        <w:t>，努力防范火灾事故。</w:t>
      </w:r>
      <w:bookmarkEnd w:id="13"/>
    </w:p>
    <w:p w14:paraId="20C293CB">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shd w:val="clear" w:color="auto" w:fill="FFFFFF"/>
        </w:rPr>
        <w:t>1.推进森林火险预警监测系统建设。</w:t>
      </w:r>
      <w:r>
        <w:rPr>
          <w:rFonts w:hint="eastAsia" w:ascii="仿宋" w:hAnsi="仿宋" w:eastAsia="仿宋" w:cs="仿宋"/>
          <w:b w:val="0"/>
          <w:bCs w:val="0"/>
          <w:sz w:val="32"/>
          <w:szCs w:val="32"/>
          <w:highlight w:val="none"/>
        </w:rPr>
        <w:t>完善森林火险预警系统，升级改造现有的火险要素监测站和可燃物因子采集站，新建森林火险综合监测站、森林因子电子显示屏、配备手持森林火险监测仪</w:t>
      </w:r>
      <w:r>
        <w:rPr>
          <w:rFonts w:hint="eastAsia" w:ascii="仿宋" w:hAnsi="仿宋" w:eastAsia="仿宋" w:cs="仿宋"/>
          <w:b w:val="0"/>
          <w:bCs w:val="0"/>
          <w:sz w:val="32"/>
          <w:szCs w:val="32"/>
          <w:highlight w:val="none"/>
          <w:lang w:eastAsia="zh-CN"/>
        </w:rPr>
        <w:t>等场地设备</w:t>
      </w:r>
      <w:r>
        <w:rPr>
          <w:rFonts w:hint="eastAsia" w:ascii="仿宋" w:hAnsi="仿宋" w:eastAsia="仿宋" w:cs="仿宋"/>
          <w:b w:val="0"/>
          <w:bCs w:val="0"/>
          <w:sz w:val="32"/>
          <w:szCs w:val="32"/>
          <w:highlight w:val="none"/>
        </w:rPr>
        <w:t>。加密林火视频监控和高山瞭望，实现森林火情24小时不间断探测和自动报警。新建视频监控系统</w:t>
      </w:r>
      <w:r>
        <w:rPr>
          <w:rFonts w:hint="eastAsia" w:ascii="仿宋" w:hAnsi="仿宋" w:eastAsia="仿宋" w:cs="仿宋"/>
          <w:b w:val="0"/>
          <w:bCs w:val="0"/>
          <w:sz w:val="32"/>
          <w:szCs w:val="32"/>
          <w:highlight w:val="none"/>
          <w:lang w:eastAsia="zh-CN"/>
        </w:rPr>
        <w:t>一批</w:t>
      </w:r>
      <w:r>
        <w:rPr>
          <w:rFonts w:hint="eastAsia" w:ascii="仿宋" w:hAnsi="仿宋" w:eastAsia="仿宋" w:cs="仿宋"/>
          <w:b w:val="0"/>
          <w:bCs w:val="0"/>
          <w:sz w:val="32"/>
          <w:szCs w:val="32"/>
          <w:highlight w:val="none"/>
        </w:rPr>
        <w:t>，并接入森林防灭火视频监控网络系统。在适宜人工瞭望监测的林区，新建瞭望塔（台），进一步增加监测覆盖率。</w:t>
      </w:r>
    </w:p>
    <w:p w14:paraId="73A69FF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2.推进</w:t>
      </w:r>
      <w:r>
        <w:rPr>
          <w:rFonts w:hint="eastAsia" w:ascii="仿宋" w:hAnsi="仿宋" w:eastAsia="仿宋" w:cs="仿宋"/>
          <w:b w:val="0"/>
          <w:bCs w:val="0"/>
          <w:color w:val="000000"/>
          <w:kern w:val="0"/>
          <w:sz w:val="32"/>
          <w:szCs w:val="32"/>
          <w:highlight w:val="none"/>
          <w:shd w:val="clear" w:color="auto" w:fill="FFFFFF"/>
        </w:rPr>
        <w:t>森林防灭火信息管理与指挥系统建设。</w:t>
      </w:r>
      <w:r>
        <w:rPr>
          <w:rFonts w:hint="eastAsia" w:ascii="仿宋" w:hAnsi="仿宋" w:eastAsia="仿宋" w:cs="仿宋"/>
          <w:b w:val="0"/>
          <w:bCs w:val="0"/>
          <w:sz w:val="32"/>
          <w:szCs w:val="32"/>
          <w:highlight w:val="none"/>
        </w:rPr>
        <w:t>重点加强森林防灭火指挥中心、森林防灭火业务软件应用系统和运维保障系统的森林防灭火信息指挥系统建设，全面提高基于信息系统的森林防灭火指挥管理能力。</w:t>
      </w:r>
    </w:p>
    <w:p w14:paraId="28940EC2">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shd w:val="clear" w:color="auto" w:fill="FFFFFF"/>
        </w:rPr>
        <w:t>3.加强森林防灭火队伍能力建设。</w:t>
      </w:r>
      <w:r>
        <w:rPr>
          <w:rFonts w:hint="eastAsia" w:ascii="仿宋" w:hAnsi="仿宋" w:eastAsia="仿宋" w:cs="仿宋"/>
          <w:b w:val="0"/>
          <w:bCs w:val="0"/>
          <w:sz w:val="32"/>
          <w:szCs w:val="32"/>
          <w:highlight w:val="none"/>
        </w:rPr>
        <w:t>森林消防专业队伍标准化建设，</w:t>
      </w:r>
      <w:r>
        <w:rPr>
          <w:rFonts w:hint="eastAsia" w:ascii="仿宋" w:hAnsi="仿宋" w:eastAsia="仿宋" w:cs="仿宋"/>
          <w:b w:val="0"/>
          <w:bCs w:val="0"/>
          <w:sz w:val="32"/>
          <w:szCs w:val="32"/>
          <w:highlight w:val="none"/>
          <w:lang w:eastAsia="zh-CN"/>
        </w:rPr>
        <w:t>实现</w:t>
      </w:r>
      <w:r>
        <w:rPr>
          <w:rFonts w:hint="eastAsia" w:ascii="仿宋" w:hAnsi="仿宋" w:eastAsia="仿宋" w:cs="仿宋"/>
          <w:b w:val="0"/>
          <w:bCs w:val="0"/>
          <w:sz w:val="32"/>
          <w:szCs w:val="32"/>
          <w:highlight w:val="none"/>
        </w:rPr>
        <w:t>新建和现有森林消防</w:t>
      </w:r>
      <w:r>
        <w:rPr>
          <w:rFonts w:hint="eastAsia" w:ascii="仿宋" w:hAnsi="仿宋" w:eastAsia="仿宋" w:cs="仿宋"/>
          <w:b w:val="0"/>
          <w:bCs w:val="0"/>
          <w:sz w:val="32"/>
          <w:szCs w:val="32"/>
          <w:highlight w:val="none"/>
          <w:lang w:eastAsia="zh-CN"/>
        </w:rPr>
        <w:t>专业</w:t>
      </w:r>
      <w:r>
        <w:rPr>
          <w:rFonts w:hint="eastAsia" w:ascii="仿宋" w:hAnsi="仿宋" w:eastAsia="仿宋" w:cs="仿宋"/>
          <w:b w:val="0"/>
          <w:bCs w:val="0"/>
          <w:sz w:val="32"/>
          <w:szCs w:val="32"/>
          <w:highlight w:val="none"/>
        </w:rPr>
        <w:t>队伍配备</w:t>
      </w:r>
      <w:r>
        <w:rPr>
          <w:rFonts w:hint="eastAsia" w:ascii="仿宋" w:hAnsi="仿宋" w:eastAsia="仿宋" w:cs="仿宋"/>
          <w:b w:val="0"/>
          <w:bCs w:val="0"/>
          <w:sz w:val="32"/>
          <w:szCs w:val="32"/>
          <w:highlight w:val="none"/>
          <w:lang w:eastAsia="zh-CN"/>
        </w:rPr>
        <w:t>标准化</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加强</w:t>
      </w:r>
      <w:r>
        <w:rPr>
          <w:rFonts w:hint="eastAsia" w:ascii="仿宋" w:hAnsi="仿宋" w:eastAsia="仿宋" w:cs="仿宋"/>
          <w:b w:val="0"/>
          <w:bCs w:val="0"/>
          <w:sz w:val="32"/>
          <w:szCs w:val="32"/>
          <w:highlight w:val="none"/>
        </w:rPr>
        <w:t>以水灭火设施设备建设。配备森林消防水车</w:t>
      </w:r>
      <w:r>
        <w:rPr>
          <w:rFonts w:hint="eastAsia" w:ascii="仿宋" w:hAnsi="仿宋" w:eastAsia="仿宋" w:cs="仿宋"/>
          <w:b w:val="0"/>
          <w:bCs w:val="0"/>
          <w:sz w:val="32"/>
          <w:szCs w:val="32"/>
          <w:highlight w:val="none"/>
          <w:lang w:eastAsia="zh-CN"/>
        </w:rPr>
        <w:t>和</w:t>
      </w:r>
      <w:r>
        <w:rPr>
          <w:rFonts w:hint="eastAsia" w:ascii="仿宋" w:hAnsi="仿宋" w:eastAsia="仿宋" w:cs="仿宋"/>
          <w:b w:val="0"/>
          <w:bCs w:val="0"/>
          <w:sz w:val="32"/>
          <w:szCs w:val="32"/>
          <w:highlight w:val="none"/>
        </w:rPr>
        <w:t>森林消防水泵</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设置森林消防水池，使森林消防专业队伍具备以水灭火能力，提升控制森林火灾的效果。完善专职护林员队伍装备建设。为专职护林员配备必要的摩托车，望远镜、红外探测仪、巡护服</w:t>
      </w:r>
      <w:r>
        <w:rPr>
          <w:rFonts w:hint="eastAsia" w:ascii="仿宋" w:hAnsi="仿宋" w:eastAsia="仿宋" w:cs="仿宋"/>
          <w:b w:val="0"/>
          <w:bCs w:val="0"/>
          <w:sz w:val="32"/>
          <w:szCs w:val="32"/>
          <w:highlight w:val="none"/>
          <w:lang w:eastAsia="zh-CN"/>
        </w:rPr>
        <w:t>等设备</w:t>
      </w:r>
      <w:r>
        <w:rPr>
          <w:rFonts w:hint="eastAsia" w:ascii="仿宋" w:hAnsi="仿宋" w:eastAsia="仿宋" w:cs="仿宋"/>
          <w:b w:val="0"/>
          <w:bCs w:val="0"/>
          <w:sz w:val="32"/>
          <w:szCs w:val="32"/>
          <w:highlight w:val="none"/>
        </w:rPr>
        <w:t>。</w:t>
      </w:r>
    </w:p>
    <w:p w14:paraId="7DCB389C">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shd w:val="clear" w:color="auto" w:fill="FFFFFF"/>
        </w:rPr>
        <w:t>4.推进森林航空消防能力建设。</w:t>
      </w:r>
      <w:r>
        <w:rPr>
          <w:rFonts w:hint="eastAsia" w:ascii="仿宋" w:hAnsi="仿宋" w:eastAsia="仿宋" w:cs="仿宋"/>
          <w:b w:val="0"/>
          <w:bCs w:val="0"/>
          <w:sz w:val="32"/>
          <w:szCs w:val="32"/>
          <w:highlight w:val="none"/>
        </w:rPr>
        <w:t>推进驻防基地建设、机降点建设、通讯装备建设和无人机</w:t>
      </w:r>
      <w:r>
        <w:rPr>
          <w:rFonts w:hint="eastAsia" w:ascii="仿宋" w:hAnsi="仿宋" w:eastAsia="仿宋" w:cs="仿宋"/>
          <w:b w:val="0"/>
          <w:bCs w:val="0"/>
          <w:sz w:val="32"/>
          <w:szCs w:val="32"/>
          <w:highlight w:val="none"/>
          <w:lang w:eastAsia="zh-CN"/>
        </w:rPr>
        <w:t>建设</w:t>
      </w:r>
      <w:r>
        <w:rPr>
          <w:rFonts w:hint="eastAsia" w:ascii="仿宋" w:hAnsi="仿宋" w:eastAsia="仿宋" w:cs="仿宋"/>
          <w:b w:val="0"/>
          <w:bCs w:val="0"/>
          <w:sz w:val="32"/>
          <w:szCs w:val="32"/>
          <w:highlight w:val="none"/>
        </w:rPr>
        <w:t>。</w:t>
      </w:r>
    </w:p>
    <w:p w14:paraId="477317E9">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lang w:eastAsia="zh-CN"/>
        </w:rPr>
      </w:pPr>
      <w:r>
        <w:rPr>
          <w:rFonts w:hint="eastAsia" w:ascii="仿宋" w:hAnsi="仿宋" w:eastAsia="仿宋" w:cs="仿宋"/>
          <w:b w:val="0"/>
          <w:bCs w:val="0"/>
          <w:color w:val="000000"/>
          <w:kern w:val="0"/>
          <w:sz w:val="32"/>
          <w:szCs w:val="32"/>
          <w:highlight w:val="none"/>
          <w:shd w:val="clear" w:color="auto" w:fill="FFFFFF"/>
        </w:rPr>
        <w:t>5.推进林火阻隔系统建设。</w:t>
      </w:r>
      <w:r>
        <w:rPr>
          <w:rFonts w:hint="eastAsia" w:ascii="仿宋" w:hAnsi="仿宋" w:eastAsia="仿宋" w:cs="仿宋"/>
          <w:b w:val="0"/>
          <w:bCs w:val="0"/>
          <w:sz w:val="32"/>
          <w:szCs w:val="32"/>
          <w:highlight w:val="none"/>
        </w:rPr>
        <w:t>重点</w:t>
      </w:r>
      <w:r>
        <w:rPr>
          <w:rFonts w:hint="eastAsia" w:ascii="仿宋" w:hAnsi="仿宋" w:eastAsia="仿宋" w:cs="仿宋"/>
          <w:b w:val="0"/>
          <w:bCs w:val="0"/>
          <w:sz w:val="32"/>
          <w:szCs w:val="32"/>
          <w:highlight w:val="none"/>
          <w:lang w:eastAsia="zh-CN"/>
        </w:rPr>
        <w:t>加强</w:t>
      </w:r>
      <w:r>
        <w:rPr>
          <w:rFonts w:hint="eastAsia" w:ascii="仿宋" w:hAnsi="仿宋" w:eastAsia="仿宋" w:cs="仿宋"/>
          <w:b w:val="0"/>
          <w:bCs w:val="0"/>
          <w:sz w:val="32"/>
          <w:szCs w:val="32"/>
          <w:highlight w:val="none"/>
        </w:rPr>
        <w:t>生物防火林带维护和建设，</w:t>
      </w:r>
      <w:r>
        <w:rPr>
          <w:rFonts w:hint="eastAsia" w:ascii="仿宋" w:hAnsi="仿宋" w:eastAsia="仿宋" w:cs="仿宋"/>
          <w:b w:val="0"/>
          <w:bCs w:val="0"/>
          <w:sz w:val="32"/>
          <w:szCs w:val="32"/>
          <w:highlight w:val="none"/>
          <w:lang w:eastAsia="zh-CN"/>
        </w:rPr>
        <w:t>推动全市</w:t>
      </w:r>
      <w:r>
        <w:rPr>
          <w:rFonts w:hint="eastAsia" w:ascii="仿宋" w:hAnsi="仿宋" w:eastAsia="仿宋" w:cs="仿宋"/>
          <w:b w:val="0"/>
          <w:bCs w:val="0"/>
          <w:sz w:val="32"/>
          <w:szCs w:val="32"/>
          <w:highlight w:val="none"/>
        </w:rPr>
        <w:t>森林防火应急道路、防火线等阻隔系统</w:t>
      </w:r>
      <w:r>
        <w:rPr>
          <w:rFonts w:hint="eastAsia" w:ascii="仿宋" w:hAnsi="仿宋" w:eastAsia="仿宋" w:cs="仿宋"/>
          <w:b w:val="0"/>
          <w:bCs w:val="0"/>
          <w:sz w:val="32"/>
          <w:szCs w:val="32"/>
          <w:highlight w:val="none"/>
          <w:lang w:eastAsia="zh-CN"/>
        </w:rPr>
        <w:t>建设。</w:t>
      </w:r>
    </w:p>
    <w:p w14:paraId="6087D35E">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14" w:name="_Toc10493"/>
      <w:r>
        <w:rPr>
          <w:rFonts w:hint="eastAsia" w:ascii="楷体" w:hAnsi="楷体" w:eastAsia="楷体" w:cs="楷体"/>
          <w:b w:val="0"/>
          <w:bCs w:val="0"/>
          <w:sz w:val="32"/>
          <w:szCs w:val="32"/>
          <w:highlight w:val="none"/>
          <w:lang w:eastAsia="zh-CN"/>
        </w:rPr>
        <w:t>（六）</w:t>
      </w:r>
      <w:r>
        <w:rPr>
          <w:rFonts w:hint="eastAsia" w:ascii="楷体" w:hAnsi="楷体" w:eastAsia="楷体" w:cs="楷体"/>
          <w:b w:val="0"/>
          <w:bCs w:val="0"/>
          <w:sz w:val="32"/>
          <w:szCs w:val="32"/>
          <w:highlight w:val="none"/>
        </w:rPr>
        <w:t>强化非煤矿山安全监管，维护矿山安全发展。</w:t>
      </w:r>
      <w:bookmarkEnd w:id="14"/>
    </w:p>
    <w:p w14:paraId="35E1B6C5">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shd w:val="clear" w:color="auto" w:fill="FFFFFF"/>
        </w:rPr>
        <w:t>持续推进非煤矿山安全生产专项整治三年行动</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完善和落实重在从根本上消除非煤矿山事故隐患的责任链条、制度成果、管理办法、重点工程、工作机制</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扎实推进安全生产治理体系和治理能力现代化。</w:t>
      </w:r>
    </w:p>
    <w:p w14:paraId="0F7933E2">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1.强化安全生产源头治理。提高非煤矿山安全准入门槛</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严格安全设施设计审查和安全生产许可证颁发管理。实施淘汰关闭一批、整合重组一批、改造提升一批</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三个一批</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措施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全市关闭不符合法定安全生产条件的非煤矿山企业</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座以上</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强制淘汰落后工艺设备</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确保非金属矿山第一批和第二批禁止使用的设备及工艺目录全部落实到位</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全面完成安全风险综合评估、安全生产风险</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一张图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一矿一策</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工作。智慧矿山管理系统全面运行</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以风险分级管控和隐患排查治理为重点的安全预防控制体系建立完善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切实防范化解安全风险</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有效遏制事故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明显提高非煤矿山安全生产整体水平。</w:t>
      </w:r>
    </w:p>
    <w:p w14:paraId="49810C8C">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2.强化安全生产责任落实。严格落实企业主体责任。建立非煤矿山企业主动报告安全生产风险制度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推动落实企业全员安全生产责任制、企业主要负责人“安全生产承诺制”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督促企业依法设置安全生产管理机构或者配备专职安全管理人员。推动非煤矿山企业安全标准化达标升级和安全生产规范化工作。严格落实政府监管责任。发布非煤矿山安全监管权力责任清单，明确相关部门非煤矿山安全责任边界，大力消除监管盲区和制度漏洞。建立完善非煤矿山安全监管工作开展情况定期通报制度和会商研判机制，加大对</w:t>
      </w:r>
      <w:r>
        <w:rPr>
          <w:rFonts w:hint="eastAsia" w:ascii="仿宋" w:hAnsi="仿宋" w:eastAsia="仿宋" w:cs="仿宋"/>
          <w:b w:val="0"/>
          <w:bCs w:val="0"/>
          <w:sz w:val="32"/>
          <w:szCs w:val="32"/>
          <w:highlight w:val="none"/>
          <w:lang w:eastAsia="zh-CN"/>
        </w:rPr>
        <w:t>辖区内</w:t>
      </w:r>
      <w:r>
        <w:rPr>
          <w:rFonts w:hint="eastAsia" w:ascii="仿宋" w:hAnsi="仿宋" w:eastAsia="仿宋" w:cs="仿宋"/>
          <w:b w:val="0"/>
          <w:bCs w:val="0"/>
          <w:sz w:val="32"/>
          <w:szCs w:val="32"/>
          <w:highlight w:val="none"/>
        </w:rPr>
        <w:t>非煤矿山安全工作督导力度，推动落实重点</w:t>
      </w:r>
      <w:r>
        <w:rPr>
          <w:rFonts w:hint="eastAsia" w:ascii="仿宋" w:hAnsi="仿宋" w:eastAsia="仿宋" w:cs="仿宋"/>
          <w:b w:val="0"/>
          <w:bCs w:val="0"/>
          <w:sz w:val="32"/>
          <w:szCs w:val="32"/>
          <w:highlight w:val="none"/>
          <w:lang w:eastAsia="zh-CN"/>
        </w:rPr>
        <w:t>镇（街道）</w:t>
      </w:r>
      <w:r>
        <w:rPr>
          <w:rFonts w:hint="eastAsia" w:ascii="仿宋" w:hAnsi="仿宋" w:eastAsia="仿宋" w:cs="仿宋"/>
          <w:b w:val="0"/>
          <w:bCs w:val="0"/>
          <w:sz w:val="32"/>
          <w:szCs w:val="32"/>
          <w:highlight w:val="none"/>
        </w:rPr>
        <w:t>党</w:t>
      </w:r>
      <w:r>
        <w:rPr>
          <w:rFonts w:hint="eastAsia" w:ascii="仿宋" w:hAnsi="仿宋" w:eastAsia="仿宋" w:cs="仿宋"/>
          <w:b w:val="0"/>
          <w:bCs w:val="0"/>
          <w:sz w:val="32"/>
          <w:szCs w:val="32"/>
          <w:highlight w:val="none"/>
          <w:lang w:eastAsia="zh-CN"/>
        </w:rPr>
        <w:t>（工）</w:t>
      </w:r>
      <w:r>
        <w:rPr>
          <w:rFonts w:hint="eastAsia" w:ascii="仿宋" w:hAnsi="仿宋" w:eastAsia="仿宋" w:cs="仿宋"/>
          <w:b w:val="0"/>
          <w:bCs w:val="0"/>
          <w:sz w:val="32"/>
          <w:szCs w:val="32"/>
          <w:highlight w:val="none"/>
        </w:rPr>
        <w:t>委、政府</w:t>
      </w:r>
      <w:r>
        <w:rPr>
          <w:rFonts w:hint="eastAsia" w:ascii="仿宋" w:hAnsi="仿宋" w:eastAsia="仿宋" w:cs="仿宋"/>
          <w:b w:val="0"/>
          <w:bCs w:val="0"/>
          <w:sz w:val="32"/>
          <w:szCs w:val="32"/>
          <w:highlight w:val="none"/>
          <w:lang w:eastAsia="zh-CN"/>
        </w:rPr>
        <w:t>（办事处）</w:t>
      </w:r>
      <w:r>
        <w:rPr>
          <w:rFonts w:hint="eastAsia" w:ascii="仿宋" w:hAnsi="仿宋" w:eastAsia="仿宋" w:cs="仿宋"/>
          <w:b w:val="0"/>
          <w:bCs w:val="0"/>
          <w:sz w:val="32"/>
          <w:szCs w:val="32"/>
          <w:highlight w:val="none"/>
        </w:rPr>
        <w:t>的领导责任。全面实施安全风险分级管控和隐患排查治理双重预防性工作机制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深化</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三项监管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工作机制。</w:t>
      </w:r>
    </w:p>
    <w:p w14:paraId="7CCC320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3.加大监管执法力度。将打击非煤矿山安全生产违法违规行为贯穿三年行动全过程</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重点打击整治整合后的矿山管理不规范、整合不到位、建设项目安全设施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三同时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制度履行不严格、安全生产许可证有效期满未办理延期手续、安全生产责任制及安全管理制度不健全或者照抄照搬、安全管理人员配备不到位、未开展安全风险辨识评估或安全风险辨识评估不全面、不按批准的安全设施设计建设生产、未及时填绘图纸、现状图与实际严重不符、《金属非金属矿山重大生产安全事故隐患判定标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试行</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》中规定的重大事故隐患等突出问题和违法违规行为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持续强化典型事故防范措施落实</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提升非煤矿山本质安全水平。</w:t>
      </w:r>
    </w:p>
    <w:p w14:paraId="112C6200">
      <w:pPr>
        <w:spacing w:before="101" w:line="340" w:lineRule="auto"/>
        <w:ind w:right="20" w:firstLine="640" w:firstLineChars="200"/>
        <w:jc w:val="both"/>
        <w:rPr>
          <w:rFonts w:ascii="仿宋" w:hAnsi="仿宋" w:eastAsia="仿宋" w:cs="仿宋"/>
          <w:sz w:val="31"/>
          <w:szCs w:val="31"/>
          <w:highlight w:val="none"/>
        </w:rPr>
      </w:pP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.强化非煤矿山安全生产支撑能力。</w:t>
      </w:r>
      <w:r>
        <w:rPr>
          <w:rFonts w:ascii="仿宋" w:hAnsi="仿宋" w:eastAsia="仿宋" w:cs="仿宋"/>
          <w:spacing w:val="3"/>
          <w:sz w:val="31"/>
          <w:szCs w:val="31"/>
          <w:highlight w:val="none"/>
        </w:rPr>
        <w:t>严格非煤矿山企业主要负责人、安全生产管理人员安全生产知识和能力考核及特种作业</w:t>
      </w:r>
      <w:r>
        <w:rPr>
          <w:rFonts w:ascii="仿宋" w:hAnsi="仿宋" w:eastAsia="仿宋" w:cs="仿宋"/>
          <w:spacing w:val="8"/>
          <w:sz w:val="31"/>
          <w:szCs w:val="31"/>
          <w:highlight w:val="none"/>
        </w:rPr>
        <w:t>人员安全资格管理</w:t>
      </w:r>
      <w:r>
        <w:rPr>
          <w:rFonts w:hint="eastAsia" w:ascii="仿宋" w:hAnsi="仿宋" w:eastAsia="仿宋" w:cs="仿宋"/>
          <w:spacing w:val="8"/>
          <w:sz w:val="31"/>
          <w:szCs w:val="31"/>
          <w:highlight w:val="none"/>
          <w:lang w:eastAsia="zh-CN"/>
        </w:rPr>
        <w:t>，</w:t>
      </w:r>
      <w:r>
        <w:rPr>
          <w:rFonts w:ascii="仿宋" w:hAnsi="仿宋" w:eastAsia="仿宋" w:cs="仿宋"/>
          <w:spacing w:val="8"/>
          <w:sz w:val="31"/>
          <w:szCs w:val="31"/>
          <w:highlight w:val="none"/>
        </w:rPr>
        <w:t>实现企业主要负责人、安全管理人员、特种</w:t>
      </w:r>
      <w:r>
        <w:rPr>
          <w:rFonts w:ascii="仿宋" w:hAnsi="仿宋" w:eastAsia="仿宋" w:cs="仿宋"/>
          <w:spacing w:val="14"/>
          <w:sz w:val="31"/>
          <w:szCs w:val="31"/>
          <w:highlight w:val="none"/>
        </w:rPr>
        <w:t>作业人员持证上岗率100%。借助微信、</w:t>
      </w:r>
      <w:r>
        <w:rPr>
          <w:rFonts w:hint="eastAsia" w:ascii="仿宋" w:hAnsi="仿宋" w:eastAsia="仿宋" w:cs="仿宋"/>
          <w:spacing w:val="14"/>
          <w:sz w:val="31"/>
          <w:szCs w:val="31"/>
          <w:highlight w:val="none"/>
          <w:lang w:eastAsia="zh-CN"/>
        </w:rPr>
        <w:t>“</w:t>
      </w:r>
      <w:r>
        <w:rPr>
          <w:rFonts w:ascii="仿宋" w:hAnsi="仿宋" w:eastAsia="仿宋" w:cs="仿宋"/>
          <w:spacing w:val="14"/>
          <w:sz w:val="31"/>
          <w:szCs w:val="31"/>
          <w:highlight w:val="none"/>
        </w:rPr>
        <w:t>一键通</w:t>
      </w:r>
      <w:r>
        <w:rPr>
          <w:rFonts w:hint="eastAsia" w:ascii="仿宋" w:hAnsi="仿宋" w:eastAsia="仿宋" w:cs="仿宋"/>
          <w:spacing w:val="14"/>
          <w:sz w:val="31"/>
          <w:szCs w:val="31"/>
          <w:highlight w:val="none"/>
          <w:lang w:eastAsia="zh-CN"/>
        </w:rPr>
        <w:t>”</w:t>
      </w:r>
      <w:r>
        <w:rPr>
          <w:rFonts w:ascii="仿宋" w:hAnsi="仿宋" w:eastAsia="仿宋" w:cs="仿宋"/>
          <w:spacing w:val="14"/>
          <w:sz w:val="31"/>
          <w:szCs w:val="31"/>
          <w:highlight w:val="none"/>
        </w:rPr>
        <w:t>等便捷高效的</w:t>
      </w:r>
      <w:r>
        <w:rPr>
          <w:rFonts w:ascii="仿宋" w:hAnsi="仿宋" w:eastAsia="仿宋" w:cs="仿宋"/>
          <w:spacing w:val="15"/>
          <w:sz w:val="31"/>
          <w:szCs w:val="31"/>
          <w:highlight w:val="none"/>
        </w:rPr>
        <w:t>模式</w:t>
      </w:r>
      <w:r>
        <w:rPr>
          <w:rFonts w:hint="eastAsia" w:ascii="仿宋" w:hAnsi="仿宋" w:eastAsia="仿宋" w:cs="仿宋"/>
          <w:spacing w:val="15"/>
          <w:sz w:val="31"/>
          <w:szCs w:val="31"/>
          <w:highlight w:val="none"/>
          <w:lang w:eastAsia="zh-CN"/>
        </w:rPr>
        <w:t>，</w:t>
      </w:r>
      <w:r>
        <w:rPr>
          <w:rFonts w:ascii="仿宋" w:hAnsi="仿宋" w:eastAsia="仿宋" w:cs="仿宋"/>
          <w:spacing w:val="15"/>
          <w:sz w:val="31"/>
          <w:szCs w:val="31"/>
          <w:highlight w:val="none"/>
        </w:rPr>
        <w:t>通过线上线下教育相结合的方式</w:t>
      </w:r>
      <w:r>
        <w:rPr>
          <w:rFonts w:hint="eastAsia" w:ascii="仿宋" w:hAnsi="仿宋" w:eastAsia="仿宋" w:cs="仿宋"/>
          <w:spacing w:val="15"/>
          <w:sz w:val="31"/>
          <w:szCs w:val="31"/>
          <w:highlight w:val="none"/>
          <w:lang w:eastAsia="zh-CN"/>
        </w:rPr>
        <w:t>，</w:t>
      </w:r>
      <w:r>
        <w:rPr>
          <w:rFonts w:ascii="仿宋" w:hAnsi="仿宋" w:eastAsia="仿宋" w:cs="仿宋"/>
          <w:spacing w:val="15"/>
          <w:sz w:val="31"/>
          <w:szCs w:val="31"/>
          <w:highlight w:val="none"/>
        </w:rPr>
        <w:t>对非煤矿山从业人员开</w:t>
      </w:r>
      <w:r>
        <w:rPr>
          <w:rFonts w:ascii="仿宋" w:hAnsi="仿宋" w:eastAsia="仿宋" w:cs="仿宋"/>
          <w:spacing w:val="3"/>
          <w:sz w:val="31"/>
          <w:szCs w:val="31"/>
          <w:highlight w:val="none"/>
        </w:rPr>
        <w:t>展全员安全教育培训。着力构建社会力量深度参与和监督机制。推动技术力量不足的非煤矿山企业与安全生产中介机构等社会组</w:t>
      </w:r>
      <w:r>
        <w:rPr>
          <w:rFonts w:ascii="仿宋" w:hAnsi="仿宋" w:eastAsia="仿宋" w:cs="仿宋"/>
          <w:spacing w:val="4"/>
          <w:sz w:val="31"/>
          <w:szCs w:val="31"/>
          <w:highlight w:val="none"/>
        </w:rPr>
        <w:t>织签订长期服务协议。推进安全生产责任保险制度在非煤矿山领</w:t>
      </w:r>
      <w:r>
        <w:rPr>
          <w:rFonts w:ascii="仿宋" w:hAnsi="仿宋" w:eastAsia="仿宋" w:cs="仿宋"/>
          <w:spacing w:val="-5"/>
          <w:sz w:val="31"/>
          <w:szCs w:val="31"/>
          <w:highlight w:val="none"/>
        </w:rPr>
        <w:t>域全面落实。</w:t>
      </w:r>
    </w:p>
    <w:p w14:paraId="67B42E4C">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15" w:name="_Toc24335"/>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eastAsia="zh-CN"/>
        </w:rPr>
        <w:t>七</w:t>
      </w:r>
      <w:r>
        <w:rPr>
          <w:rFonts w:hint="eastAsia" w:ascii="楷体" w:hAnsi="楷体" w:eastAsia="楷体" w:cs="楷体"/>
          <w:b w:val="0"/>
          <w:bCs w:val="0"/>
          <w:sz w:val="32"/>
          <w:szCs w:val="32"/>
          <w:highlight w:val="none"/>
        </w:rPr>
        <w:t>）强化危险化学品</w:t>
      </w:r>
      <w:r>
        <w:rPr>
          <w:rFonts w:hint="eastAsia" w:ascii="楷体" w:hAnsi="楷体" w:eastAsia="楷体" w:cs="楷体"/>
          <w:b w:val="0"/>
          <w:bCs w:val="0"/>
          <w:sz w:val="32"/>
          <w:szCs w:val="32"/>
          <w:highlight w:val="none"/>
          <w:lang w:eastAsia="zh-CN"/>
        </w:rPr>
        <w:t>和烟花爆竹</w:t>
      </w:r>
      <w:r>
        <w:rPr>
          <w:rFonts w:hint="eastAsia" w:ascii="楷体" w:hAnsi="楷体" w:eastAsia="楷体" w:cs="楷体"/>
          <w:b w:val="0"/>
          <w:bCs w:val="0"/>
          <w:sz w:val="32"/>
          <w:szCs w:val="32"/>
          <w:highlight w:val="none"/>
        </w:rPr>
        <w:t>安全监管，持续保持安全稳定。</w:t>
      </w:r>
      <w:bookmarkEnd w:id="15"/>
    </w:p>
    <w:p w14:paraId="45FDB6AB">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严格安全准入制度。在危险化学品建设项目立项阶段，对涉及“两重点一重大”的危险化学品建设项目，推动实施多部门联合审批。落实禁、限、控措施，严格执行《梅州市危险化学品禁止、限制和控制目录（试行）》。科学规划产业布局，严格实施源头治理。配合统筹安排危险化学品行业产业布局，严格控制危险化学品企业周边安全距离。</w:t>
      </w:r>
    </w:p>
    <w:p w14:paraId="32AF1143">
      <w:pPr>
        <w:spacing w:before="104" w:line="325" w:lineRule="auto"/>
        <w:ind w:right="24" w:firstLine="640" w:firstLineChars="200"/>
        <w:jc w:val="both"/>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加强危险化学品风险点危险源排查管控。督促危险化学品企业全部接入预警系统，对危险化学品风险点危险源实现全市一张图监控，对危险化学品风险点危险源的安全现状、证照情况、隐患排查、执法检查实现情况收集和实时监控，实现信息化管理。根据危险化学品企业风险点危险源的底数、分布和安全状况，按照“分区域、分级别、网格化”原则，实施差异化管理。落实企业安全内</w:t>
      </w:r>
      <w:r>
        <w:rPr>
          <w:rFonts w:hint="eastAsia" w:ascii="仿宋" w:hAnsi="仿宋" w:eastAsia="仿宋" w:cs="仿宋"/>
          <w:b w:val="0"/>
          <w:bCs w:val="0"/>
          <w:sz w:val="32"/>
          <w:szCs w:val="32"/>
          <w:highlight w:val="none"/>
          <w:lang w:eastAsia="zh-CN"/>
        </w:rPr>
        <w:t>部</w:t>
      </w:r>
      <w:r>
        <w:rPr>
          <w:rFonts w:hint="eastAsia" w:ascii="仿宋" w:hAnsi="仿宋" w:eastAsia="仿宋" w:cs="仿宋"/>
          <w:b w:val="0"/>
          <w:bCs w:val="0"/>
          <w:sz w:val="32"/>
          <w:szCs w:val="32"/>
          <w:highlight w:val="none"/>
        </w:rPr>
        <w:t>分级管控岗位责任，重点加强对城市危险化学品企业、石油储罐区等危险化学品企业风险管控。加强“两重点一重大”安全管控</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建立危险化学品重大危险源数据库</w:t>
      </w:r>
      <w:r>
        <w:rPr>
          <w:rFonts w:hint="eastAsia" w:ascii="仿宋" w:hAnsi="仿宋" w:eastAsia="仿宋" w:cs="仿宋"/>
          <w:b w:val="0"/>
          <w:bCs w:val="0"/>
          <w:sz w:val="32"/>
          <w:szCs w:val="32"/>
          <w:highlight w:val="none"/>
          <w:lang w:eastAsia="zh-CN"/>
        </w:rPr>
        <w:t>。</w:t>
      </w:r>
      <w:r>
        <w:rPr>
          <w:rFonts w:ascii="仿宋" w:hAnsi="仿宋" w:eastAsia="仿宋" w:cs="仿宋"/>
          <w:sz w:val="32"/>
          <w:szCs w:val="32"/>
          <w:highlight w:val="none"/>
        </w:rPr>
        <w:t>健全危险化学品安全监管体制机制</w:t>
      </w:r>
      <w:r>
        <w:rPr>
          <w:rFonts w:hint="eastAsia" w:ascii="仿宋" w:hAnsi="仿宋" w:eastAsia="仿宋" w:cs="仿宋"/>
          <w:sz w:val="32"/>
          <w:szCs w:val="32"/>
          <w:highlight w:val="none"/>
          <w:lang w:eastAsia="zh-CN"/>
        </w:rPr>
        <w:t>，</w:t>
      </w:r>
      <w:r>
        <w:rPr>
          <w:rFonts w:ascii="仿宋" w:hAnsi="仿宋" w:eastAsia="仿宋" w:cs="仿宋"/>
          <w:sz w:val="32"/>
          <w:szCs w:val="32"/>
          <w:highlight w:val="none"/>
        </w:rPr>
        <w:t>完</w:t>
      </w:r>
      <w:r>
        <w:rPr>
          <w:rFonts w:ascii="仿宋" w:hAnsi="仿宋" w:eastAsia="仿宋" w:cs="仿宋"/>
          <w:spacing w:val="-2"/>
          <w:sz w:val="32"/>
          <w:szCs w:val="32"/>
          <w:highlight w:val="none"/>
        </w:rPr>
        <w:t>善危险化学品安全监管部门联席会议制度</w:t>
      </w:r>
      <w:r>
        <w:rPr>
          <w:rFonts w:hint="eastAsia" w:ascii="仿宋" w:hAnsi="仿宋" w:eastAsia="仿宋" w:cs="仿宋"/>
          <w:spacing w:val="-2"/>
          <w:sz w:val="32"/>
          <w:szCs w:val="32"/>
          <w:highlight w:val="none"/>
          <w:lang w:eastAsia="zh-CN"/>
        </w:rPr>
        <w:t>，</w:t>
      </w:r>
      <w:r>
        <w:rPr>
          <w:rFonts w:ascii="仿宋" w:hAnsi="仿宋" w:eastAsia="仿宋" w:cs="仿宋"/>
          <w:spacing w:val="-2"/>
          <w:sz w:val="32"/>
          <w:szCs w:val="32"/>
          <w:highlight w:val="none"/>
        </w:rPr>
        <w:t>推动建立应急管理部</w:t>
      </w:r>
      <w:r>
        <w:rPr>
          <w:rFonts w:ascii="仿宋" w:hAnsi="仿宋" w:eastAsia="仿宋" w:cs="仿宋"/>
          <w:spacing w:val="-9"/>
          <w:sz w:val="32"/>
          <w:szCs w:val="32"/>
          <w:highlight w:val="none"/>
        </w:rPr>
        <w:t>门与各行业主管部门之间危险化学品重大危险源信息共享机制。</w:t>
      </w:r>
      <w:r>
        <w:rPr>
          <w:rFonts w:ascii="仿宋" w:hAnsi="仿宋" w:eastAsia="仿宋" w:cs="仿宋"/>
          <w:spacing w:val="-1"/>
          <w:sz w:val="32"/>
          <w:szCs w:val="32"/>
          <w:highlight w:val="none"/>
        </w:rPr>
        <w:t>强化危险化学品安全监管队伍建设</w:t>
      </w:r>
      <w:r>
        <w:rPr>
          <w:rFonts w:hint="eastAsia" w:ascii="仿宋" w:hAnsi="仿宋" w:eastAsia="仿宋" w:cs="仿宋"/>
          <w:spacing w:val="-1"/>
          <w:sz w:val="32"/>
          <w:szCs w:val="32"/>
          <w:highlight w:val="none"/>
          <w:lang w:eastAsia="zh-CN"/>
        </w:rPr>
        <w:t>，</w:t>
      </w:r>
      <w:r>
        <w:rPr>
          <w:rFonts w:ascii="仿宋" w:hAnsi="仿宋" w:eastAsia="仿宋" w:cs="仿宋"/>
          <w:spacing w:val="-1"/>
          <w:sz w:val="32"/>
          <w:szCs w:val="32"/>
          <w:highlight w:val="none"/>
        </w:rPr>
        <w:t>实现专业监管人员配比不低</w:t>
      </w:r>
      <w:r>
        <w:rPr>
          <w:rFonts w:ascii="仿宋" w:hAnsi="仿宋" w:eastAsia="仿宋" w:cs="仿宋"/>
          <w:spacing w:val="4"/>
          <w:sz w:val="32"/>
          <w:szCs w:val="32"/>
          <w:highlight w:val="none"/>
        </w:rPr>
        <w:t>于在职人员的75%的要求。</w:t>
      </w:r>
    </w:p>
    <w:p w14:paraId="2046FCCA">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3.健全烟花爆竹经营、运输、储存和燃放各环节安全监管机制。优化烟花爆竹经营单位规划布点</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严格实施烟花爆竹经营许可准入</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大力推进烟花爆竹仓库改造提升</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全面推行应用烟花爆竹流向信息管理系统</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加强烟花爆竹道路运输安全管理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深入开展烟花爆竹领域事故隐患排查治理。积极推进烟花爆竹安全生产诚信体系建设。加大部门联合执法力度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依法查处烟花爆竹领域非法违法行为。</w:t>
      </w:r>
    </w:p>
    <w:p w14:paraId="4DBC0EE4">
      <w:pPr>
        <w:keepNext w:val="0"/>
        <w:keepLines w:val="0"/>
        <w:pageBreakBefore w:val="0"/>
        <w:kinsoku/>
        <w:wordWrap/>
        <w:overflowPunct/>
        <w:topLinePunct w:val="0"/>
        <w:bidi w:val="0"/>
        <w:adjustRightInd w:val="0"/>
        <w:snapToGrid w:val="0"/>
        <w:spacing w:line="560" w:lineRule="exact"/>
        <w:ind w:firstLine="608" w:firstLineChars="200"/>
        <w:jc w:val="both"/>
        <w:outlineLvl w:val="1"/>
        <w:rPr>
          <w:rFonts w:ascii="楷体" w:hAnsi="楷体" w:eastAsia="楷体" w:cs="楷体"/>
          <w:spacing w:val="-1"/>
          <w:w w:val="95"/>
          <w:sz w:val="32"/>
          <w:szCs w:val="32"/>
          <w:highlight w:val="none"/>
        </w:rPr>
      </w:pPr>
      <w:bookmarkStart w:id="16" w:name="_Toc24340"/>
      <w:r>
        <w:rPr>
          <w:rFonts w:hint="eastAsia" w:ascii="楷体" w:hAnsi="楷体" w:eastAsia="楷体" w:cs="楷体"/>
          <w:b w:val="0"/>
          <w:bCs w:val="0"/>
          <w:w w:val="95"/>
          <w:sz w:val="32"/>
          <w:szCs w:val="32"/>
          <w:highlight w:val="none"/>
          <w:lang w:eastAsia="zh-CN"/>
        </w:rPr>
        <w:t>（八）突出</w:t>
      </w:r>
      <w:r>
        <w:rPr>
          <w:rFonts w:hint="eastAsia" w:ascii="楷体" w:hAnsi="楷体" w:eastAsia="楷体" w:cs="楷体"/>
          <w:b w:val="0"/>
          <w:bCs w:val="0"/>
          <w:w w:val="95"/>
          <w:sz w:val="32"/>
          <w:szCs w:val="32"/>
          <w:highlight w:val="none"/>
        </w:rPr>
        <w:t>重点行业领域综合治理</w:t>
      </w:r>
      <w:r>
        <w:rPr>
          <w:rFonts w:hint="eastAsia" w:ascii="楷体" w:hAnsi="楷体" w:eastAsia="楷体" w:cs="楷体"/>
          <w:b w:val="0"/>
          <w:bCs w:val="0"/>
          <w:w w:val="95"/>
          <w:sz w:val="32"/>
          <w:szCs w:val="32"/>
          <w:highlight w:val="none"/>
          <w:lang w:eastAsia="zh-CN"/>
        </w:rPr>
        <w:t>，</w:t>
      </w:r>
      <w:r>
        <w:rPr>
          <w:rFonts w:ascii="楷体" w:hAnsi="楷体" w:eastAsia="楷体" w:cs="楷体"/>
          <w:spacing w:val="6"/>
          <w:w w:val="95"/>
          <w:sz w:val="32"/>
          <w:szCs w:val="32"/>
          <w:highlight w:val="none"/>
        </w:rPr>
        <w:t>有效防范</w:t>
      </w:r>
      <w:r>
        <w:rPr>
          <w:rFonts w:ascii="楷体" w:hAnsi="楷体" w:eastAsia="楷体" w:cs="楷体"/>
          <w:spacing w:val="-1"/>
          <w:w w:val="95"/>
          <w:sz w:val="32"/>
          <w:szCs w:val="32"/>
          <w:highlight w:val="none"/>
        </w:rPr>
        <w:t>化解安全风险。</w:t>
      </w:r>
      <w:bookmarkEnd w:id="16"/>
    </w:p>
    <w:p w14:paraId="537F21DD">
      <w:pPr>
        <w:keepNext w:val="0"/>
        <w:keepLines w:val="0"/>
        <w:pageBreakBefore w:val="0"/>
        <w:kinsoku/>
        <w:wordWrap/>
        <w:overflowPunct/>
        <w:topLinePunct w:val="0"/>
        <w:bidi w:val="0"/>
        <w:adjustRightInd w:val="0"/>
        <w:snapToGrid w:val="0"/>
        <w:spacing w:line="560" w:lineRule="exact"/>
        <w:ind w:firstLine="636" w:firstLineChars="200"/>
        <w:jc w:val="both"/>
        <w:outlineLvl w:val="9"/>
        <w:rPr>
          <w:rFonts w:hint="eastAsia" w:ascii="仿宋" w:hAnsi="仿宋" w:eastAsia="仿宋" w:cs="仿宋"/>
          <w:b w:val="0"/>
          <w:bCs w:val="0"/>
          <w:sz w:val="32"/>
          <w:szCs w:val="32"/>
          <w:highlight w:val="none"/>
          <w:lang w:eastAsia="zh-CN"/>
        </w:rPr>
      </w:pPr>
      <w:r>
        <w:rPr>
          <w:rFonts w:hint="eastAsia" w:ascii="仿宋" w:hAnsi="仿宋" w:eastAsia="仿宋" w:cs="仿宋"/>
          <w:spacing w:val="-1"/>
          <w:sz w:val="32"/>
          <w:szCs w:val="32"/>
          <w:highlight w:val="none"/>
        </w:rPr>
        <w:t>狠抓安全生产</w:t>
      </w: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rPr>
        <w:t>一线三排</w:t>
      </w: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rPr>
        <w:t>工作机制落实</w:t>
      </w: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rPr>
        <w:t>推进</w:t>
      </w:r>
      <w:r>
        <w:rPr>
          <w:rFonts w:hint="eastAsia" w:ascii="仿宋" w:hAnsi="仿宋" w:eastAsia="仿宋" w:cs="仿宋"/>
          <w:spacing w:val="-3"/>
          <w:sz w:val="32"/>
          <w:szCs w:val="32"/>
          <w:highlight w:val="none"/>
        </w:rPr>
        <w:t>安全生产专项整治三年行动</w:t>
      </w:r>
      <w:r>
        <w:rPr>
          <w:rFonts w:hint="eastAsia" w:ascii="仿宋" w:hAnsi="仿宋" w:eastAsia="仿宋" w:cs="仿宋"/>
          <w:spacing w:val="-3"/>
          <w:sz w:val="32"/>
          <w:szCs w:val="32"/>
          <w:highlight w:val="none"/>
          <w:lang w:eastAsia="zh-CN"/>
        </w:rPr>
        <w:t>，构建安全风险分级管控与隐患排查治理双重预防机制，推动安全生产关口前移，坚决防范和遏制较大以上安全生产事故发生，最大限度减少人员的伤亡和财产损失，</w:t>
      </w:r>
      <w:r>
        <w:rPr>
          <w:rFonts w:hint="eastAsia" w:ascii="仿宋" w:hAnsi="仿宋" w:eastAsia="仿宋" w:cs="仿宋"/>
          <w:spacing w:val="-3"/>
          <w:sz w:val="32"/>
          <w:szCs w:val="32"/>
          <w:highlight w:val="none"/>
        </w:rPr>
        <w:t>维护人民群众生命财产安全。</w:t>
      </w:r>
    </w:p>
    <w:p w14:paraId="49C17909">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道路运输安全整治。深入实施公路安全生命防护工程，巩固提升县乡公路安全隐患治理效果，推进实施干线公路灾害防治工程；依法加强对老旧客车的重点监管，加强对货车辅助制动装置使用情况的监督检查，</w:t>
      </w:r>
      <w:r>
        <w:rPr>
          <w:rFonts w:hint="eastAsia" w:ascii="仿宋" w:hAnsi="仿宋" w:eastAsia="仿宋" w:cs="仿宋"/>
          <w:b w:val="0"/>
          <w:bCs w:val="0"/>
          <w:sz w:val="32"/>
          <w:szCs w:val="32"/>
          <w:highlight w:val="none"/>
          <w:lang w:eastAsia="zh-CN"/>
        </w:rPr>
        <w:t>利用</w:t>
      </w:r>
      <w:r>
        <w:rPr>
          <w:rFonts w:hint="eastAsia" w:ascii="仿宋" w:hAnsi="仿宋" w:eastAsia="仿宋" w:cs="仿宋"/>
          <w:b w:val="0"/>
          <w:bCs w:val="0"/>
          <w:sz w:val="32"/>
          <w:szCs w:val="32"/>
          <w:highlight w:val="none"/>
        </w:rPr>
        <w:t>治超信息监管系统</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严格落实治超“一超四罚”措施，基本消除货车非法改装、“大吨小标”等违法违规突出问题；加强危险货物道路运输安全管理，督促运输企业落实主体责任，加强运输车辆和驾驶人动态监管，督促客运车辆司乘人员规范使用安全带，对存在重大隐患的运输企业实施挂牌督办，持续深化“</w:t>
      </w:r>
      <w:r>
        <w:rPr>
          <w:rFonts w:hint="eastAsia" w:ascii="仿宋" w:hAnsi="仿宋" w:eastAsia="仿宋" w:cs="仿宋"/>
          <w:b w:val="0"/>
          <w:bCs w:val="0"/>
          <w:sz w:val="32"/>
          <w:szCs w:val="32"/>
          <w:highlight w:val="none"/>
          <w:lang w:eastAsia="zh-CN"/>
        </w:rPr>
        <w:t>高</w:t>
      </w:r>
      <w:r>
        <w:rPr>
          <w:rFonts w:hint="eastAsia" w:ascii="仿宋" w:hAnsi="仿宋" w:eastAsia="仿宋" w:cs="仿宋"/>
          <w:b w:val="0"/>
          <w:bCs w:val="0"/>
          <w:sz w:val="32"/>
          <w:szCs w:val="32"/>
          <w:highlight w:val="none"/>
        </w:rPr>
        <w:t>危风险企业</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“终生</w:t>
      </w:r>
      <w:r>
        <w:rPr>
          <w:rFonts w:hint="eastAsia" w:ascii="仿宋" w:hAnsi="仿宋" w:eastAsia="仿宋" w:cs="仿宋"/>
          <w:b w:val="0"/>
          <w:bCs w:val="0"/>
          <w:sz w:val="32"/>
          <w:szCs w:val="32"/>
          <w:highlight w:val="none"/>
          <w:lang w:eastAsia="zh-CN"/>
        </w:rPr>
        <w:t>禁</w:t>
      </w:r>
      <w:r>
        <w:rPr>
          <w:rFonts w:hint="eastAsia" w:ascii="仿宋" w:hAnsi="仿宋" w:eastAsia="仿宋" w:cs="仿宋"/>
          <w:b w:val="0"/>
          <w:bCs w:val="0"/>
          <w:sz w:val="32"/>
          <w:szCs w:val="32"/>
          <w:highlight w:val="none"/>
        </w:rPr>
        <w:t>驾人员”等曝光行动；依法严查严处客运车辆超速、超员、疲劳驾驶、动态监控装置应装未装、人为关闭等违法违规行为，坚决清查“黑服务区”“黑站点”“黑企业”“黑车”。</w:t>
      </w:r>
    </w:p>
    <w:p w14:paraId="2696B8C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消防安全整治。组织开展打通消防“生命通道”工程，指导各地制定实施“一</w:t>
      </w:r>
      <w:r>
        <w:rPr>
          <w:rFonts w:hint="eastAsia" w:ascii="仿宋" w:hAnsi="仿宋" w:eastAsia="仿宋" w:cs="仿宋"/>
          <w:b w:val="0"/>
          <w:bCs w:val="0"/>
          <w:sz w:val="32"/>
          <w:szCs w:val="32"/>
          <w:highlight w:val="none"/>
          <w:lang w:eastAsia="zh-CN"/>
        </w:rPr>
        <w:t>县（区）</w:t>
      </w:r>
      <w:r>
        <w:rPr>
          <w:rFonts w:hint="eastAsia" w:ascii="仿宋" w:hAnsi="仿宋" w:eastAsia="仿宋" w:cs="仿宋"/>
          <w:b w:val="0"/>
          <w:bCs w:val="0"/>
          <w:sz w:val="32"/>
          <w:szCs w:val="32"/>
          <w:highlight w:val="none"/>
        </w:rPr>
        <w:t>一策、一</w:t>
      </w:r>
      <w:r>
        <w:rPr>
          <w:rFonts w:hint="eastAsia" w:ascii="仿宋" w:hAnsi="仿宋" w:eastAsia="仿宋" w:cs="仿宋"/>
          <w:b w:val="0"/>
          <w:bCs w:val="0"/>
          <w:sz w:val="32"/>
          <w:szCs w:val="32"/>
          <w:highlight w:val="none"/>
          <w:lang w:eastAsia="zh-CN"/>
        </w:rPr>
        <w:t>镇（街道）</w:t>
      </w:r>
      <w:r>
        <w:rPr>
          <w:rFonts w:hint="eastAsia" w:ascii="仿宋" w:hAnsi="仿宋" w:eastAsia="仿宋" w:cs="仿宋"/>
          <w:b w:val="0"/>
          <w:bCs w:val="0"/>
          <w:sz w:val="32"/>
          <w:szCs w:val="32"/>
          <w:highlight w:val="none"/>
        </w:rPr>
        <w:t>一策”综合治理方案，分类分批完成督办整改。针对高层建筑、大型商业综合体、石油化工等重点场所，制定实施消防安全能力提升方案，实现标准化、规范化管理。聚焦老旧小区、电动车、外墙保温材料、彩钢板建筑、家庭加工作坊、“三合</w:t>
      </w:r>
      <w:r>
        <w:rPr>
          <w:rFonts w:hint="eastAsia" w:ascii="仿宋" w:hAnsi="仿宋" w:eastAsia="仿宋" w:cs="仿宋"/>
          <w:b w:val="0"/>
          <w:bCs w:val="0"/>
          <w:sz w:val="32"/>
          <w:szCs w:val="32"/>
          <w:highlight w:val="none"/>
          <w:lang w:eastAsia="zh-CN"/>
        </w:rPr>
        <w:t>一</w:t>
      </w:r>
      <w:r>
        <w:rPr>
          <w:rFonts w:hint="eastAsia" w:ascii="仿宋" w:hAnsi="仿宋" w:eastAsia="仿宋" w:cs="仿宋"/>
          <w:b w:val="0"/>
          <w:bCs w:val="0"/>
          <w:sz w:val="32"/>
          <w:szCs w:val="32"/>
          <w:highlight w:val="none"/>
        </w:rPr>
        <w:t>”场所、城乡</w:t>
      </w:r>
      <w:r>
        <w:rPr>
          <w:rFonts w:hint="eastAsia" w:ascii="仿宋" w:hAnsi="仿宋" w:eastAsia="仿宋" w:cs="仿宋"/>
          <w:b w:val="0"/>
          <w:bCs w:val="0"/>
          <w:sz w:val="32"/>
          <w:szCs w:val="32"/>
          <w:highlight w:val="none"/>
          <w:lang w:eastAsia="zh-CN"/>
        </w:rPr>
        <w:t>结</w:t>
      </w:r>
      <w:r>
        <w:rPr>
          <w:rFonts w:hint="eastAsia" w:ascii="仿宋" w:hAnsi="仿宋" w:eastAsia="仿宋" w:cs="仿宋"/>
          <w:b w:val="0"/>
          <w:bCs w:val="0"/>
          <w:sz w:val="32"/>
          <w:szCs w:val="32"/>
          <w:highlight w:val="none"/>
        </w:rPr>
        <w:t>合部、物流仓储等突出风险以及乡村火灾，分阶段集中开展排查整治，全面落实差异化风险管控措施。教育、民政、</w:t>
      </w:r>
      <w:r>
        <w:rPr>
          <w:rFonts w:hint="eastAsia" w:ascii="仿宋" w:hAnsi="仿宋" w:eastAsia="仿宋" w:cs="仿宋"/>
          <w:b w:val="0"/>
          <w:bCs w:val="0"/>
          <w:sz w:val="32"/>
          <w:szCs w:val="32"/>
          <w:highlight w:val="none"/>
          <w:lang w:eastAsia="zh-CN"/>
        </w:rPr>
        <w:t>文化广电旅游体育</w:t>
      </w:r>
      <w:r>
        <w:rPr>
          <w:rFonts w:hint="eastAsia" w:ascii="仿宋" w:hAnsi="仿宋" w:eastAsia="仿宋" w:cs="仿宋"/>
          <w:b w:val="0"/>
          <w:bCs w:val="0"/>
          <w:sz w:val="32"/>
          <w:szCs w:val="32"/>
          <w:highlight w:val="none"/>
        </w:rPr>
        <w:t>、卫生健康、宗教、文物等重点行业部门建立完善行业消防安全管理规定，明确整治目标任务，推动本系统单位</w:t>
      </w:r>
      <w:r>
        <w:rPr>
          <w:rFonts w:hint="eastAsia" w:ascii="仿宋" w:hAnsi="仿宋" w:eastAsia="仿宋" w:cs="仿宋"/>
          <w:b w:val="0"/>
          <w:bCs w:val="0"/>
          <w:sz w:val="32"/>
          <w:szCs w:val="32"/>
          <w:highlight w:val="none"/>
          <w:lang w:eastAsia="zh-CN"/>
        </w:rPr>
        <w:t>提升</w:t>
      </w:r>
      <w:r>
        <w:rPr>
          <w:rFonts w:hint="eastAsia" w:ascii="仿宋" w:hAnsi="仿宋" w:eastAsia="仿宋" w:cs="仿宋"/>
          <w:b w:val="0"/>
          <w:bCs w:val="0"/>
          <w:sz w:val="32"/>
          <w:szCs w:val="32"/>
          <w:highlight w:val="none"/>
        </w:rPr>
        <w:t>消防安全管理水平。积极推广应用消防安全物联网监测、消防大数据分析研判等信息技术，推动建设基层消防网格信息化管理平台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建成消防物联网监控系统</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分级建成城市消防大数据库。</w:t>
      </w:r>
    </w:p>
    <w:p w14:paraId="65DCAC69">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建筑施工安全整治。完善建设各方主体安全责任制，建立建筑施工生产安全事故企业主要负责人、项目负责人、监理单位总监理工程师和专职安全生产管理人员强制培训制度。制定完善适合装配化施工特点的安全管理及监督检查标准。开展工程安全管理标准化达标活动，推行安全行为标准化和安全防护控制标准化。完善守信激励和失信惩戒制度，建立完善工程建设领域项目信用信息数据库，在资质审查、备案登记、评优、评奖等市场运行和监管环节中</w:t>
      </w:r>
      <w:r>
        <w:rPr>
          <w:rFonts w:hint="eastAsia" w:ascii="仿宋" w:hAnsi="仿宋" w:eastAsia="仿宋" w:cs="仿宋"/>
          <w:b w:val="0"/>
          <w:bCs w:val="0"/>
          <w:sz w:val="32"/>
          <w:szCs w:val="32"/>
          <w:highlight w:val="none"/>
          <w:lang w:eastAsia="zh-CN"/>
        </w:rPr>
        <w:t>做出</w:t>
      </w:r>
      <w:r>
        <w:rPr>
          <w:rFonts w:hint="eastAsia" w:ascii="仿宋" w:hAnsi="仿宋" w:eastAsia="仿宋" w:cs="仿宋"/>
          <w:b w:val="0"/>
          <w:bCs w:val="0"/>
          <w:sz w:val="32"/>
          <w:szCs w:val="32"/>
          <w:highlight w:val="none"/>
        </w:rPr>
        <w:t>差异化管理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强化社会监督</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及时公开企业和从业人员诚信管理信息。</w:t>
      </w:r>
    </w:p>
    <w:p w14:paraId="232C941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坚决打好自建房安全专项整治攻坚战，全覆盖开展经营性自建房安全隐患排查，建立数字化整治台账，压实属地管理责任、行业监管责任和房屋产权人、使用人、管理人主体责任，切实做好隐患整治，加快建立房屋全生命周期管理制度，坚决消除安全隐患，确保人民群众生命安全。</w:t>
      </w:r>
    </w:p>
    <w:p w14:paraId="05168638">
      <w:pPr>
        <w:keepNext w:val="0"/>
        <w:keepLines w:val="0"/>
        <w:pageBreakBefore w:val="0"/>
        <w:kinsoku/>
        <w:wordWrap/>
        <w:overflowPunct/>
        <w:topLinePunct w:val="0"/>
        <w:bidi w:val="0"/>
        <w:adjustRightInd w:val="0"/>
        <w:snapToGrid w:val="0"/>
        <w:spacing w:line="560" w:lineRule="exact"/>
        <w:ind w:firstLine="640" w:firstLineChars="200"/>
        <w:jc w:val="both"/>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坚决打好城镇燃气安全排查整治攻坚战，围绕燃气规划、建设、经营、储存、充装、运输、使用等各环节，开展全链条摸底排查整治；加快推进燃气工程、场站设施安全评估和改造升级，抓紧对</w:t>
      </w:r>
      <w:r>
        <w:rPr>
          <w:rFonts w:hint="eastAsia" w:ascii="仿宋" w:hAnsi="仿宋" w:eastAsia="仿宋" w:cs="仿宋"/>
          <w:b w:val="0"/>
          <w:bCs w:val="0"/>
          <w:sz w:val="32"/>
          <w:szCs w:val="32"/>
          <w:highlight w:val="none"/>
          <w:lang w:val="en-US" w:eastAsia="zh-CN"/>
        </w:rPr>
        <w:t>2000年之前建成的老旧燃气管道进行更新改造。推动各类餐饮场所实现安装可燃气体报警装置，要扎实开展燃气企业、燃气场站安全整治，加强第三方施工管理，加强瓶装液化石油气整治，严厉打击“黑气瓶”“黑燃气”。</w:t>
      </w:r>
    </w:p>
    <w:p w14:paraId="4B716DBA">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民用爆破器材安全治理。规范民用爆炸物品生产和流通环节危险源管理。推广智能制造设备</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推动智能化、少</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无</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人化生产线建设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提升企业本质安全水平。</w:t>
      </w:r>
    </w:p>
    <w:p w14:paraId="1D6E05B3">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sz w:val="32"/>
          <w:szCs w:val="32"/>
          <w:highlight w:val="none"/>
        </w:rPr>
        <w:t>特种设备安全隐患整治。深化特种设备动态监管体系建设，建立以风险管控为核心的特种设备监测、评估、预警、处置机制。加强中小学生安全教育，推进电梯安全教育进学校。</w:t>
      </w:r>
      <w:r>
        <w:rPr>
          <w:rFonts w:hint="eastAsia" w:ascii="仿宋" w:hAnsi="仿宋" w:eastAsia="仿宋" w:cs="仿宋"/>
          <w:b w:val="0"/>
          <w:bCs w:val="0"/>
          <w:color w:val="000000"/>
          <w:sz w:val="32"/>
          <w:szCs w:val="32"/>
          <w:highlight w:val="none"/>
        </w:rPr>
        <w:t>加强电梯安全公益宣传，向公众普及电梯安全知识。</w:t>
      </w:r>
    </w:p>
    <w:p w14:paraId="0CDF758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铁路、邮政、水上和船舶安全整治。落实铁路沿线环境安全治理各方责任</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依法查处违规行为。加强寄递渠道安全整治</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升级收寄验视、实名收寄、过机安检“三位一体”防控模式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坚决将危险化学品、易燃易爆物品等禁止寄递物品堵截在寄递渠道之外。加强重点水</w:t>
      </w:r>
      <w:r>
        <w:rPr>
          <w:rFonts w:hint="eastAsia" w:ascii="仿宋" w:hAnsi="仿宋" w:eastAsia="仿宋" w:cs="仿宋"/>
          <w:b w:val="0"/>
          <w:bCs w:val="0"/>
          <w:sz w:val="32"/>
          <w:szCs w:val="32"/>
          <w:highlight w:val="none"/>
          <w:lang w:eastAsia="zh-CN"/>
        </w:rPr>
        <w:t>域</w:t>
      </w:r>
      <w:r>
        <w:rPr>
          <w:rFonts w:hint="eastAsia" w:ascii="仿宋" w:hAnsi="仿宋" w:eastAsia="仿宋" w:cs="仿宋"/>
          <w:b w:val="0"/>
          <w:bCs w:val="0"/>
          <w:sz w:val="32"/>
          <w:szCs w:val="32"/>
          <w:highlight w:val="none"/>
        </w:rPr>
        <w:t>安全监管，开展船舶</w:t>
      </w:r>
      <w:r>
        <w:rPr>
          <w:rFonts w:hint="eastAsia" w:ascii="仿宋" w:hAnsi="仿宋" w:eastAsia="仿宋" w:cs="仿宋"/>
          <w:b w:val="0"/>
          <w:bCs w:val="0"/>
          <w:sz w:val="32"/>
          <w:szCs w:val="32"/>
          <w:highlight w:val="none"/>
          <w:lang w:eastAsia="zh-CN"/>
        </w:rPr>
        <w:t>安全</w:t>
      </w:r>
      <w:r>
        <w:rPr>
          <w:rFonts w:hint="eastAsia" w:ascii="仿宋" w:hAnsi="仿宋" w:eastAsia="仿宋" w:cs="仿宋"/>
          <w:b w:val="0"/>
          <w:bCs w:val="0"/>
          <w:sz w:val="32"/>
          <w:szCs w:val="32"/>
          <w:highlight w:val="none"/>
        </w:rPr>
        <w:t>的隐患排查治理和风险防控</w:t>
      </w:r>
      <w:r>
        <w:rPr>
          <w:rFonts w:hint="eastAsia" w:ascii="仿宋" w:hAnsi="仿宋" w:eastAsia="仿宋" w:cs="仿宋"/>
          <w:b w:val="0"/>
          <w:bCs w:val="0"/>
          <w:sz w:val="32"/>
          <w:szCs w:val="32"/>
          <w:highlight w:val="none"/>
          <w:lang w:eastAsia="zh-CN"/>
        </w:rPr>
        <w:t>。</w:t>
      </w:r>
    </w:p>
    <w:p w14:paraId="6D5771D1">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农业机械安全治理。建立农机市场准入、强制淘汰报废和回收管理制度，推进危及人身财产安全的农业机械进行免费实地安全检验。严格查处无牌行驶作业、无证驾驶操作、假牌假证、酒后驾驶、违规拼装农机等行为。开展“平安农机”创建活动。推广应用移动式农机安全技术检测和农机驾驶人考试装备。推进农机安全管理信息化建设，实施金农工程</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建立全市农机安全监理网络信息系统。</w:t>
      </w:r>
    </w:p>
    <w:p w14:paraId="54F56D8D">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工业园区等功能区安全整治。完善工业园区等功能区监管体制机制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落实园区管理机构安全生产监管主体责任</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明确职责分工</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配齐配强</w:t>
      </w:r>
      <w:r>
        <w:rPr>
          <w:rFonts w:hint="eastAsia" w:ascii="仿宋" w:hAnsi="仿宋" w:eastAsia="仿宋" w:cs="仿宋"/>
          <w:b w:val="0"/>
          <w:bCs w:val="0"/>
          <w:sz w:val="32"/>
          <w:szCs w:val="32"/>
          <w:highlight w:val="none"/>
          <w:lang w:eastAsia="zh-CN"/>
        </w:rPr>
        <w:t>监管力量</w:t>
      </w:r>
      <w:r>
        <w:rPr>
          <w:rFonts w:hint="eastAsia" w:ascii="仿宋" w:hAnsi="仿宋" w:eastAsia="仿宋" w:cs="仿宋"/>
          <w:b w:val="0"/>
          <w:bCs w:val="0"/>
          <w:sz w:val="32"/>
          <w:szCs w:val="32"/>
          <w:highlight w:val="none"/>
        </w:rPr>
        <w:t>。推进工业园区智慧化进程</w:t>
      </w:r>
      <w:r>
        <w:rPr>
          <w:rFonts w:hint="eastAsia" w:ascii="仿宋" w:hAnsi="仿宋" w:eastAsia="仿宋" w:cs="仿宋"/>
          <w:b w:val="0"/>
          <w:bCs w:val="0"/>
          <w:sz w:val="32"/>
          <w:szCs w:val="32"/>
          <w:highlight w:val="none"/>
          <w:lang w:eastAsia="zh-CN"/>
        </w:rPr>
        <w:t>，推动园区集约化可视化安全监管信息共享平台加快建设</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强化工业园区安全生产源头管控，</w:t>
      </w:r>
      <w:r>
        <w:rPr>
          <w:rFonts w:hint="eastAsia" w:ascii="仿宋" w:hAnsi="仿宋" w:eastAsia="仿宋" w:cs="仿宋"/>
          <w:b w:val="0"/>
          <w:bCs w:val="0"/>
          <w:sz w:val="32"/>
          <w:szCs w:val="32"/>
          <w:highlight w:val="none"/>
        </w:rPr>
        <w:t>规范工业园区规划布局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严格进园入园项目准入</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合理布局工业园区内企业</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完善公共设施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进一步提升工业园区本质安全水平。建立工业园区风险分级管控和隐患排查治理安全预防控制体系</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开展工业园区整体性安全风险评估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按照</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一园一策</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原则</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限期整改提升</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有序推进工业园区封闭化管理。</w:t>
      </w:r>
    </w:p>
    <w:p w14:paraId="1E2AD50D">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危险废物等安全整治。全面开展废弃危险化学品等危险废物排查，对属性不明的固体废物进行鉴别鉴定，重点整治化工企业、危险化学品单位等可能存在的违规堆存、随意倾倒、私自填埋危险废物等问题，确保危险废物贮存、运输、处置安全。建立部门联动、</w:t>
      </w:r>
      <w:r>
        <w:rPr>
          <w:rFonts w:hint="eastAsia" w:ascii="仿宋" w:hAnsi="仿宋" w:eastAsia="仿宋" w:cs="仿宋"/>
          <w:b w:val="0"/>
          <w:bCs w:val="0"/>
          <w:sz w:val="32"/>
          <w:szCs w:val="32"/>
          <w:highlight w:val="none"/>
          <w:lang w:eastAsia="zh-CN"/>
        </w:rPr>
        <w:t>区域</w:t>
      </w:r>
      <w:r>
        <w:rPr>
          <w:rFonts w:hint="eastAsia" w:ascii="仿宋" w:hAnsi="仿宋" w:eastAsia="仿宋" w:cs="仿宋"/>
          <w:b w:val="0"/>
          <w:bCs w:val="0"/>
          <w:sz w:val="32"/>
          <w:szCs w:val="32"/>
          <w:highlight w:val="none"/>
        </w:rPr>
        <w:t>协作、重大案件会商督办制度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形成覆盖危险废物产生、收集、贮存、转移、运输、利用、处置等全过程的监管体系，加大打击故意隐瞒、偷放偷排或违法违规处置危险废物违法犯罪行为力度。合理规划布点处置企业，加快处置设施建设，消除处置能力瓶颈。督促企业对重点环保设施和项目组织安全风险评估论证和隐患排查治理。</w:t>
      </w:r>
    </w:p>
    <w:p w14:paraId="18ED11B0">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深入开展城市安全风险管控能力建设。按照创建国家安全发展示范城市要求</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深入推动实施大型综合体、地下管廊火灾隐患综合治理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大型群众性活动安全专项整治</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完善城镇建成区消防站、消防装备、市政消火栓等基础设施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推动老旧小区、城中村更新改造</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强化城市公共场所供用电设施防水防触电措施落实</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提高城市排水防涝能力</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加强城市道路桥梁防灾安全管理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强化城市绿化防风防护</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持续深入开展临时建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筑物专项治理</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有效预防和减少气象灾害损失。全面梳理排查地下工程施工影响区域、老旧管网集中区域、地下人防工程影响区域主要道路的塌陷隐患</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加强地下工程施工现场周边沉降变形监测监控</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有序推进存在渗漏隐患的老旧管网改造</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完善城市道路塌陷的巡查防控常态化机制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加大道路、市政管网等城市重大公共设施的检查力度。</w:t>
      </w:r>
    </w:p>
    <w:p w14:paraId="1EFAC559">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17" w:name="_Toc30023"/>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eastAsia="zh-CN"/>
        </w:rPr>
        <w:t>九</w:t>
      </w:r>
      <w:r>
        <w:rPr>
          <w:rFonts w:hint="eastAsia" w:ascii="楷体" w:hAnsi="楷体" w:eastAsia="楷体" w:cs="楷体"/>
          <w:b w:val="0"/>
          <w:bCs w:val="0"/>
          <w:sz w:val="32"/>
          <w:szCs w:val="32"/>
          <w:highlight w:val="none"/>
        </w:rPr>
        <w:t>）推进防灾减灾救灾工作，随时应对突发自然灾害。</w:t>
      </w:r>
      <w:bookmarkEnd w:id="17"/>
    </w:p>
    <w:p w14:paraId="18950792">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1.加强监测预警与风险管理能力建设。加强自然灾害监测站网和基础设施建设，提高自然灾害早期识别和立体监测能力。加强自然灾害早期预警、城市内涝风险预警、风险信息共享与发布，整合全市通信、互联网、广播电视等信息系统基础资源，建设多平台、多通道、多终端的应急预警信息发布体系，提高应急预警信息的采集、分析、处理、传输、发布的准确性、时效性和公众覆盖率。开展自然灾害风险与减灾能力调查，不断更新全市自然灾害风险图集。健全灾害风险管理的标准、规范、评价指标体系和技术体系，提升城乡综合防灾减灾能力。加强灾害综合研究，建立灾害风险综合评价制度，面向重大工程、重点区域（城镇）开发等开展自然灾害区域评估、气候可行性论证和雷电灾害风险评价工作。</w:t>
      </w:r>
    </w:p>
    <w:p w14:paraId="4B20F735">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2.加强防御工程建设。严格落实《中国地震动参数区划图》（GB19306-2015）和新修订的《建筑抗震设计规范》，把抗震设防贯穿于工程选址、规划、勘察、设计、施工图审查、施工、监理、验收、使用、管理的全过程。推进自然灾害防治能力工程建设，加强气象灾害防御、地质灾害治理、防汛抗旱、避让搬迁安置、城市防洪排涝、森林火灾、火灾高危区（高风险区）综合治理等防御工程建设。严格基本建设程序，落实建设工程防灾减灾设防标准，提高城乡建（构）筑物和生命线工程的灾害防御能力和重特大自然灾害的工程防御能力。推动城乡公共基础设施安全加固工程，加强包括应急避难（险）场所在内的基层防灾减灾基础设施规划建设。加强城市和重点工程活断层探测。加大农村危房改造力度，提升农村住房设防水平和承灾能力。</w:t>
      </w:r>
    </w:p>
    <w:p w14:paraId="68D8610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3.加强综合减灾能力建设。加强基层救灾应急装备建设，重点配备应急通讯保障设备和高精度灾情信息获取装备。完善救灾物资储备库，统筹建设</w:t>
      </w:r>
      <w:r>
        <w:rPr>
          <w:rFonts w:hint="eastAsia" w:ascii="仿宋" w:hAnsi="仿宋" w:eastAsia="仿宋" w:cs="仿宋"/>
          <w:b w:val="0"/>
          <w:bCs w:val="0"/>
          <w:color w:val="000000"/>
          <w:kern w:val="0"/>
          <w:sz w:val="32"/>
          <w:szCs w:val="32"/>
          <w:highlight w:val="none"/>
          <w:shd w:val="clear" w:color="auto" w:fill="FFFFFF"/>
          <w:lang w:eastAsia="zh-CN"/>
        </w:rPr>
        <w:t>镇（街道）</w:t>
      </w:r>
      <w:r>
        <w:rPr>
          <w:rFonts w:hint="eastAsia" w:ascii="仿宋" w:hAnsi="仿宋" w:eastAsia="仿宋" w:cs="仿宋"/>
          <w:b w:val="0"/>
          <w:bCs w:val="0"/>
          <w:color w:val="000000"/>
          <w:kern w:val="0"/>
          <w:sz w:val="32"/>
          <w:szCs w:val="32"/>
          <w:highlight w:val="none"/>
          <w:shd w:val="clear" w:color="auto" w:fill="FFFFFF"/>
        </w:rPr>
        <w:t>、村救灾物资储备点，建成协调联动救灾物资信息管理平台，提升物资储备的信息化管理水平，加强应急处置和救灾保障能力建设。推进“</w:t>
      </w:r>
      <w:r>
        <w:rPr>
          <w:rFonts w:hint="eastAsia" w:ascii="仿宋" w:hAnsi="仿宋" w:eastAsia="仿宋" w:cs="仿宋"/>
          <w:b w:val="0"/>
          <w:bCs w:val="0"/>
          <w:color w:val="000000"/>
          <w:kern w:val="0"/>
          <w:sz w:val="32"/>
          <w:szCs w:val="32"/>
          <w:highlight w:val="none"/>
          <w:shd w:val="clear" w:color="auto" w:fill="FFFFFF"/>
          <w:lang w:eastAsia="zh-CN"/>
        </w:rPr>
        <w:t>全国</w:t>
      </w:r>
      <w:r>
        <w:rPr>
          <w:rFonts w:hint="eastAsia" w:ascii="仿宋" w:hAnsi="仿宋" w:eastAsia="仿宋" w:cs="仿宋"/>
          <w:b w:val="0"/>
          <w:bCs w:val="0"/>
          <w:color w:val="000000"/>
          <w:kern w:val="0"/>
          <w:sz w:val="32"/>
          <w:szCs w:val="32"/>
          <w:highlight w:val="none"/>
          <w:shd w:val="clear" w:color="auto" w:fill="FFFFFF"/>
        </w:rPr>
        <w:t>综合减灾示范社区”创建活动，加强防灾减灾社会动员能力建设。</w:t>
      </w:r>
    </w:p>
    <w:p w14:paraId="7B333463">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4.提升防灾减灾科技能力。积极开展山洪地质灾害气象预警预报</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成果转化和产业化示范，加大对防灾减灾先进成熟技术的推广应用支持力度。加强防灾减灾科学技术普及宣传，协同防灾减灾人才队伍培养，组织开展防灾减灾评估技术、生态环境功能评价体系研究。</w:t>
      </w:r>
    </w:p>
    <w:p w14:paraId="00EAD158">
      <w:pPr>
        <w:keepNext w:val="0"/>
        <w:keepLines w:val="0"/>
        <w:pageBreakBefore w:val="0"/>
        <w:kinsoku/>
        <w:wordWrap/>
        <w:overflowPunct/>
        <w:topLinePunct w:val="0"/>
        <w:bidi w:val="0"/>
        <w:adjustRightInd w:val="0"/>
        <w:snapToGrid w:val="0"/>
        <w:spacing w:line="560" w:lineRule="exact"/>
        <w:ind w:firstLine="632" w:firstLineChars="200"/>
        <w:jc w:val="both"/>
        <w:rPr>
          <w:rFonts w:hint="eastAsia" w:ascii="仿宋" w:hAnsi="仿宋" w:eastAsia="仿宋" w:cs="仿宋"/>
          <w:b w:val="0"/>
          <w:bCs w:val="0"/>
          <w:w w:val="99"/>
          <w:sz w:val="32"/>
          <w:szCs w:val="32"/>
          <w:highlight w:val="none"/>
          <w:lang w:eastAsia="zh-CN"/>
        </w:rPr>
      </w:pPr>
      <w:r>
        <w:rPr>
          <w:rFonts w:hint="eastAsia" w:ascii="仿宋" w:hAnsi="仿宋" w:eastAsia="仿宋" w:cs="仿宋"/>
          <w:b w:val="0"/>
          <w:bCs w:val="0"/>
          <w:w w:val="99"/>
          <w:sz w:val="32"/>
          <w:szCs w:val="32"/>
          <w:highlight w:val="none"/>
        </w:rPr>
        <w:t>5.做好救灾物资的储备和管理。建立健全政府主导、分级负责、地方为主、上下联动、协调有序、运转高效的救灾物资储备管理体制和运行机制，健全发展改革、交通运输、铁路等部门共同参与以及军地联动的救灾物资紧急调运应急联动机制。加快建设救灾物资储备网络。遵循就近存储、调运迅速、保障有力的原则，统筹推进各级救灾物资储备库（点）建设，形成规模合理救灾物资储备网络。全面落实救灾物资分级储备。</w:t>
      </w:r>
      <w:r>
        <w:rPr>
          <w:rFonts w:hint="eastAsia" w:ascii="仿宋" w:hAnsi="仿宋" w:eastAsia="仿宋" w:cs="仿宋"/>
          <w:b w:val="0"/>
          <w:bCs w:val="0"/>
          <w:w w:val="99"/>
          <w:sz w:val="32"/>
          <w:szCs w:val="32"/>
          <w:highlight w:val="none"/>
          <w:lang w:eastAsia="zh-CN"/>
        </w:rPr>
        <w:t>市区</w:t>
      </w:r>
      <w:r>
        <w:rPr>
          <w:rFonts w:hint="eastAsia" w:ascii="仿宋" w:hAnsi="仿宋" w:eastAsia="仿宋" w:cs="仿宋"/>
          <w:b w:val="0"/>
          <w:bCs w:val="0"/>
          <w:w w:val="99"/>
          <w:sz w:val="32"/>
          <w:szCs w:val="32"/>
          <w:highlight w:val="none"/>
        </w:rPr>
        <w:t>储备具有区域特点的救灾物资；镇（街道）和城乡社区视情储备一定数量的棉衣、棉被等生活物资以及简易的应急救援工具</w:t>
      </w:r>
      <w:r>
        <w:rPr>
          <w:rFonts w:hint="eastAsia" w:ascii="仿宋" w:hAnsi="仿宋" w:eastAsia="仿宋" w:cs="仿宋"/>
          <w:b w:val="0"/>
          <w:bCs w:val="0"/>
          <w:w w:val="99"/>
          <w:sz w:val="32"/>
          <w:szCs w:val="32"/>
          <w:highlight w:val="none"/>
          <w:lang w:eastAsia="zh-CN"/>
        </w:rPr>
        <w:t>。</w:t>
      </w:r>
    </w:p>
    <w:p w14:paraId="6277772E">
      <w:pPr>
        <w:keepNext w:val="0"/>
        <w:keepLines w:val="0"/>
        <w:pageBreakBefore w:val="0"/>
        <w:kinsoku/>
        <w:wordWrap/>
        <w:overflowPunct/>
        <w:topLinePunct w:val="0"/>
        <w:bidi w:val="0"/>
        <w:adjustRightInd w:val="0"/>
        <w:snapToGrid w:val="0"/>
        <w:spacing w:line="560" w:lineRule="exact"/>
        <w:ind w:firstLine="608" w:firstLineChars="200"/>
        <w:jc w:val="both"/>
        <w:outlineLvl w:val="1"/>
        <w:rPr>
          <w:rFonts w:hint="eastAsia" w:ascii="楷体" w:hAnsi="楷体" w:eastAsia="楷体" w:cs="楷体"/>
          <w:b w:val="0"/>
          <w:bCs w:val="0"/>
          <w:w w:val="95"/>
          <w:sz w:val="32"/>
          <w:szCs w:val="32"/>
          <w:highlight w:val="none"/>
          <w:lang w:eastAsia="zh-CN"/>
        </w:rPr>
      </w:pPr>
      <w:bookmarkStart w:id="18" w:name="_Toc14621"/>
      <w:r>
        <w:rPr>
          <w:rFonts w:hint="eastAsia" w:ascii="楷体" w:hAnsi="楷体" w:eastAsia="楷体" w:cs="楷体"/>
          <w:b w:val="0"/>
          <w:bCs w:val="0"/>
          <w:w w:val="95"/>
          <w:sz w:val="32"/>
          <w:szCs w:val="32"/>
          <w:highlight w:val="none"/>
          <w:lang w:eastAsia="zh-CN"/>
        </w:rPr>
        <w:t>（十）持续开展工贸行业安全治理，不断夯实安全生产基础。</w:t>
      </w:r>
      <w:bookmarkEnd w:id="18"/>
    </w:p>
    <w:p w14:paraId="498882A7">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sz w:val="32"/>
          <w:szCs w:val="32"/>
          <w:highlight w:val="none"/>
          <w:shd w:val="clear" w:color="auto" w:fill="FFFFFF"/>
          <w:lang w:eastAsia="zh-CN"/>
        </w:rPr>
      </w:pPr>
      <w:r>
        <w:rPr>
          <w:rFonts w:hint="eastAsia" w:ascii="仿宋" w:hAnsi="仿宋" w:eastAsia="仿宋" w:cs="仿宋"/>
          <w:b w:val="0"/>
          <w:bCs w:val="0"/>
          <w:color w:val="333333"/>
          <w:sz w:val="32"/>
          <w:szCs w:val="32"/>
          <w:highlight w:val="none"/>
          <w:shd w:val="clear" w:color="auto" w:fill="FFFFFF"/>
        </w:rPr>
        <w:t>1.全面落实安全生产监管责任和企业主体责任</w:t>
      </w:r>
      <w:r>
        <w:rPr>
          <w:rFonts w:hint="eastAsia" w:ascii="仿宋" w:hAnsi="仿宋" w:eastAsia="仿宋" w:cs="仿宋"/>
          <w:b w:val="0"/>
          <w:bCs w:val="0"/>
          <w:color w:val="333333"/>
          <w:sz w:val="32"/>
          <w:szCs w:val="32"/>
          <w:highlight w:val="none"/>
          <w:shd w:val="clear" w:color="auto" w:fill="FFFFFF"/>
          <w:lang w:eastAsia="zh-CN"/>
        </w:rPr>
        <w:t>。督促工贸行业企业接入工矿商贸行业安全生产基础信息和隐患排查信息系统，对工贸行业企业风险点危险源实现全市“一张图”监控，运用安全生产不良行为“黑名单”制度和联合惩戒机制，大力推进工贸企业安全生产标准化建设，提升企业本质安全水平。督促企业应用先进管理方法和技术手段，辨识、排查安全风险，建立全面覆盖、全员参与的隐患排查治理工作机制，实现隐患排查治理工作制度化和常态化。</w:t>
      </w:r>
    </w:p>
    <w:p w14:paraId="223E4D9C">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shd w:val="clear" w:color="auto" w:fill="FFFFFF"/>
        </w:rPr>
      </w:pPr>
      <w:r>
        <w:rPr>
          <w:rFonts w:hint="eastAsia" w:ascii="仿宋" w:hAnsi="仿宋" w:eastAsia="仿宋" w:cs="仿宋"/>
          <w:b w:val="0"/>
          <w:bCs w:val="0"/>
          <w:color w:val="333333"/>
          <w:sz w:val="32"/>
          <w:szCs w:val="32"/>
          <w:highlight w:val="none"/>
          <w:shd w:val="clear" w:color="auto" w:fill="FFFFFF"/>
        </w:rPr>
        <w:t>2.</w:t>
      </w:r>
      <w:r>
        <w:rPr>
          <w:rFonts w:hint="eastAsia" w:ascii="仿宋" w:hAnsi="仿宋" w:eastAsia="仿宋" w:cs="仿宋"/>
          <w:b w:val="0"/>
          <w:bCs w:val="0"/>
          <w:color w:val="333333"/>
          <w:kern w:val="0"/>
          <w:sz w:val="32"/>
          <w:szCs w:val="32"/>
          <w:highlight w:val="none"/>
          <w:shd w:val="clear" w:color="auto" w:fill="FFFFFF"/>
        </w:rPr>
        <w:t>推动企业提高管理水平。继续深化粉尘</w:t>
      </w:r>
      <w:r>
        <w:rPr>
          <w:rFonts w:hint="eastAsia" w:ascii="仿宋" w:hAnsi="仿宋" w:eastAsia="仿宋" w:cs="仿宋"/>
          <w:b w:val="0"/>
          <w:bCs w:val="0"/>
          <w:color w:val="333333"/>
          <w:kern w:val="0"/>
          <w:sz w:val="32"/>
          <w:szCs w:val="32"/>
          <w:highlight w:val="none"/>
          <w:shd w:val="clear" w:color="auto" w:fill="FFFFFF"/>
          <w:lang w:eastAsia="zh-CN"/>
        </w:rPr>
        <w:t>涉</w:t>
      </w:r>
      <w:r>
        <w:rPr>
          <w:rFonts w:hint="eastAsia" w:ascii="仿宋" w:hAnsi="仿宋" w:eastAsia="仿宋" w:cs="仿宋"/>
          <w:b w:val="0"/>
          <w:bCs w:val="0"/>
          <w:color w:val="333333"/>
          <w:kern w:val="0"/>
          <w:sz w:val="32"/>
          <w:szCs w:val="32"/>
          <w:highlight w:val="none"/>
          <w:shd w:val="clear" w:color="auto" w:fill="FFFFFF"/>
        </w:rPr>
        <w:t>爆、氨制冷企业、有限空间作业等专项整治，督促企业完善各项制度和操作规程，加强人员培训，提高安全素质，杜绝违章违规作业行为。</w:t>
      </w:r>
    </w:p>
    <w:p w14:paraId="78545584">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shd w:val="clear" w:color="auto" w:fill="FFFFFF"/>
        </w:rPr>
      </w:pPr>
      <w:r>
        <w:rPr>
          <w:rFonts w:hint="eastAsia" w:ascii="仿宋" w:hAnsi="仿宋" w:eastAsia="仿宋" w:cs="仿宋"/>
          <w:b w:val="0"/>
          <w:bCs w:val="0"/>
          <w:color w:val="333333"/>
          <w:kern w:val="0"/>
          <w:sz w:val="32"/>
          <w:szCs w:val="32"/>
          <w:highlight w:val="none"/>
          <w:shd w:val="clear" w:color="auto" w:fill="FFFFFF"/>
          <w:lang w:val="en-US" w:eastAsia="zh-CN"/>
        </w:rPr>
        <w:t>3</w:t>
      </w:r>
      <w:r>
        <w:rPr>
          <w:rFonts w:hint="eastAsia" w:ascii="仿宋" w:hAnsi="仿宋" w:eastAsia="仿宋" w:cs="仿宋"/>
          <w:b w:val="0"/>
          <w:bCs w:val="0"/>
          <w:color w:val="333333"/>
          <w:kern w:val="0"/>
          <w:sz w:val="32"/>
          <w:szCs w:val="32"/>
          <w:highlight w:val="none"/>
          <w:shd w:val="clear" w:color="auto" w:fill="FFFFFF"/>
        </w:rPr>
        <w:t>.</w:t>
      </w:r>
      <w:r>
        <w:rPr>
          <w:rFonts w:hint="eastAsia" w:ascii="仿宋" w:hAnsi="仿宋" w:eastAsia="仿宋" w:cs="仿宋"/>
          <w:b w:val="0"/>
          <w:bCs w:val="0"/>
          <w:color w:val="333333"/>
          <w:sz w:val="32"/>
          <w:szCs w:val="32"/>
          <w:highlight w:val="none"/>
          <w:shd w:val="clear" w:color="auto" w:fill="FFFFFF"/>
        </w:rPr>
        <w:t>扎实开展执法检查和</w:t>
      </w:r>
      <w:r>
        <w:rPr>
          <w:rFonts w:hint="eastAsia" w:ascii="仿宋" w:hAnsi="仿宋" w:eastAsia="仿宋" w:cs="仿宋"/>
          <w:b w:val="0"/>
          <w:bCs w:val="0"/>
          <w:color w:val="333333"/>
          <w:sz w:val="32"/>
          <w:szCs w:val="32"/>
          <w:highlight w:val="none"/>
          <w:shd w:val="clear" w:color="auto" w:fill="FFFFFF"/>
          <w:lang w:eastAsia="zh-CN"/>
        </w:rPr>
        <w:t>明察暗访</w:t>
      </w:r>
      <w:r>
        <w:rPr>
          <w:rFonts w:hint="eastAsia" w:ascii="仿宋" w:hAnsi="仿宋" w:eastAsia="仿宋" w:cs="仿宋"/>
          <w:b w:val="0"/>
          <w:bCs w:val="0"/>
          <w:color w:val="333333"/>
          <w:sz w:val="32"/>
          <w:szCs w:val="32"/>
          <w:highlight w:val="none"/>
          <w:shd w:val="clear" w:color="auto" w:fill="FFFFFF"/>
        </w:rPr>
        <w:t>工作。继续开展“双随机、一公开”执法检查，持续做好重点行业领域专项检查和</w:t>
      </w:r>
      <w:r>
        <w:rPr>
          <w:rFonts w:hint="eastAsia" w:ascii="仿宋" w:hAnsi="仿宋" w:eastAsia="仿宋" w:cs="仿宋"/>
          <w:b w:val="0"/>
          <w:bCs w:val="0"/>
          <w:color w:val="333333"/>
          <w:sz w:val="32"/>
          <w:szCs w:val="32"/>
          <w:highlight w:val="none"/>
          <w:shd w:val="clear" w:color="auto" w:fill="FFFFFF"/>
          <w:lang w:eastAsia="zh-CN"/>
        </w:rPr>
        <w:t>明察暗访</w:t>
      </w:r>
      <w:r>
        <w:rPr>
          <w:rFonts w:hint="eastAsia" w:ascii="仿宋" w:hAnsi="仿宋" w:eastAsia="仿宋" w:cs="仿宋"/>
          <w:b w:val="0"/>
          <w:bCs w:val="0"/>
          <w:color w:val="333333"/>
          <w:sz w:val="32"/>
          <w:szCs w:val="32"/>
          <w:highlight w:val="none"/>
          <w:shd w:val="clear" w:color="auto" w:fill="FFFFFF"/>
        </w:rPr>
        <w:t>，严厉打击违法违规行为。通过公开通报有关事故案例和典型问题，警示约谈发生事故和隐患整改不到位的企业负责人，推动专项整治工作有效落实。</w:t>
      </w:r>
    </w:p>
    <w:p w14:paraId="41215CA7">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040404"/>
          <w:sz w:val="32"/>
          <w:szCs w:val="32"/>
          <w:highlight w:val="none"/>
          <w:lang w:eastAsia="zh-CN"/>
        </w:rPr>
      </w:pPr>
      <w:bookmarkStart w:id="19" w:name="_Toc16063"/>
      <w:r>
        <w:rPr>
          <w:rFonts w:hint="eastAsia" w:ascii="楷体" w:hAnsi="楷体" w:eastAsia="楷体" w:cs="楷体"/>
          <w:b w:val="0"/>
          <w:bCs w:val="0"/>
          <w:color w:val="040404"/>
          <w:sz w:val="32"/>
          <w:szCs w:val="32"/>
          <w:highlight w:val="none"/>
          <w:lang w:eastAsia="zh-CN"/>
        </w:rPr>
        <w:t>（十一）不断推进“四个一”和“十个有”建设，筑牢镇村两级应急管理基础。</w:t>
      </w:r>
      <w:bookmarkEnd w:id="19"/>
    </w:p>
    <w:p w14:paraId="4F7D141F">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sz w:val="32"/>
          <w:szCs w:val="32"/>
          <w:highlight w:val="none"/>
          <w:shd w:val="clear" w:color="auto" w:fill="FFFFFF"/>
          <w:lang w:val="en-US" w:eastAsia="zh-CN"/>
        </w:rPr>
      </w:pPr>
      <w:r>
        <w:rPr>
          <w:rFonts w:hint="eastAsia" w:ascii="仿宋" w:hAnsi="仿宋" w:eastAsia="仿宋" w:cs="仿宋"/>
          <w:b w:val="0"/>
          <w:bCs w:val="0"/>
          <w:color w:val="333333"/>
          <w:sz w:val="32"/>
          <w:szCs w:val="32"/>
          <w:highlight w:val="none"/>
          <w:shd w:val="clear" w:color="auto" w:fill="FFFFFF"/>
          <w:lang w:val="en-US" w:eastAsia="zh-CN"/>
        </w:rPr>
        <w:t>1.按照国家、省、梅州市关于加强基层应急管理工作的有关要求，积极适应“全灾种、大应急”任务需要，以推进基层应急管理“四个一”建设为抓手，打造过硬的镇村应急管理体系。一是健全一个应急管理组织体系，明确镇级应急管理机构职责，构建应急管理网格化管控体系，将安全生产、防灾减灾救灾、应急救援等纳入网格重要工作内容，实行网格化管理措施，打通责任落实“最后一公里”。二是组建一支“一专多能”“全灾种”综合性应急救援队伍，提升队伍的实战能力，着眼大应急开展工作，坚持专业化和社会化相结合，打通应急救援“最后一公里”。三是搭设一个应急指挥平台，通过借助政法系统的综治网络平台，将应急指挥平台进一步延伸到村（社区），融合对接三防、气象、森林防灭火、综合治理、喇叭村村响、应急视频会商等信息系统，实现省到村五级互联互通，打通应急指挥“最后一公里”。四是高规格建设一个应急物资仓库，实行信息化、制度化、社会化管理，打通应急保障“最后一公里”。进一步提升基层应急能力，筑牢防灾减灾救灾防护网，努力实现顶层设计与应急管理末端的融会贯通，进一步打造过硬的镇村应急管理体系。</w:t>
      </w:r>
    </w:p>
    <w:p w14:paraId="431FF130">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shd w:val="clear" w:color="auto" w:fill="FFFFFF"/>
          <w:lang w:val="en-US" w:eastAsia="zh-CN"/>
        </w:rPr>
      </w:pPr>
      <w:r>
        <w:rPr>
          <w:rFonts w:hint="eastAsia" w:ascii="仿宋" w:hAnsi="仿宋" w:eastAsia="仿宋" w:cs="仿宋"/>
          <w:b w:val="0"/>
          <w:bCs w:val="0"/>
          <w:color w:val="333333"/>
          <w:kern w:val="0"/>
          <w:sz w:val="32"/>
          <w:szCs w:val="32"/>
          <w:highlight w:val="none"/>
          <w:shd w:val="clear" w:color="auto" w:fill="FFFFFF"/>
          <w:lang w:val="en-US" w:eastAsia="zh-CN"/>
        </w:rPr>
        <w:t>2.以农村防灾减灾“十个有”（即有组织体系、有大喇叭、有警报器、有避难场所、有风险地形图、有明白卡、有应急值守、有应急照明、有小册子、有宣传栏）工作为抓手，全面加强村（居）防灾减灾救灾建设，确保日常有宣传、风险广知晓、灾前有预警、灾中可避险、受灾得救助，践行“人民至上、生命至上”的理念，真正发挥村（居）委会神经末梢和保安作用。</w:t>
      </w:r>
    </w:p>
    <w:p w14:paraId="75AEDD2E">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20" w:name="_Toc19738"/>
      <w:r>
        <w:rPr>
          <w:rFonts w:hint="eastAsia" w:ascii="楷体" w:hAnsi="楷体" w:eastAsia="楷体" w:cs="楷体"/>
          <w:b w:val="0"/>
          <w:bCs w:val="0"/>
          <w:color w:val="040404"/>
          <w:sz w:val="32"/>
          <w:szCs w:val="32"/>
          <w:highlight w:val="none"/>
        </w:rPr>
        <w:t>（</w:t>
      </w:r>
      <w:r>
        <w:rPr>
          <w:rFonts w:hint="eastAsia" w:ascii="楷体" w:hAnsi="楷体" w:eastAsia="楷体" w:cs="楷体"/>
          <w:b w:val="0"/>
          <w:bCs w:val="0"/>
          <w:color w:val="040404"/>
          <w:sz w:val="32"/>
          <w:szCs w:val="32"/>
          <w:highlight w:val="none"/>
          <w:lang w:eastAsia="zh-CN"/>
        </w:rPr>
        <w:t>十二</w:t>
      </w:r>
      <w:r>
        <w:rPr>
          <w:rFonts w:hint="eastAsia" w:ascii="楷体" w:hAnsi="楷体" w:eastAsia="楷体" w:cs="楷体"/>
          <w:b w:val="0"/>
          <w:bCs w:val="0"/>
          <w:color w:val="040404"/>
          <w:sz w:val="32"/>
          <w:szCs w:val="32"/>
          <w:highlight w:val="none"/>
        </w:rPr>
        <w:t>）加强执法队伍建设，不断</w:t>
      </w:r>
      <w:r>
        <w:rPr>
          <w:rFonts w:hint="eastAsia" w:ascii="楷体" w:hAnsi="楷体" w:eastAsia="楷体" w:cs="楷体"/>
          <w:b w:val="0"/>
          <w:bCs w:val="0"/>
          <w:sz w:val="32"/>
          <w:szCs w:val="32"/>
          <w:highlight w:val="none"/>
        </w:rPr>
        <w:t>提升安全生产执法效能。</w:t>
      </w:r>
      <w:bookmarkEnd w:id="20"/>
    </w:p>
    <w:p w14:paraId="62EE56B3">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按照中央、省、梅州市的统一部署，推进市、镇两级应急管理综合行政执法工作。创新监管执法方式，全面推行信息化移动执法。以信息化技术推动科学化监管，通过广东省安全生产执法信息系统平台，建立健全安全执法管理、案件办理、事故处理等一系列信息系统，进一步完善监管体系，深入推进执法终端、现场视频执法、大数据处理，从而提升安全生产监管能力。</w:t>
      </w:r>
    </w:p>
    <w:p w14:paraId="37F05181">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推动安全生产执法标准化建设，实现安全生产执法“八个统一”（队伍牌匾名称统一、队伍管理制度统一、执法装备服装统一、执法检查标准统一、执法办案流程统一、执法文书填写统一、执法案卷归档统一、执法礼仪和用语统一）。</w:t>
      </w:r>
    </w:p>
    <w:p w14:paraId="15D6288F">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040404"/>
          <w:sz w:val="32"/>
          <w:szCs w:val="32"/>
          <w:highlight w:val="none"/>
        </w:rPr>
      </w:pPr>
      <w:bookmarkStart w:id="21" w:name="_Toc19509"/>
      <w:r>
        <w:rPr>
          <w:rFonts w:hint="eastAsia" w:ascii="楷体" w:hAnsi="楷体" w:eastAsia="楷体" w:cs="楷体"/>
          <w:b w:val="0"/>
          <w:bCs w:val="0"/>
          <w:color w:val="040404"/>
          <w:sz w:val="32"/>
          <w:szCs w:val="32"/>
          <w:highlight w:val="none"/>
        </w:rPr>
        <w:t>（十</w:t>
      </w:r>
      <w:r>
        <w:rPr>
          <w:rFonts w:hint="eastAsia" w:ascii="楷体" w:hAnsi="楷体" w:eastAsia="楷体" w:cs="楷体"/>
          <w:b w:val="0"/>
          <w:bCs w:val="0"/>
          <w:color w:val="040404"/>
          <w:sz w:val="32"/>
          <w:szCs w:val="32"/>
          <w:highlight w:val="none"/>
          <w:lang w:eastAsia="zh-CN"/>
        </w:rPr>
        <w:t>三</w:t>
      </w:r>
      <w:r>
        <w:rPr>
          <w:rFonts w:hint="eastAsia" w:ascii="楷体" w:hAnsi="楷体" w:eastAsia="楷体" w:cs="楷体"/>
          <w:b w:val="0"/>
          <w:bCs w:val="0"/>
          <w:color w:val="040404"/>
          <w:sz w:val="32"/>
          <w:szCs w:val="32"/>
          <w:highlight w:val="none"/>
        </w:rPr>
        <w:t>）加快推进科技信息化建设，不断提升应急管理科技信息化水平。 </w:t>
      </w:r>
      <w:bookmarkEnd w:id="21"/>
    </w:p>
    <w:p w14:paraId="6D44CCD1">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1.按照规划引领、集约发展、统筹建设、扁平应用的应急管理信息化发展思路</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从实战需求出发</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瞄准融合指挥、应急通信、短临预警、全域感知、数据智能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五大主攻方向</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加强应急管理信息化工作的统筹和集约建设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充分利用省厅统建系统</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重点开展感知网络联网和应用系统对接集成。</w:t>
      </w:r>
    </w:p>
    <w:p w14:paraId="2EEE9BCF">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2.加强应急通信保障力量建设</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充分利用各类应急通信保障资源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以消防救援队伍为主提高重大灾害事故前方指挥部和救援现场通信保障能力</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建立全灾种应急通信手段</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实现视频会议系统、手机、固话、卫星电话、移动指挥车、手持单兵等多种通信终端融合联通</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确保断路、断网、断电等极端条件下通信畅通。</w:t>
      </w:r>
    </w:p>
    <w:p w14:paraId="5EDE14DF">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3.建设应急感知网络。将生产安全、自然灾害、城市安全、应急处置现场等方面感知数据接入广东</w:t>
      </w:r>
      <w:r>
        <w:rPr>
          <w:rFonts w:hint="eastAsia" w:ascii="仿宋" w:hAnsi="仿宋" w:eastAsia="仿宋" w:cs="仿宋"/>
          <w:b w:val="0"/>
          <w:bCs w:val="0"/>
          <w:sz w:val="32"/>
          <w:szCs w:val="32"/>
          <w:highlight w:val="none"/>
          <w:lang w:eastAsia="zh-CN"/>
        </w:rPr>
        <w:t>省</w:t>
      </w:r>
      <w:r>
        <w:rPr>
          <w:rFonts w:hint="eastAsia" w:ascii="仿宋" w:hAnsi="仿宋" w:eastAsia="仿宋" w:cs="仿宋"/>
          <w:b w:val="0"/>
          <w:bCs w:val="0"/>
          <w:sz w:val="32"/>
          <w:szCs w:val="32"/>
          <w:highlight w:val="none"/>
        </w:rPr>
        <w:t>工矿商贸行业安全生产基础信息和隐患排查整治信息系统。同时，持续推进卫星通讯网建设。通过应急指挥信息网与部级天通统一接入服务系统对接。获取天通卫星终端的位置、设备状态、资费情况等信息，实现对本市天通卫星移动终端的管理。</w:t>
      </w:r>
    </w:p>
    <w:p w14:paraId="1E38FC69">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22" w:name="_Toc30863"/>
      <w:r>
        <w:rPr>
          <w:rFonts w:hint="eastAsia" w:ascii="楷体" w:hAnsi="楷体" w:eastAsia="楷体" w:cs="楷体"/>
          <w:b w:val="0"/>
          <w:bCs w:val="0"/>
          <w:sz w:val="32"/>
          <w:szCs w:val="32"/>
          <w:highlight w:val="none"/>
        </w:rPr>
        <w:t>（十</w:t>
      </w:r>
      <w:r>
        <w:rPr>
          <w:rFonts w:hint="eastAsia" w:ascii="楷体" w:hAnsi="楷体" w:eastAsia="楷体" w:cs="楷体"/>
          <w:b w:val="0"/>
          <w:bCs w:val="0"/>
          <w:sz w:val="32"/>
          <w:szCs w:val="32"/>
          <w:highlight w:val="none"/>
          <w:lang w:eastAsia="zh-CN"/>
        </w:rPr>
        <w:t>四</w:t>
      </w:r>
      <w:r>
        <w:rPr>
          <w:rFonts w:hint="eastAsia" w:ascii="楷体" w:hAnsi="楷体" w:eastAsia="楷体" w:cs="楷体"/>
          <w:b w:val="0"/>
          <w:bCs w:val="0"/>
          <w:sz w:val="32"/>
          <w:szCs w:val="32"/>
          <w:highlight w:val="none"/>
        </w:rPr>
        <w:t>）加强宣</w:t>
      </w:r>
      <w:r>
        <w:rPr>
          <w:rFonts w:hint="eastAsia" w:ascii="楷体" w:hAnsi="楷体" w:eastAsia="楷体" w:cs="楷体"/>
          <w:b w:val="0"/>
          <w:bCs w:val="0"/>
          <w:sz w:val="32"/>
          <w:szCs w:val="32"/>
          <w:highlight w:val="none"/>
          <w:lang w:eastAsia="zh-CN"/>
        </w:rPr>
        <w:t>教</w:t>
      </w:r>
      <w:r>
        <w:rPr>
          <w:rFonts w:hint="eastAsia" w:ascii="楷体" w:hAnsi="楷体" w:eastAsia="楷体" w:cs="楷体"/>
          <w:b w:val="0"/>
          <w:bCs w:val="0"/>
          <w:sz w:val="32"/>
          <w:szCs w:val="32"/>
          <w:highlight w:val="none"/>
        </w:rPr>
        <w:t>培训，全力提升应急管理意识和能力。</w:t>
      </w:r>
      <w:bookmarkEnd w:id="22"/>
    </w:p>
    <w:p w14:paraId="260BC941">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1.健全应急管理宣传</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五进</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工作机制，持续推进全市应急管理宣传</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五进</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工作。充分利用全国安全生产月、森林防火宣传周、防灾减灾日、国际减灾日等时间节点</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广泛开展防灾减灾宣传教育</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全面提升社会公众防灾减灾意识和自救互救能力。</w:t>
      </w:r>
    </w:p>
    <w:p w14:paraId="621816BC">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2.组织开展全市应急管理大培训</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加强与主流媒体合作</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利用现代宣传媒体</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进一步加大应急管理培训教育宣传和应急知识传播力度。建设安全文化体验场馆</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构建市民安全文化教育培训新体系</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提升全民安全文化意识。开展应急管理文化精品创作和推广活动</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不断提升公众应急意识和能力。</w:t>
      </w:r>
    </w:p>
    <w:p w14:paraId="7DF9F54B">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3.以政府购买服务方式</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加强安全生产理论考试点和特种作业操作证</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低压电工、高处安装、维修、拆除作业和登高架设作业</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实操考试点的管理和维护。规范安全培训机构监督检查</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严把安全培训考核关</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全力提升生产经营单位主要负责人、分管安全生产工作负责人和安全生产管理人员及特种作业操作人员安全生产管理能力和水平。</w:t>
      </w:r>
    </w:p>
    <w:p w14:paraId="731F2619">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sz w:val="32"/>
          <w:szCs w:val="32"/>
          <w:highlight w:val="none"/>
        </w:rPr>
      </w:pPr>
      <w:bookmarkStart w:id="23" w:name="_Toc15854"/>
      <w:r>
        <w:rPr>
          <w:rFonts w:hint="eastAsia" w:ascii="楷体" w:hAnsi="楷体" w:eastAsia="楷体" w:cs="楷体"/>
          <w:b w:val="0"/>
          <w:bCs w:val="0"/>
          <w:sz w:val="32"/>
          <w:szCs w:val="32"/>
          <w:highlight w:val="none"/>
        </w:rPr>
        <w:t>（十</w:t>
      </w:r>
      <w:r>
        <w:rPr>
          <w:rFonts w:hint="eastAsia" w:ascii="楷体" w:hAnsi="楷体" w:eastAsia="楷体" w:cs="楷体"/>
          <w:b w:val="0"/>
          <w:bCs w:val="0"/>
          <w:sz w:val="32"/>
          <w:szCs w:val="32"/>
          <w:highlight w:val="none"/>
          <w:lang w:eastAsia="zh-CN"/>
        </w:rPr>
        <w:t>五</w:t>
      </w:r>
      <w:r>
        <w:rPr>
          <w:rFonts w:hint="eastAsia" w:ascii="楷体" w:hAnsi="楷体" w:eastAsia="楷体" w:cs="楷体"/>
          <w:b w:val="0"/>
          <w:bCs w:val="0"/>
          <w:sz w:val="32"/>
          <w:szCs w:val="32"/>
          <w:highlight w:val="none"/>
        </w:rPr>
        <w:t>）加强应急管理队伍建设，打造过硬应急管理队伍。</w:t>
      </w:r>
      <w:bookmarkEnd w:id="23"/>
    </w:p>
    <w:p w14:paraId="156FB5AD">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1.认真贯彻落实《2019</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2023年全国党政领导班子建设规划纲要》，在全市应急管理系统组织开展政治忠诚教育，教育党员、干部进一步树牢“四个意识”、坚定“四个自信”、做到“两个维护”。</w:t>
      </w:r>
    </w:p>
    <w:p w14:paraId="22C459DA">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把“不忘初心、牢记使命”主题教育作为全市应急管理系统党建工作的永恒课题，突出抓好理想信念教育、深化理论宣传，始终与党中央和上级党委保持高度一致。大力加强精神文明建设，发挥先进典型示范效应，积极开展党员志愿服务，围绕践行社会主义核心价值观，着力提升应急管理干部职工文明程度和人文品位。</w:t>
      </w:r>
    </w:p>
    <w:p w14:paraId="6AA3F107">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3.全面提升应急管理系统各级党组织的组织力、凝聚力和约束力，坚持严管与厚爱结合、激励与约束并重，加强经常性的纪律教育，正确运用监督执纪“四种形态”</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扎紧制度笼子，有效堵塞漏洞、防范风险，切实筑牢拒腐防变的思想道德防线。</w:t>
      </w:r>
    </w:p>
    <w:p w14:paraId="066F1111">
      <w:pPr>
        <w:keepNext w:val="0"/>
        <w:keepLines w:val="0"/>
        <w:pageBreakBefore w:val="0"/>
        <w:kinsoku/>
        <w:wordWrap/>
        <w:overflowPunct/>
        <w:topLinePunct w:val="0"/>
        <w:bidi w:val="0"/>
        <w:adjustRightInd w:val="0"/>
        <w:snapToGrid w:val="0"/>
        <w:spacing w:line="560" w:lineRule="exact"/>
        <w:ind w:firstLine="640" w:firstLineChars="200"/>
        <w:jc w:val="both"/>
        <w:outlineLvl w:val="0"/>
        <w:rPr>
          <w:rFonts w:hint="eastAsia" w:ascii="黑体" w:hAnsi="Calibri" w:eastAsia="黑体" w:cs="Times New Roman"/>
          <w:b w:val="0"/>
          <w:bCs w:val="0"/>
          <w:sz w:val="32"/>
          <w:szCs w:val="32"/>
          <w:highlight w:val="none"/>
        </w:rPr>
      </w:pPr>
      <w:bookmarkStart w:id="24" w:name="_Toc30774"/>
      <w:r>
        <w:rPr>
          <w:rFonts w:hint="eastAsia" w:ascii="黑体" w:hAnsi="Calibri" w:eastAsia="黑体" w:cs="Times New Roman"/>
          <w:b w:val="0"/>
          <w:bCs w:val="0"/>
          <w:sz w:val="32"/>
          <w:szCs w:val="32"/>
          <w:highlight w:val="none"/>
        </w:rPr>
        <w:t>四、重点工程</w:t>
      </w:r>
      <w:bookmarkEnd w:id="24"/>
    </w:p>
    <w:p w14:paraId="1C86D29F">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rPr>
      </w:pPr>
      <w:bookmarkStart w:id="25" w:name="_Toc11556"/>
      <w:r>
        <w:rPr>
          <w:rFonts w:hint="eastAsia" w:ascii="楷体" w:hAnsi="楷体" w:eastAsia="楷体" w:cs="楷体"/>
          <w:b w:val="0"/>
          <w:bCs w:val="0"/>
          <w:color w:val="333333"/>
          <w:kern w:val="0"/>
          <w:sz w:val="32"/>
          <w:szCs w:val="32"/>
          <w:highlight w:val="none"/>
        </w:rPr>
        <w:t>（一）地质灾害防治重大工程。</w:t>
      </w:r>
      <w:bookmarkEnd w:id="25"/>
    </w:p>
    <w:p w14:paraId="3D341BCB">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全面推进以地质灾害调查评价、监测预警、防治以及应急体系建设为主要内容的地质灾害综合防治体系建设，大力提升地质灾害综合防治能力。完成</w:t>
      </w:r>
      <w:r>
        <w:rPr>
          <w:rFonts w:hint="eastAsia" w:ascii="仿宋" w:hAnsi="仿宋" w:eastAsia="仿宋" w:cs="仿宋"/>
          <w:b w:val="0"/>
          <w:bCs w:val="0"/>
          <w:sz w:val="32"/>
          <w:szCs w:val="32"/>
          <w:highlight w:val="none"/>
          <w:lang w:eastAsia="zh-CN"/>
        </w:rPr>
        <w:t>兴宁市</w:t>
      </w:r>
      <w:r>
        <w:rPr>
          <w:rFonts w:hint="eastAsia" w:ascii="仿宋" w:hAnsi="仿宋" w:eastAsia="仿宋" w:cs="仿宋"/>
          <w:b w:val="0"/>
          <w:bCs w:val="0"/>
          <w:sz w:val="32"/>
          <w:szCs w:val="32"/>
          <w:highlight w:val="none"/>
        </w:rPr>
        <w:t>比例尺1:5</w:t>
      </w:r>
      <w:r>
        <w:rPr>
          <w:rFonts w:hint="eastAsia" w:ascii="仿宋" w:hAnsi="仿宋" w:eastAsia="仿宋" w:cs="仿宋"/>
          <w:b w:val="0"/>
          <w:bCs w:val="0"/>
          <w:sz w:val="32"/>
          <w:szCs w:val="32"/>
          <w:highlight w:val="none"/>
          <w:lang w:val="en-US" w:eastAsia="zh-CN"/>
        </w:rPr>
        <w:t>万</w:t>
      </w:r>
      <w:r>
        <w:rPr>
          <w:rFonts w:hint="eastAsia" w:ascii="仿宋" w:hAnsi="仿宋" w:eastAsia="仿宋" w:cs="仿宋"/>
          <w:b w:val="0"/>
          <w:bCs w:val="0"/>
          <w:sz w:val="32"/>
          <w:szCs w:val="32"/>
          <w:highlight w:val="none"/>
        </w:rPr>
        <w:t>地质灾害详细调查评价成果整合集成工作。建成统一领导、部门联动、上下协调、机制灵活、职责明确的地质灾害防治技术支撑体系，将地质灾害防治技术支撑体系建设经费纳入地方财政预算。建成集监测、预警、预报和采集为一体，实时连接地质灾害大数据管理平台。完善群测群防网格化管理责任体系，健全群测群防“三查”工作制度，加强人员配备，为群测群防人员配置巡（排）查终端</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rPr>
        <w:t>完善</w:t>
      </w:r>
      <w:r>
        <w:rPr>
          <w:rFonts w:hint="eastAsia" w:ascii="仿宋" w:hAnsi="仿宋" w:eastAsia="仿宋" w:cs="仿宋"/>
          <w:b w:val="0"/>
          <w:bCs w:val="0"/>
          <w:sz w:val="32"/>
          <w:szCs w:val="32"/>
          <w:highlight w:val="none"/>
          <w:lang w:eastAsia="zh-CN"/>
        </w:rPr>
        <w:t>全市</w:t>
      </w:r>
      <w:r>
        <w:rPr>
          <w:rFonts w:hint="eastAsia" w:ascii="仿宋" w:hAnsi="仿宋" w:eastAsia="仿宋" w:cs="仿宋"/>
          <w:b w:val="0"/>
          <w:bCs w:val="0"/>
          <w:sz w:val="32"/>
          <w:szCs w:val="32"/>
          <w:highlight w:val="none"/>
        </w:rPr>
        <w:t>地质灾害气象风险预警系统，提高预警的准确性和实时性。完善全市地质灾害隐患点排查库及排查系统，完成与市排查库及排查系统对接。积极筹集各方资金，加大对地质灾害隐患点避险搬迁、工程治理和专业监测的综合治理力度，全面整治全市在册重要地质灾害隐患点。完成全市削坡建房风险点的排查，建立风险点管理台账，制定综合治理措施，大幅降低削坡建房引发地质灾害风险。进一步健全地质灾害应急管理、技术指导体系以及应急专家队伍建设，通过信息系统升级和应急装备建设提升应急处置能力。加强应急演练和科普宣传</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提高群众防灾避险能力。</w:t>
      </w:r>
    </w:p>
    <w:p w14:paraId="7DE9E221">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rPr>
      </w:pPr>
      <w:bookmarkStart w:id="26" w:name="_Toc6716"/>
      <w:r>
        <w:rPr>
          <w:rFonts w:hint="eastAsia" w:ascii="楷体" w:hAnsi="楷体" w:eastAsia="楷体" w:cs="楷体"/>
          <w:b w:val="0"/>
          <w:bCs w:val="0"/>
          <w:color w:val="333333"/>
          <w:kern w:val="0"/>
          <w:sz w:val="32"/>
          <w:szCs w:val="32"/>
          <w:highlight w:val="none"/>
        </w:rPr>
        <w:t>（二）防汛抗旱重大工程。</w:t>
      </w:r>
      <w:bookmarkEnd w:id="26"/>
    </w:p>
    <w:p w14:paraId="03120012">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rPr>
      </w:pPr>
      <w:r>
        <w:rPr>
          <w:rFonts w:hint="eastAsia" w:ascii="仿宋" w:hAnsi="仿宋" w:eastAsia="仿宋" w:cs="仿宋"/>
          <w:b w:val="0"/>
          <w:bCs w:val="0"/>
          <w:color w:val="333333"/>
          <w:kern w:val="0"/>
          <w:sz w:val="32"/>
          <w:szCs w:val="32"/>
          <w:highlight w:val="none"/>
        </w:rPr>
        <w:t>健全防汛抗旱指挥调度体系，进一步加强防洪排涝设施建设，完成病险水库（水闸）除险加固和抗旱水源建设，完善工程措施与非工程措施相结合的山洪灾害综合防御体系，增强重点区域和城乡抗旱能力</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继续实施中小河流的防洪治理，采取综合措施提高防御洪水能力，改善河流生态环境。继续推进实施山洪灾害防治项目，开展山洪灾害调查评价，完善监测和预警系统平台，完善群测群防体系及山洪灾害应急保障系统等非工程措施。加强重点山洪沟防洪治理</w:t>
      </w:r>
      <w:r>
        <w:rPr>
          <w:rFonts w:hint="eastAsia" w:ascii="仿宋" w:hAnsi="仿宋" w:eastAsia="仿宋" w:cs="仿宋"/>
          <w:b w:val="0"/>
          <w:bCs w:val="0"/>
          <w:color w:val="333333"/>
          <w:kern w:val="0"/>
          <w:sz w:val="32"/>
          <w:szCs w:val="32"/>
          <w:highlight w:val="none"/>
          <w:lang w:eastAsia="zh-CN"/>
        </w:rPr>
        <w:t>和</w:t>
      </w:r>
      <w:r>
        <w:rPr>
          <w:rFonts w:hint="eastAsia" w:ascii="仿宋" w:hAnsi="仿宋" w:eastAsia="仿宋" w:cs="仿宋"/>
          <w:b w:val="0"/>
          <w:bCs w:val="0"/>
          <w:color w:val="333333"/>
          <w:kern w:val="0"/>
          <w:sz w:val="32"/>
          <w:szCs w:val="32"/>
          <w:highlight w:val="none"/>
        </w:rPr>
        <w:t>防汛抗旱能力建设。编制重点城市洪水风险图和重要流域洪水调度方案，逐步建立流域联合防洪调度机制。加强防汛、抗旱物资储备和队伍建设，构建防汛、抗旱物资储备体系和覆盖全市的防汛物资储备网络。进一步完善防汛抗旱指挥系统和基层体系，建设水库联合调度体系和防汛抗旱决策支撑体系。建设完善水文基础设施，提高水文站网测报信息化水平，提升水资源监测能力。</w:t>
      </w:r>
      <w:r>
        <w:rPr>
          <w:rFonts w:hint="eastAsia" w:ascii="仿宋" w:hAnsi="仿宋" w:eastAsia="仿宋" w:cs="仿宋"/>
          <w:b w:val="0"/>
          <w:bCs w:val="0"/>
          <w:color w:val="333333"/>
          <w:kern w:val="0"/>
          <w:sz w:val="32"/>
          <w:szCs w:val="32"/>
          <w:highlight w:val="none"/>
          <w:lang w:eastAsia="zh-CN"/>
        </w:rPr>
        <w:t>加强</w:t>
      </w:r>
      <w:r>
        <w:rPr>
          <w:rFonts w:hint="eastAsia" w:ascii="仿宋" w:hAnsi="仿宋" w:eastAsia="仿宋" w:cs="仿宋"/>
          <w:b w:val="0"/>
          <w:bCs w:val="0"/>
          <w:color w:val="333333"/>
          <w:kern w:val="0"/>
          <w:sz w:val="32"/>
          <w:szCs w:val="32"/>
          <w:highlight w:val="none"/>
        </w:rPr>
        <w:t>抗旱水源工程建设。以干旱易发区、贫困地区等为重点，建设一批小型水库、</w:t>
      </w:r>
      <w:r>
        <w:rPr>
          <w:rFonts w:hint="eastAsia" w:ascii="仿宋" w:hAnsi="仿宋" w:eastAsia="仿宋" w:cs="仿宋"/>
          <w:b w:val="0"/>
          <w:bCs w:val="0"/>
          <w:color w:val="333333"/>
          <w:kern w:val="0"/>
          <w:sz w:val="32"/>
          <w:szCs w:val="32"/>
          <w:highlight w:val="none"/>
          <w:lang w:eastAsia="zh-CN"/>
        </w:rPr>
        <w:t>引堤水</w:t>
      </w:r>
      <w:r>
        <w:rPr>
          <w:rFonts w:hint="eastAsia" w:ascii="仿宋" w:hAnsi="仿宋" w:eastAsia="仿宋" w:cs="仿宋"/>
          <w:b w:val="0"/>
          <w:bCs w:val="0"/>
          <w:color w:val="333333"/>
          <w:kern w:val="0"/>
          <w:sz w:val="32"/>
          <w:szCs w:val="32"/>
          <w:highlight w:val="none"/>
        </w:rPr>
        <w:t>工程、抗旱应急备用井，提高抗旱能力。　</w:t>
      </w:r>
    </w:p>
    <w:p w14:paraId="7316AD18">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lang w:val="en-US" w:eastAsia="zh-CN" w:bidi="ar-SA"/>
        </w:rPr>
      </w:pPr>
      <w:bookmarkStart w:id="27" w:name="_Toc18872"/>
      <w:r>
        <w:rPr>
          <w:rFonts w:hint="eastAsia" w:ascii="楷体" w:hAnsi="楷体" w:eastAsia="楷体" w:cs="楷体"/>
          <w:b w:val="0"/>
          <w:bCs w:val="0"/>
          <w:color w:val="333333"/>
          <w:kern w:val="0"/>
          <w:sz w:val="32"/>
          <w:szCs w:val="32"/>
          <w:highlight w:val="none"/>
          <w:lang w:val="en-US" w:eastAsia="zh-CN" w:bidi="ar-SA"/>
        </w:rPr>
        <w:t>（三）气象灾害防御重大工程。</w:t>
      </w:r>
      <w:bookmarkEnd w:id="27"/>
    </w:p>
    <w:p w14:paraId="6D43E39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优化和升级区域自动气象站网，推进村村有气象观测站建设，在地质灾害多发区、高速公路重点路段和服务区等关键区域监测盲区加密建设自动气象站。面向现代农业、生态、环境、交通、旅游、电力、重点单位等建设完善行业气象观测站。建设基于精细化GRAPES数值预报系统的兴宁数值预报产品解释应用平台和无缝隙智能网格预报业务平台。升级完善兴宁市突发事件预警信息发布平台，建设突发事件预警信息靶向发布系统，调动社会资源拓展气象灾害预警信息发布渠道，扩大信息覆盖面。建设集灾害实况、定量评估、影响预报、风险预警为一体的智能化防灾减灾决策气象服务平台，健全镇村应急气象综合服务体系。有序推进气象灾害风险普查和风险区划，编制兴宁市1:5万主要气象灾害风险地图。加强现代农业气象保障能力建设，开展农业气候资源开发利用试点和标准化农业气象服务，建设基于影响的主要农业气象灾害监测预报评估系统和现代农业气象服务业务系统。</w:t>
      </w:r>
    </w:p>
    <w:p w14:paraId="5856BFB7">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rPr>
      </w:pPr>
      <w:bookmarkStart w:id="28" w:name="_Toc18343"/>
      <w:r>
        <w:rPr>
          <w:rFonts w:hint="eastAsia" w:ascii="楷体" w:hAnsi="楷体" w:eastAsia="楷体" w:cs="楷体"/>
          <w:b w:val="0"/>
          <w:bCs w:val="0"/>
          <w:color w:val="333333"/>
          <w:kern w:val="0"/>
          <w:sz w:val="32"/>
          <w:szCs w:val="32"/>
          <w:highlight w:val="none"/>
        </w:rPr>
        <w:t>（四）防震减灾重大工程。</w:t>
      </w:r>
      <w:bookmarkEnd w:id="28"/>
    </w:p>
    <w:p w14:paraId="157D780A">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rPr>
      </w:pPr>
      <w:r>
        <w:rPr>
          <w:rFonts w:hint="eastAsia" w:ascii="仿宋" w:hAnsi="仿宋" w:eastAsia="仿宋" w:cs="仿宋"/>
          <w:b w:val="0"/>
          <w:bCs w:val="0"/>
          <w:color w:val="333333"/>
          <w:kern w:val="0"/>
          <w:sz w:val="32"/>
          <w:szCs w:val="32"/>
          <w:highlight w:val="none"/>
        </w:rPr>
        <w:t>完善地震监测点网布设，提升信息收集与处理能力，提高地震监测预警水平与应急救援能力，重点提升以地震烈度速报与预警、地震监测预报、城镇地震灾害风险防御、地震应急救援响应与处置等为主的防震减灾综合能力。继续建设</w:t>
      </w:r>
      <w:r>
        <w:rPr>
          <w:rFonts w:hint="eastAsia" w:ascii="仿宋" w:hAnsi="仿宋" w:eastAsia="仿宋" w:cs="仿宋"/>
          <w:b w:val="0"/>
          <w:bCs w:val="0"/>
          <w:color w:val="333333"/>
          <w:kern w:val="0"/>
          <w:sz w:val="32"/>
          <w:szCs w:val="32"/>
          <w:highlight w:val="none"/>
          <w:lang w:eastAsia="zh-CN"/>
        </w:rPr>
        <w:t>兴宁</w:t>
      </w:r>
      <w:r>
        <w:rPr>
          <w:rFonts w:hint="eastAsia" w:ascii="仿宋" w:hAnsi="仿宋" w:eastAsia="仿宋" w:cs="仿宋"/>
          <w:b w:val="0"/>
          <w:bCs w:val="0"/>
          <w:color w:val="333333"/>
          <w:kern w:val="0"/>
          <w:sz w:val="32"/>
          <w:szCs w:val="32"/>
          <w:highlight w:val="none"/>
        </w:rPr>
        <w:t>市地震烈度速报与预警工程。新建有关技术系统，新建与改建基准站</w:t>
      </w:r>
      <w:r>
        <w:rPr>
          <w:rFonts w:hint="eastAsia" w:ascii="仿宋" w:hAnsi="仿宋" w:eastAsia="仿宋" w:cs="仿宋"/>
          <w:b w:val="0"/>
          <w:bCs w:val="0"/>
          <w:color w:val="333333"/>
          <w:kern w:val="0"/>
          <w:sz w:val="32"/>
          <w:szCs w:val="32"/>
          <w:highlight w:val="none"/>
          <w:lang w:eastAsia="zh-CN"/>
        </w:rPr>
        <w:t>和</w:t>
      </w:r>
      <w:r>
        <w:rPr>
          <w:rFonts w:hint="eastAsia" w:ascii="仿宋" w:hAnsi="仿宋" w:eastAsia="仿宋" w:cs="仿宋"/>
          <w:b w:val="0"/>
          <w:bCs w:val="0"/>
          <w:color w:val="333333"/>
          <w:kern w:val="0"/>
          <w:sz w:val="32"/>
          <w:szCs w:val="32"/>
          <w:highlight w:val="none"/>
        </w:rPr>
        <w:t>一般站。实施预测预报能力建设和实验场平台建设。开展防震减灾基础服务体系建设。建设地震灾害风险防御与应急处置一体化工程。实施全市城镇地震灾害风险防御工程、地震科普教育与应急救援培训能力建设。　</w:t>
      </w:r>
    </w:p>
    <w:p w14:paraId="6E38C4C2">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rPr>
      </w:pPr>
      <w:bookmarkStart w:id="29" w:name="_Toc5794"/>
      <w:r>
        <w:rPr>
          <w:rFonts w:hint="eastAsia" w:ascii="楷体" w:hAnsi="楷体" w:eastAsia="楷体" w:cs="楷体"/>
          <w:b w:val="0"/>
          <w:bCs w:val="0"/>
          <w:color w:val="333333"/>
          <w:kern w:val="0"/>
          <w:sz w:val="32"/>
          <w:szCs w:val="32"/>
          <w:highlight w:val="none"/>
        </w:rPr>
        <w:t>（五）测绘保障重大工程。</w:t>
      </w:r>
      <w:bookmarkEnd w:id="29"/>
    </w:p>
    <w:p w14:paraId="120CCC5C">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楷体" w:hAnsi="楷体" w:eastAsia="楷体" w:cs="楷体"/>
          <w:b w:val="0"/>
          <w:bCs w:val="0"/>
          <w:color w:val="333333"/>
          <w:kern w:val="0"/>
          <w:sz w:val="32"/>
          <w:szCs w:val="32"/>
          <w:highlight w:val="none"/>
        </w:rPr>
      </w:pPr>
      <w:r>
        <w:rPr>
          <w:rFonts w:hint="eastAsia" w:ascii="仿宋" w:hAnsi="仿宋" w:eastAsia="仿宋" w:cs="仿宋"/>
          <w:b w:val="0"/>
          <w:bCs w:val="0"/>
          <w:color w:val="333333"/>
          <w:kern w:val="0"/>
          <w:sz w:val="32"/>
          <w:szCs w:val="32"/>
          <w:highlight w:val="none"/>
        </w:rPr>
        <w:t>建设备灾地理信息数据库和城市地下管线隐患点数据库</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实施灾区现场影像获取等应急测绘</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开展灾情监测和空间分析</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推进测绘地理信息新技术在防灾减灾救灾中的深度应用</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为常态化减灾和灾害应急准备、响应、处置和紧急救援等提供测绘保障服务。每年定期更新备灾地理信息数据库</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继续测制与更新高精度地质灾害防治专用图。建设城市地下管线隐患点数据库</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监测城市生命线</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构建智慧地下空间。开展城市燃气管网、排水管网以及长距离油气干线隐患排查</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摸清地下管线结构性隐患和危险源分布</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建立城市地下管线隐患点数据库并每年定期更新</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为城市地下管线隐患整治、日常监管和应急处置提供基础保障</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切实提升城市灾害监测和地下空间安全管理能力。</w:t>
      </w:r>
    </w:p>
    <w:p w14:paraId="3D59E02F">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rPr>
      </w:pPr>
      <w:bookmarkStart w:id="30" w:name="_Toc17803"/>
      <w:r>
        <w:rPr>
          <w:rFonts w:hint="eastAsia" w:ascii="楷体" w:hAnsi="楷体" w:eastAsia="楷体" w:cs="楷体"/>
          <w:b w:val="0"/>
          <w:bCs w:val="0"/>
          <w:color w:val="333333"/>
          <w:kern w:val="0"/>
          <w:sz w:val="32"/>
          <w:szCs w:val="32"/>
          <w:highlight w:val="none"/>
        </w:rPr>
        <w:t>（六）</w:t>
      </w:r>
      <w:r>
        <w:rPr>
          <w:rFonts w:hint="eastAsia" w:ascii="楷体" w:hAnsi="楷体" w:eastAsia="楷体" w:cs="楷体"/>
          <w:b w:val="0"/>
          <w:bCs w:val="0"/>
          <w:color w:val="333333"/>
          <w:kern w:val="0"/>
          <w:sz w:val="32"/>
          <w:szCs w:val="32"/>
          <w:highlight w:val="none"/>
          <w:lang w:eastAsia="zh-CN"/>
        </w:rPr>
        <w:t>森林火灾</w:t>
      </w:r>
      <w:r>
        <w:rPr>
          <w:rFonts w:hint="eastAsia" w:ascii="楷体" w:hAnsi="楷体" w:eastAsia="楷体" w:cs="楷体"/>
          <w:b w:val="0"/>
          <w:bCs w:val="0"/>
          <w:color w:val="333333"/>
          <w:kern w:val="0"/>
          <w:sz w:val="32"/>
          <w:szCs w:val="32"/>
          <w:highlight w:val="none"/>
        </w:rPr>
        <w:t>防控重大工程。</w:t>
      </w:r>
      <w:bookmarkEnd w:id="30"/>
    </w:p>
    <w:p w14:paraId="6C3B87B8">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rPr>
      </w:pPr>
      <w:r>
        <w:rPr>
          <w:rFonts w:hint="eastAsia" w:ascii="仿宋" w:hAnsi="仿宋" w:eastAsia="仿宋" w:cs="仿宋"/>
          <w:b w:val="0"/>
          <w:bCs w:val="0"/>
          <w:color w:val="333333"/>
          <w:kern w:val="0"/>
          <w:sz w:val="32"/>
          <w:szCs w:val="32"/>
          <w:highlight w:val="none"/>
        </w:rPr>
        <w:t>强化森林防火基础设施建设和综合治理，建立健全火灾应急处置机制，推进预警响应规范化、火源管理法制化、火灾扑救科学化、队伍建设专业化、装备建设机械化、基础工作信息化。实施重点火险区大型装备建设和防火应急道路建设项目；实施森林重点火险区以水灭火设施设备及专业队营房建设项目，完善林火预警监测系统、森林防火通信系统和信息指挥系统。</w:t>
      </w:r>
    </w:p>
    <w:p w14:paraId="1747B15D">
      <w:pPr>
        <w:keepNext w:val="0"/>
        <w:keepLines w:val="0"/>
        <w:pageBreakBefore w:val="0"/>
        <w:kinsoku/>
        <w:wordWrap/>
        <w:overflowPunct/>
        <w:topLinePunct w:val="0"/>
        <w:bidi w:val="0"/>
        <w:adjustRightInd w:val="0"/>
        <w:snapToGrid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rPr>
      </w:pPr>
      <w:bookmarkStart w:id="31" w:name="_Toc17078"/>
      <w:r>
        <w:rPr>
          <w:rFonts w:hint="eastAsia" w:ascii="楷体" w:hAnsi="楷体" w:eastAsia="楷体" w:cs="楷体"/>
          <w:b w:val="0"/>
          <w:bCs w:val="0"/>
          <w:color w:val="333333"/>
          <w:kern w:val="0"/>
          <w:sz w:val="32"/>
          <w:szCs w:val="32"/>
          <w:highlight w:val="none"/>
        </w:rPr>
        <w:t>（七）综合减灾重大工程。</w:t>
      </w:r>
      <w:bookmarkEnd w:id="31"/>
    </w:p>
    <w:p w14:paraId="581E501D">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rPr>
      </w:pPr>
      <w:r>
        <w:rPr>
          <w:rFonts w:hint="eastAsia" w:ascii="仿宋" w:hAnsi="仿宋" w:eastAsia="仿宋" w:cs="仿宋"/>
          <w:b w:val="0"/>
          <w:bCs w:val="0"/>
          <w:color w:val="333333"/>
          <w:kern w:val="0"/>
          <w:sz w:val="32"/>
          <w:szCs w:val="32"/>
          <w:highlight w:val="none"/>
        </w:rPr>
        <w:t>推进综合减灾救灾大数据体系建设，完善综合减灾救灾应急指挥体系功能，提升基层减灾救灾信息化水平，增强技术保障与信息服务能力。建设完善救灾物资储备库，实现</w:t>
      </w:r>
      <w:r>
        <w:rPr>
          <w:rFonts w:hint="eastAsia" w:ascii="仿宋" w:hAnsi="仿宋" w:eastAsia="仿宋" w:cs="仿宋"/>
          <w:b w:val="0"/>
          <w:bCs w:val="0"/>
          <w:color w:val="333333"/>
          <w:kern w:val="0"/>
          <w:sz w:val="32"/>
          <w:szCs w:val="32"/>
          <w:highlight w:val="none"/>
          <w:lang w:eastAsia="zh-CN"/>
        </w:rPr>
        <w:t>全市</w:t>
      </w:r>
      <w:r>
        <w:rPr>
          <w:rFonts w:hint="eastAsia" w:ascii="仿宋" w:hAnsi="仿宋" w:eastAsia="仿宋" w:cs="仿宋"/>
          <w:b w:val="0"/>
          <w:bCs w:val="0"/>
          <w:color w:val="333333"/>
          <w:kern w:val="0"/>
          <w:sz w:val="32"/>
          <w:szCs w:val="32"/>
          <w:highlight w:val="none"/>
        </w:rPr>
        <w:t>救灾物资储备库全覆盖，灾害多发和边远乡镇全面建立救灾物资储备点，提升救灾物资管理的信息化、规范化水平。</w:t>
      </w:r>
      <w:r>
        <w:rPr>
          <w:rFonts w:hint="eastAsia" w:ascii="仿宋" w:hAnsi="仿宋" w:eastAsia="仿宋" w:cs="仿宋"/>
          <w:b w:val="0"/>
          <w:bCs w:val="0"/>
          <w:color w:val="333333"/>
          <w:kern w:val="0"/>
          <w:sz w:val="32"/>
          <w:szCs w:val="32"/>
          <w:highlight w:val="none"/>
          <w:lang w:eastAsia="zh-CN"/>
        </w:rPr>
        <w:t>加大</w:t>
      </w:r>
      <w:r>
        <w:rPr>
          <w:rFonts w:hint="eastAsia" w:ascii="仿宋" w:hAnsi="仿宋" w:eastAsia="仿宋" w:cs="仿宋"/>
          <w:b w:val="0"/>
          <w:bCs w:val="0"/>
          <w:color w:val="333333"/>
          <w:kern w:val="0"/>
          <w:sz w:val="32"/>
          <w:szCs w:val="32"/>
          <w:highlight w:val="none"/>
        </w:rPr>
        <w:t>应急避难场所建设</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建设市镇</w:t>
      </w:r>
      <w:r>
        <w:rPr>
          <w:rFonts w:hint="eastAsia" w:ascii="仿宋" w:hAnsi="仿宋" w:eastAsia="仿宋" w:cs="仿宋"/>
          <w:b w:val="0"/>
          <w:bCs w:val="0"/>
          <w:color w:val="333333"/>
          <w:kern w:val="0"/>
          <w:sz w:val="32"/>
          <w:szCs w:val="32"/>
          <w:highlight w:val="none"/>
          <w:lang w:eastAsia="zh-CN"/>
        </w:rPr>
        <w:t>两</w:t>
      </w:r>
      <w:r>
        <w:rPr>
          <w:rFonts w:hint="eastAsia" w:ascii="仿宋" w:hAnsi="仿宋" w:eastAsia="仿宋" w:cs="仿宋"/>
          <w:b w:val="0"/>
          <w:bCs w:val="0"/>
          <w:color w:val="333333"/>
          <w:kern w:val="0"/>
          <w:sz w:val="32"/>
          <w:szCs w:val="32"/>
          <w:highlight w:val="none"/>
        </w:rPr>
        <w:t>级救灾物资储备库</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完善全市救灾物资储备信息化管理系统。完善</w:t>
      </w:r>
      <w:r>
        <w:rPr>
          <w:rFonts w:hint="eastAsia" w:ascii="仿宋" w:hAnsi="仿宋" w:eastAsia="仿宋" w:cs="仿宋"/>
          <w:b w:val="0"/>
          <w:bCs w:val="0"/>
          <w:color w:val="333333"/>
          <w:kern w:val="0"/>
          <w:sz w:val="32"/>
          <w:szCs w:val="32"/>
          <w:highlight w:val="none"/>
          <w:lang w:eastAsia="zh-CN"/>
        </w:rPr>
        <w:t>全市</w:t>
      </w:r>
      <w:r>
        <w:rPr>
          <w:rFonts w:hint="eastAsia" w:ascii="仿宋" w:hAnsi="仿宋" w:eastAsia="仿宋" w:cs="仿宋"/>
          <w:b w:val="0"/>
          <w:bCs w:val="0"/>
          <w:color w:val="333333"/>
          <w:kern w:val="0"/>
          <w:sz w:val="32"/>
          <w:szCs w:val="32"/>
          <w:highlight w:val="none"/>
        </w:rPr>
        <w:t>新建避难场所；在每个乡镇建设能够满足居民较长时间避难的应急避难点</w:t>
      </w:r>
      <w:r>
        <w:rPr>
          <w:rFonts w:hint="eastAsia" w:ascii="仿宋" w:hAnsi="仿宋" w:eastAsia="仿宋" w:cs="仿宋"/>
          <w:b w:val="0"/>
          <w:bCs w:val="0"/>
          <w:color w:val="333333"/>
          <w:kern w:val="0"/>
          <w:sz w:val="32"/>
          <w:szCs w:val="32"/>
          <w:highlight w:val="none"/>
          <w:lang w:eastAsia="zh-CN"/>
        </w:rPr>
        <w:t>，推进兴宁市</w:t>
      </w:r>
      <w:r>
        <w:rPr>
          <w:rFonts w:hint="eastAsia" w:ascii="仿宋" w:hAnsi="仿宋" w:eastAsia="仿宋" w:cs="仿宋"/>
          <w:b w:val="0"/>
          <w:bCs w:val="0"/>
          <w:color w:val="333333"/>
          <w:kern w:val="0"/>
          <w:sz w:val="32"/>
          <w:szCs w:val="32"/>
          <w:highlight w:val="none"/>
        </w:rPr>
        <w:t>国家综合减灾示范社区建设</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建设全市应急广播系统</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实现与国家、市应急广播平台、其他预警信息发布系统互联互通</w:t>
      </w:r>
      <w:r>
        <w:rPr>
          <w:rFonts w:hint="eastAsia" w:ascii="仿宋" w:hAnsi="仿宋" w:eastAsia="仿宋" w:cs="仿宋"/>
          <w:b w:val="0"/>
          <w:bCs w:val="0"/>
          <w:color w:val="333333"/>
          <w:kern w:val="0"/>
          <w:sz w:val="32"/>
          <w:szCs w:val="32"/>
          <w:highlight w:val="none"/>
          <w:lang w:eastAsia="zh-CN"/>
        </w:rPr>
        <w:t>，</w:t>
      </w:r>
      <w:r>
        <w:rPr>
          <w:rFonts w:hint="eastAsia" w:ascii="仿宋" w:hAnsi="仿宋" w:eastAsia="仿宋" w:cs="仿宋"/>
          <w:b w:val="0"/>
          <w:bCs w:val="0"/>
          <w:color w:val="333333"/>
          <w:kern w:val="0"/>
          <w:sz w:val="32"/>
          <w:szCs w:val="32"/>
          <w:highlight w:val="none"/>
        </w:rPr>
        <w:t>向城乡居民提供灾害预警应急广播和政务信息发布、政策宣讲服务。</w:t>
      </w:r>
    </w:p>
    <w:p w14:paraId="58C49254">
      <w:pPr>
        <w:keepNext w:val="0"/>
        <w:keepLines w:val="0"/>
        <w:pageBreakBefore w:val="0"/>
        <w:kinsoku/>
        <w:wordWrap/>
        <w:overflowPunct/>
        <w:topLinePunct w:val="0"/>
        <w:bidi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32" w:name="_Toc21810"/>
      <w:r>
        <w:rPr>
          <w:rFonts w:hint="eastAsia" w:ascii="楷体" w:hAnsi="楷体" w:eastAsia="楷体" w:cs="楷体"/>
          <w:b w:val="0"/>
          <w:bCs w:val="0"/>
          <w:color w:val="333333"/>
          <w:kern w:val="0"/>
          <w:sz w:val="32"/>
          <w:szCs w:val="32"/>
          <w:highlight w:val="none"/>
        </w:rPr>
        <w:t>（八）</w:t>
      </w:r>
      <w:r>
        <w:rPr>
          <w:rFonts w:hint="eastAsia" w:ascii="楷体" w:hAnsi="楷体" w:eastAsia="楷体" w:cs="楷体"/>
          <w:b w:val="0"/>
          <w:bCs w:val="0"/>
          <w:sz w:val="32"/>
          <w:szCs w:val="32"/>
          <w:highlight w:val="none"/>
          <w:lang w:eastAsia="zh-CN"/>
        </w:rPr>
        <w:t>兴宁市应急救援队营房建设。</w:t>
      </w:r>
      <w:bookmarkEnd w:id="32"/>
    </w:p>
    <w:p w14:paraId="57EC858B">
      <w:pPr>
        <w:keepNext w:val="0"/>
        <w:keepLines w:val="0"/>
        <w:pageBreakBefore w:val="0"/>
        <w:kinsoku/>
        <w:wordWrap/>
        <w:overflowPunct/>
        <w:topLinePunct w:val="0"/>
        <w:bidi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为推动我市应急管理事业的长远发展，加强应急综合救援队伍建设，解决我市应急救援队伍没有专门训练场地和营房的问题，拟实施兴宁市综合应急救援队营房项目，占地1000㎡，设计5层，集救援、培训、演练为一体，适应全天候、多灾种的应急救援队伍集训基地建设。</w:t>
      </w:r>
    </w:p>
    <w:p w14:paraId="00A1AAEB">
      <w:pPr>
        <w:keepNext w:val="0"/>
        <w:keepLines w:val="0"/>
        <w:pageBreakBefore w:val="0"/>
        <w:kinsoku/>
        <w:wordWrap/>
        <w:overflowPunct/>
        <w:topLinePunct w:val="0"/>
        <w:bidi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lang w:eastAsia="zh-CN"/>
        </w:rPr>
      </w:pPr>
      <w:bookmarkStart w:id="33" w:name="_Toc18613"/>
      <w:r>
        <w:rPr>
          <w:rFonts w:hint="eastAsia" w:ascii="楷体" w:hAnsi="楷体" w:eastAsia="楷体" w:cs="楷体"/>
          <w:b w:val="0"/>
          <w:bCs w:val="0"/>
          <w:color w:val="333333"/>
          <w:kern w:val="0"/>
          <w:sz w:val="32"/>
          <w:szCs w:val="32"/>
          <w:highlight w:val="none"/>
          <w:lang w:eastAsia="zh-CN"/>
        </w:rPr>
        <w:t>（九）兴宁市应急管理仓库体系建设。</w:t>
      </w:r>
      <w:bookmarkEnd w:id="33"/>
    </w:p>
    <w:p w14:paraId="0F77139F">
      <w:pPr>
        <w:keepNext w:val="0"/>
        <w:keepLines w:val="0"/>
        <w:pageBreakBefore w:val="0"/>
        <w:kinsoku/>
        <w:wordWrap/>
        <w:overflowPunct/>
        <w:topLinePunct w:val="0"/>
        <w:bidi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我市尚未设立应急救援物资储存仓库，缺乏专门的危险化学品暨烟花爆竹罚没仓库。至目前，虽然已有三防物资储备仓库、救灾物资储备仓库和森林防灭火物资等仓库，救灾物资应备充足，但现有仓库场地都是租赁，物资存储情况也相对分散，并不符合专业应急救援物资储存仓库的建设标准，难以做到统一存储和及时调度。为此，拟实施</w:t>
      </w:r>
      <w:r>
        <w:rPr>
          <w:rFonts w:hint="eastAsia" w:ascii="仿宋" w:hAnsi="仿宋" w:eastAsia="仿宋" w:cs="仿宋"/>
          <w:sz w:val="32"/>
          <w:szCs w:val="32"/>
          <w:highlight w:val="none"/>
        </w:rPr>
        <w:t>兴宁市</w:t>
      </w:r>
      <w:r>
        <w:rPr>
          <w:rFonts w:hint="eastAsia" w:ascii="仿宋" w:hAnsi="仿宋" w:eastAsia="仿宋" w:cs="仿宋"/>
          <w:sz w:val="32"/>
          <w:szCs w:val="32"/>
          <w:highlight w:val="none"/>
          <w:lang w:eastAsia="zh-CN"/>
        </w:rPr>
        <w:t>应急管理仓库体系建设项目，其中包含了</w:t>
      </w:r>
      <w:r>
        <w:rPr>
          <w:rFonts w:hint="eastAsia" w:ascii="仿宋" w:hAnsi="仿宋" w:eastAsia="仿宋" w:cs="仿宋"/>
          <w:b w:val="0"/>
          <w:bCs w:val="0"/>
          <w:color w:val="333333"/>
          <w:kern w:val="0"/>
          <w:sz w:val="32"/>
          <w:szCs w:val="32"/>
          <w:highlight w:val="none"/>
          <w:lang w:val="en-US" w:eastAsia="zh-CN"/>
        </w:rPr>
        <w:t>三防救灾（消防森防）抢险救援仓库建设工程和危险化学品暨烟花爆竹罚没仓库建设工程</w:t>
      </w:r>
      <w:r>
        <w:rPr>
          <w:rFonts w:hint="eastAsia" w:ascii="仿宋" w:hAnsi="仿宋" w:eastAsia="仿宋" w:cs="仿宋"/>
          <w:sz w:val="32"/>
          <w:szCs w:val="32"/>
          <w:highlight w:val="none"/>
          <w:lang w:val="en-US" w:eastAsia="zh-CN"/>
        </w:rPr>
        <w:t>。</w:t>
      </w:r>
    </w:p>
    <w:p w14:paraId="17E3873C">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1.三防救灾（消防森防）抢险救援仓库建设工程：总占地面积约2000㎡，一体建设，分为三防救灾和消防森防两个抢险救援仓库，每个仓库建筑占地面积400㎡。</w:t>
      </w:r>
    </w:p>
    <w:p w14:paraId="5F942AF9">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2.危险化学品暨烟花爆竹罚没仓库建设工程：总占地面积约2500㎡，一体建设，根据分类标准分别建设三个建筑占地面积400㎡的仓库。</w:t>
      </w:r>
    </w:p>
    <w:p w14:paraId="3A9A1979">
      <w:pPr>
        <w:keepNext w:val="0"/>
        <w:keepLines w:val="0"/>
        <w:pageBreakBefore w:val="0"/>
        <w:kinsoku/>
        <w:wordWrap/>
        <w:overflowPunct/>
        <w:topLinePunct w:val="0"/>
        <w:bidi w:val="0"/>
        <w:spacing w:line="560" w:lineRule="exact"/>
        <w:ind w:firstLine="640" w:firstLineChars="200"/>
        <w:jc w:val="both"/>
        <w:outlineLvl w:val="1"/>
        <w:rPr>
          <w:rFonts w:hint="eastAsia" w:ascii="楷体" w:hAnsi="楷体" w:eastAsia="楷体" w:cs="楷体"/>
          <w:b w:val="0"/>
          <w:bCs w:val="0"/>
          <w:color w:val="333333"/>
          <w:kern w:val="0"/>
          <w:sz w:val="32"/>
          <w:szCs w:val="32"/>
          <w:highlight w:val="none"/>
          <w:lang w:eastAsia="zh-CN"/>
        </w:rPr>
      </w:pPr>
      <w:bookmarkStart w:id="34" w:name="_Toc21111"/>
      <w:r>
        <w:rPr>
          <w:rFonts w:hint="eastAsia" w:ascii="楷体" w:hAnsi="楷体" w:eastAsia="楷体" w:cs="楷体"/>
          <w:b w:val="0"/>
          <w:bCs w:val="0"/>
          <w:color w:val="333333"/>
          <w:kern w:val="0"/>
          <w:sz w:val="32"/>
          <w:szCs w:val="32"/>
          <w:highlight w:val="none"/>
          <w:lang w:eastAsia="zh-CN"/>
        </w:rPr>
        <w:t>（十）安全发展示范城市建设。</w:t>
      </w:r>
      <w:bookmarkEnd w:id="34"/>
    </w:p>
    <w:p w14:paraId="4BAAB216">
      <w:pPr>
        <w:keepNext w:val="0"/>
        <w:keepLines w:val="0"/>
        <w:pageBreakBefore w:val="0"/>
        <w:kinsoku/>
        <w:wordWrap/>
        <w:overflowPunct/>
        <w:topLinePunct w:val="0"/>
        <w:bidi w:val="0"/>
        <w:adjustRightInd w:val="0"/>
        <w:snapToGrid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按照国家、省、梅州市有关工作部署，结合兴宁实际，组织开展安全发展示范城市建设，推进安全、应急、爱路护路宣传教育“进企业、进机关、进学校、进社区、进家庭、进公共场所”。推进安全文化宣传公园、安全文化教育体验区和全国综合减灾示范社区建设，让广大市民在休闲中学习、体验安全知识，增长防御自然灾害知识能力。强化防灾减灾宣传教育培训与演练，提升公众识灾避险与自救互救能力。</w:t>
      </w:r>
    </w:p>
    <w:p w14:paraId="69C5DA7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cs="黑体"/>
          <w:b w:val="0"/>
          <w:bCs w:val="0"/>
          <w:sz w:val="32"/>
          <w:szCs w:val="32"/>
          <w:highlight w:val="none"/>
        </w:rPr>
      </w:pPr>
      <w:bookmarkStart w:id="35" w:name="_Toc6340"/>
      <w:r>
        <w:rPr>
          <w:rFonts w:hint="eastAsia" w:ascii="黑体" w:hAnsi="黑体" w:eastAsia="黑体" w:cs="黑体"/>
          <w:b w:val="0"/>
          <w:bCs w:val="0"/>
          <w:sz w:val="32"/>
          <w:szCs w:val="32"/>
          <w:highlight w:val="none"/>
        </w:rPr>
        <w:t>五、保障措施</w:t>
      </w:r>
      <w:bookmarkEnd w:id="35"/>
    </w:p>
    <w:p w14:paraId="56A22F39">
      <w:pPr>
        <w:keepNext w:val="0"/>
        <w:keepLines w:val="0"/>
        <w:pageBreakBefore w:val="0"/>
        <w:kinsoku/>
        <w:wordWrap/>
        <w:overflowPunct/>
        <w:topLinePunct w:val="0"/>
        <w:bidi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36" w:name="_Toc10704"/>
      <w:r>
        <w:rPr>
          <w:rFonts w:hint="eastAsia" w:ascii="楷体" w:hAnsi="楷体" w:eastAsia="楷体" w:cs="楷体"/>
          <w:b w:val="0"/>
          <w:bCs w:val="0"/>
          <w:sz w:val="32"/>
          <w:szCs w:val="32"/>
          <w:highlight w:val="none"/>
          <w:lang w:eastAsia="zh-CN"/>
        </w:rPr>
        <w:t>（一）加强组织实施。</w:t>
      </w:r>
      <w:bookmarkEnd w:id="36"/>
    </w:p>
    <w:p w14:paraId="3B7040D9">
      <w:pPr>
        <w:keepNext w:val="0"/>
        <w:keepLines w:val="0"/>
        <w:pageBreakBefore w:val="0"/>
        <w:kinsoku/>
        <w:wordWrap/>
        <w:overflowPunct/>
        <w:topLinePunct w:val="0"/>
        <w:bidi w:val="0"/>
        <w:spacing w:line="560" w:lineRule="exact"/>
        <w:ind w:firstLine="640" w:firstLineChars="200"/>
        <w:jc w:val="both"/>
        <w:rPr>
          <w:rFonts w:hint="eastAsia" w:ascii="仿宋" w:hAnsi="仿宋" w:eastAsia="仿宋" w:cs="仿宋"/>
          <w:b w:val="0"/>
          <w:bCs w:val="0"/>
          <w:color w:val="333333"/>
          <w:kern w:val="0"/>
          <w:sz w:val="32"/>
          <w:szCs w:val="32"/>
          <w:highlight w:val="none"/>
        </w:rPr>
      </w:pPr>
      <w:r>
        <w:rPr>
          <w:rFonts w:hint="eastAsia" w:ascii="仿宋" w:hAnsi="仿宋" w:eastAsia="仿宋" w:cs="仿宋"/>
          <w:b w:val="0"/>
          <w:bCs w:val="0"/>
          <w:color w:val="333333"/>
          <w:kern w:val="0"/>
          <w:sz w:val="32"/>
          <w:szCs w:val="32"/>
          <w:highlight w:val="none"/>
        </w:rPr>
        <w:t>本规划由</w:t>
      </w:r>
      <w:r>
        <w:rPr>
          <w:rFonts w:hint="eastAsia" w:ascii="仿宋" w:hAnsi="仿宋" w:eastAsia="仿宋" w:cs="仿宋"/>
          <w:b w:val="0"/>
          <w:bCs w:val="0"/>
          <w:color w:val="333333"/>
          <w:kern w:val="0"/>
          <w:sz w:val="32"/>
          <w:szCs w:val="32"/>
          <w:highlight w:val="none"/>
          <w:lang w:eastAsia="zh-CN"/>
        </w:rPr>
        <w:t>兴宁</w:t>
      </w:r>
      <w:r>
        <w:rPr>
          <w:rFonts w:hint="eastAsia" w:ascii="仿宋" w:hAnsi="仿宋" w:eastAsia="仿宋" w:cs="仿宋"/>
          <w:b w:val="0"/>
          <w:bCs w:val="0"/>
          <w:color w:val="333333"/>
          <w:kern w:val="0"/>
          <w:sz w:val="32"/>
          <w:szCs w:val="32"/>
          <w:highlight w:val="none"/>
        </w:rPr>
        <w:t>市应急管理局统筹协调</w:t>
      </w:r>
      <w:r>
        <w:rPr>
          <w:rFonts w:hint="eastAsia" w:ascii="仿宋" w:hAnsi="仿宋" w:eastAsia="仿宋" w:cs="仿宋"/>
          <w:b w:val="0"/>
          <w:bCs w:val="0"/>
          <w:color w:val="333333"/>
          <w:kern w:val="0"/>
          <w:sz w:val="32"/>
          <w:szCs w:val="32"/>
          <w:highlight w:val="none"/>
          <w:lang w:eastAsia="zh-CN"/>
        </w:rPr>
        <w:t>组织</w:t>
      </w:r>
      <w:r>
        <w:rPr>
          <w:rFonts w:hint="eastAsia" w:ascii="仿宋" w:hAnsi="仿宋" w:eastAsia="仿宋" w:cs="仿宋"/>
          <w:b w:val="0"/>
          <w:bCs w:val="0"/>
          <w:color w:val="333333"/>
          <w:kern w:val="0"/>
          <w:sz w:val="32"/>
          <w:szCs w:val="32"/>
          <w:highlight w:val="none"/>
        </w:rPr>
        <w:t>实施，加强市、</w:t>
      </w:r>
      <w:r>
        <w:rPr>
          <w:rFonts w:hint="eastAsia" w:ascii="仿宋" w:hAnsi="仿宋" w:eastAsia="仿宋" w:cs="仿宋"/>
          <w:b w:val="0"/>
          <w:bCs w:val="0"/>
          <w:color w:val="333333"/>
          <w:kern w:val="0"/>
          <w:sz w:val="32"/>
          <w:szCs w:val="32"/>
          <w:highlight w:val="none"/>
          <w:lang w:eastAsia="zh-CN"/>
        </w:rPr>
        <w:t>镇</w:t>
      </w:r>
      <w:r>
        <w:rPr>
          <w:rFonts w:hint="eastAsia" w:ascii="仿宋" w:hAnsi="仿宋" w:eastAsia="仿宋" w:cs="仿宋"/>
          <w:b w:val="0"/>
          <w:bCs w:val="0"/>
          <w:color w:val="333333"/>
          <w:kern w:val="0"/>
          <w:sz w:val="32"/>
          <w:szCs w:val="32"/>
          <w:highlight w:val="none"/>
        </w:rPr>
        <w:t>及市有关部门、单位之间的协调与联动。</w:t>
      </w:r>
      <w:r>
        <w:rPr>
          <w:rFonts w:hint="eastAsia" w:ascii="仿宋" w:hAnsi="仿宋" w:eastAsia="仿宋" w:cs="仿宋"/>
          <w:b w:val="0"/>
          <w:bCs w:val="0"/>
          <w:color w:val="333333"/>
          <w:kern w:val="0"/>
          <w:sz w:val="32"/>
          <w:szCs w:val="32"/>
          <w:highlight w:val="none"/>
          <w:lang w:eastAsia="zh-CN"/>
        </w:rPr>
        <w:t>各镇（街道）应急办公室</w:t>
      </w:r>
      <w:r>
        <w:rPr>
          <w:rFonts w:hint="eastAsia" w:ascii="仿宋" w:hAnsi="仿宋" w:eastAsia="仿宋" w:cs="仿宋"/>
          <w:b w:val="0"/>
          <w:bCs w:val="0"/>
          <w:color w:val="333333"/>
          <w:kern w:val="0"/>
          <w:sz w:val="32"/>
          <w:szCs w:val="32"/>
          <w:highlight w:val="none"/>
        </w:rPr>
        <w:t>要建立分工协作机制，进一步明确职责分工，加强规划实施的组织领导，规范有序推进。市级相关部门要加强指导、组织、协调以及监督、评估规划实施情况，确保规划目标的全面顺利实现。</w:t>
      </w:r>
    </w:p>
    <w:p w14:paraId="763EF416">
      <w:pPr>
        <w:pStyle w:val="2"/>
        <w:rPr>
          <w:rFonts w:hint="eastAsia"/>
        </w:rPr>
      </w:pPr>
    </w:p>
    <w:p w14:paraId="70031472">
      <w:pPr>
        <w:keepNext w:val="0"/>
        <w:keepLines w:val="0"/>
        <w:pageBreakBefore w:val="0"/>
        <w:kinsoku/>
        <w:wordWrap/>
        <w:overflowPunct/>
        <w:topLinePunct w:val="0"/>
        <w:bidi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37" w:name="_Toc24257"/>
      <w:r>
        <w:rPr>
          <w:rFonts w:hint="eastAsia" w:ascii="楷体" w:hAnsi="楷体" w:eastAsia="楷体" w:cs="楷体"/>
          <w:b w:val="0"/>
          <w:bCs w:val="0"/>
          <w:sz w:val="32"/>
          <w:szCs w:val="32"/>
          <w:highlight w:val="none"/>
          <w:lang w:eastAsia="zh-CN"/>
        </w:rPr>
        <w:t>（二）完善保障措施。</w:t>
      </w:r>
      <w:bookmarkEnd w:id="37"/>
    </w:p>
    <w:p w14:paraId="478F2F8E">
      <w:pPr>
        <w:keepNext w:val="0"/>
        <w:keepLines w:val="0"/>
        <w:pageBreakBefore w:val="0"/>
        <w:kinsoku/>
        <w:wordWrap/>
        <w:overflowPunct/>
        <w:topLinePunct w:val="0"/>
        <w:bidi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完善应急管理投入保障体系，建立政府安全生产、自然灾害等突发事件专项资金与安全监管、综合防灾减灾救灾工作相适应的投入保障制度，统筹各级资金专项用于相关工作。督促企业保证安全投入，加强隐患治理、安全生产教育、安全设施和装备投入。深入实施安全生产责任保险鼓励政策，大力推动矿山、危险化学品、金属冶炼、建筑等高危和重点行业领域有序开展安全生产责任保险工作。加大安全科技投入力度，加大对安全生产的基础性、公益性研究、关键技术攻关的资金支持，依靠科技推进安全生产水平提升。积极拓宽安全投入渠道，加强对社会和金融资本的引导，构建政府、企业及社会多元化投入保障体系。</w:t>
      </w:r>
    </w:p>
    <w:p w14:paraId="3E323921">
      <w:pPr>
        <w:keepNext w:val="0"/>
        <w:keepLines w:val="0"/>
        <w:pageBreakBefore w:val="0"/>
        <w:kinsoku/>
        <w:wordWrap/>
        <w:overflowPunct/>
        <w:topLinePunct w:val="0"/>
        <w:bidi w:val="0"/>
        <w:spacing w:line="560" w:lineRule="exact"/>
        <w:ind w:firstLine="640" w:firstLineChars="200"/>
        <w:jc w:val="both"/>
        <w:outlineLvl w:val="1"/>
        <w:rPr>
          <w:rFonts w:hint="eastAsia" w:ascii="楷体" w:hAnsi="楷体" w:eastAsia="楷体" w:cs="楷体"/>
          <w:b w:val="0"/>
          <w:bCs w:val="0"/>
          <w:sz w:val="32"/>
          <w:szCs w:val="32"/>
          <w:highlight w:val="none"/>
          <w:lang w:eastAsia="zh-CN"/>
        </w:rPr>
      </w:pPr>
      <w:bookmarkStart w:id="38" w:name="_Toc3044"/>
      <w:r>
        <w:rPr>
          <w:rFonts w:hint="eastAsia" w:ascii="楷体" w:hAnsi="楷体" w:eastAsia="楷体" w:cs="楷体"/>
          <w:b w:val="0"/>
          <w:bCs w:val="0"/>
          <w:sz w:val="32"/>
          <w:szCs w:val="32"/>
          <w:highlight w:val="none"/>
          <w:lang w:eastAsia="zh-CN"/>
        </w:rPr>
        <w:t>（三）引导全民参与。</w:t>
      </w:r>
      <w:bookmarkEnd w:id="38"/>
    </w:p>
    <w:p w14:paraId="07D6FA24">
      <w:pPr>
        <w:keepNext w:val="0"/>
        <w:keepLines w:val="0"/>
        <w:pageBreakBefore w:val="0"/>
        <w:kinsoku/>
        <w:wordWrap/>
        <w:overflowPunct/>
        <w:topLinePunct w:val="0"/>
        <w:bidi w:val="0"/>
        <w:spacing w:line="560" w:lineRule="exact"/>
        <w:ind w:firstLine="640" w:firstLineChars="200"/>
        <w:jc w:val="both"/>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拓宽和畅通安全生产社会监督渠道，设立举报信箱，统一和规范“12345”“12350”举报电话，接受社会公众的公开监督。完善与规范应急管理信息发布制度，发挥新闻媒体对应急管理宣传和监督作用。加大电视、广播、网络、报刊等媒体普及应急知识的力度。引导媒体加强应急管理工作宣传报道，加大安全生产违法行为曝光。发挥群众举报投诉有功奖励制度，鼓励和调动广大群众发现和举报安全事故隐患和安全生产违法行为。发挥工会、共青团、社团组织以及社区基层组织对安全生产监督作用，保障劳动者正当的安全生产权益，确保劳动者正常行使安全生产的知情权、参与权、表达权、监督权。</w:t>
      </w:r>
    </w:p>
    <w:p w14:paraId="37CA1E84">
      <w:pPr>
        <w:keepNext w:val="0"/>
        <w:keepLines w:val="0"/>
        <w:pageBreakBefore w:val="0"/>
        <w:kinsoku/>
        <w:wordWrap/>
        <w:overflowPunct/>
        <w:topLinePunct w:val="0"/>
        <w:bidi w:val="0"/>
        <w:spacing w:line="560" w:lineRule="exact"/>
        <w:ind w:firstLine="640" w:firstLineChars="200"/>
        <w:outlineLvl w:val="1"/>
        <w:rPr>
          <w:rFonts w:hint="eastAsia" w:ascii="楷体" w:hAnsi="楷体" w:eastAsia="楷体" w:cs="楷体"/>
          <w:b w:val="0"/>
          <w:bCs w:val="0"/>
          <w:sz w:val="32"/>
          <w:szCs w:val="32"/>
          <w:highlight w:val="none"/>
          <w:lang w:eastAsia="zh-CN"/>
        </w:rPr>
      </w:pPr>
      <w:bookmarkStart w:id="39" w:name="_Toc21512"/>
      <w:r>
        <w:rPr>
          <w:rFonts w:hint="eastAsia" w:ascii="楷体" w:hAnsi="楷体" w:eastAsia="楷体" w:cs="楷体"/>
          <w:b w:val="0"/>
          <w:bCs w:val="0"/>
          <w:sz w:val="32"/>
          <w:szCs w:val="32"/>
          <w:highlight w:val="none"/>
          <w:lang w:eastAsia="zh-CN"/>
        </w:rPr>
        <w:t>（四）严格责任考核。</w:t>
      </w:r>
      <w:bookmarkEnd w:id="39"/>
    </w:p>
    <w:p w14:paraId="6230817C">
      <w:pPr>
        <w:keepNext w:val="0"/>
        <w:keepLines w:val="0"/>
        <w:pageBreakBefore w:val="0"/>
        <w:kinsoku/>
        <w:wordWrap/>
        <w:overflowPunct/>
        <w:topLinePunct w:val="0"/>
        <w:bidi w:val="0"/>
        <w:spacing w:line="560" w:lineRule="exact"/>
        <w:ind w:firstLine="640" w:firstLineChars="200"/>
        <w:rPr>
          <w:rFonts w:hint="eastAsia" w:ascii="仿宋" w:hAnsi="仿宋" w:eastAsia="仿宋" w:cs="仿宋"/>
          <w:b w:val="0"/>
          <w:bCs w:val="0"/>
          <w:color w:val="333333"/>
          <w:kern w:val="0"/>
          <w:sz w:val="32"/>
          <w:szCs w:val="32"/>
          <w:highlight w:val="none"/>
          <w:lang w:val="en-US" w:eastAsia="zh-CN"/>
        </w:rPr>
      </w:pPr>
      <w:r>
        <w:rPr>
          <w:rFonts w:hint="eastAsia" w:ascii="仿宋" w:hAnsi="仿宋" w:eastAsia="仿宋" w:cs="仿宋"/>
          <w:b w:val="0"/>
          <w:bCs w:val="0"/>
          <w:color w:val="333333"/>
          <w:kern w:val="0"/>
          <w:sz w:val="32"/>
          <w:szCs w:val="32"/>
          <w:highlight w:val="none"/>
          <w:lang w:val="en-US" w:eastAsia="zh-CN"/>
        </w:rPr>
        <w:t>完善责任指标体系，严格责任考核，把安全生产作为领导干部政绩考核的重要内容之一，纳入地方各级党委政府和市有关部门党政班子和领导干部政绩考核指标体系，强化地方各级党委政府及市有关部门安全生产责任制考核。推动建立企业法定代表人作为安全生产第一责任人的安全生产责任制及其考核制度。</w:t>
      </w:r>
    </w:p>
    <w:p w14:paraId="35D8B196">
      <w:pPr>
        <w:pStyle w:val="2"/>
        <w:rPr>
          <w:rFonts w:hint="eastAsia"/>
          <w:highlight w:val="none"/>
        </w:rPr>
      </w:pPr>
    </w:p>
    <w:p w14:paraId="15532E41">
      <w:pPr>
        <w:rPr>
          <w:rFonts w:hint="eastAsia" w:ascii="文星黑体" w:hAnsi="宋体" w:eastAsia="文星黑体"/>
          <w:sz w:val="32"/>
          <w:szCs w:val="32"/>
          <w:highlight w:val="none"/>
        </w:rPr>
        <w:sectPr>
          <w:pgSz w:w="11900" w:h="16838"/>
          <w:pgMar w:top="1383" w:right="1497" w:bottom="1372" w:left="1497" w:header="0" w:footer="1077" w:gutter="0"/>
          <w:pgNumType w:fmt="decimal" w:start="1"/>
          <w:cols w:equalWidth="0" w:num="1">
            <w:col w:w="9026"/>
          </w:cols>
        </w:sectPr>
      </w:pPr>
    </w:p>
    <w:p w14:paraId="579A6401">
      <w:pPr>
        <w:spacing w:before="101" w:line="227" w:lineRule="auto"/>
        <w:ind w:firstLine="891"/>
        <w:outlineLvl w:val="0"/>
        <w:rPr>
          <w:rFonts w:ascii="楷体" w:hAnsi="楷体" w:eastAsia="楷体" w:cs="楷体"/>
          <w:sz w:val="31"/>
          <w:szCs w:val="31"/>
          <w:highlight w:val="none"/>
        </w:rPr>
      </w:pPr>
      <w:bookmarkStart w:id="40" w:name="_Toc12964"/>
      <w:r>
        <w:rPr>
          <w:rFonts w:ascii="楷体" w:hAnsi="楷体" w:eastAsia="楷体" w:cs="楷体"/>
          <w:spacing w:val="-10"/>
          <w:sz w:val="31"/>
          <w:szCs w:val="31"/>
          <w:highlight w:val="none"/>
        </w:rPr>
        <w:t>附件</w:t>
      </w:r>
      <w:r>
        <w:rPr>
          <w:rFonts w:hint="eastAsia" w:ascii="楷体" w:hAnsi="楷体" w:eastAsia="楷体" w:cs="楷体"/>
          <w:spacing w:val="-10"/>
          <w:sz w:val="31"/>
          <w:szCs w:val="31"/>
          <w:highlight w:val="none"/>
          <w:lang w:eastAsia="zh-CN"/>
        </w:rPr>
        <w:t>：</w:t>
      </w:r>
      <w:bookmarkEnd w:id="40"/>
    </w:p>
    <w:p w14:paraId="7812EF99">
      <w:pPr>
        <w:spacing w:before="113" w:line="193" w:lineRule="auto"/>
        <w:ind w:firstLine="3777"/>
        <w:outlineLvl w:val="0"/>
        <w:rPr>
          <w:rFonts w:hint="eastAsia" w:ascii="黑体" w:hAnsi="黑体" w:eastAsia="黑体" w:cs="黑体"/>
          <w:b w:val="0"/>
          <w:bCs w:val="0"/>
          <w:sz w:val="38"/>
          <w:szCs w:val="38"/>
          <w:highlight w:val="none"/>
        </w:rPr>
      </w:pPr>
      <w:bookmarkStart w:id="41" w:name="_Toc16555"/>
      <w:bookmarkStart w:id="42" w:name="_Toc5167"/>
      <w:r>
        <w:rPr>
          <w:rFonts w:hint="eastAsia" w:ascii="黑体" w:hAnsi="黑体" w:eastAsia="黑体" w:cs="黑体"/>
          <w:b w:val="0"/>
          <w:bCs w:val="0"/>
          <w:spacing w:val="-3"/>
          <w:sz w:val="38"/>
          <w:szCs w:val="38"/>
          <w:highlight w:val="none"/>
          <w:lang w:eastAsia="zh-CN"/>
          <w14:textOutline w14:w="6896" w14:cap="flat" w14:cmpd="sng">
            <w14:solidFill>
              <w14:srgbClr w14:val="000000"/>
            </w14:solidFill>
            <w14:prstDash w14:val="solid"/>
            <w14:miter w14:val="0"/>
          </w14:textOutline>
        </w:rPr>
        <w:t>兴宁</w:t>
      </w:r>
      <w:r>
        <w:rPr>
          <w:rFonts w:hint="eastAsia" w:ascii="黑体" w:hAnsi="黑体" w:eastAsia="黑体" w:cs="黑体"/>
          <w:b w:val="0"/>
          <w:bCs w:val="0"/>
          <w:spacing w:val="-3"/>
          <w:sz w:val="38"/>
          <w:szCs w:val="38"/>
          <w:highlight w:val="none"/>
          <w14:textOutline w14:w="6896" w14:cap="flat" w14:cmpd="sng">
            <w14:solidFill>
              <w14:srgbClr w14:val="000000"/>
            </w14:solidFill>
            <w14:prstDash w14:val="solid"/>
            <w14:miter w14:val="0"/>
          </w14:textOutline>
        </w:rPr>
        <w:t>市应急管理</w:t>
      </w:r>
      <w:r>
        <w:rPr>
          <w:rFonts w:hint="eastAsia" w:ascii="黑体" w:hAnsi="黑体" w:eastAsia="黑体" w:cs="黑体"/>
          <w:b w:val="0"/>
          <w:bCs w:val="0"/>
          <w:spacing w:val="-3"/>
          <w:sz w:val="38"/>
          <w:szCs w:val="38"/>
          <w:highlight w:val="none"/>
          <w:lang w:eastAsia="zh-CN"/>
          <w14:textOutline w14:w="6896" w14:cap="flat" w14:cmpd="sng">
            <w14:solidFill>
              <w14:srgbClr w14:val="000000"/>
            </w14:solidFill>
            <w14:prstDash w14:val="solid"/>
            <w14:miter w14:val="0"/>
          </w14:textOutline>
        </w:rPr>
        <w:t>“</w:t>
      </w:r>
      <w:r>
        <w:rPr>
          <w:rFonts w:hint="eastAsia" w:ascii="黑体" w:hAnsi="黑体" w:eastAsia="黑体" w:cs="黑体"/>
          <w:b w:val="0"/>
          <w:bCs w:val="0"/>
          <w:spacing w:val="-3"/>
          <w:sz w:val="38"/>
          <w:szCs w:val="38"/>
          <w:highlight w:val="none"/>
          <w14:textOutline w14:w="6896" w14:cap="flat" w14:cmpd="sng">
            <w14:solidFill>
              <w14:srgbClr w14:val="000000"/>
            </w14:solidFill>
            <w14:prstDash w14:val="solid"/>
            <w14:miter w14:val="0"/>
          </w14:textOutline>
        </w:rPr>
        <w:t>十四五</w:t>
      </w:r>
      <w:r>
        <w:rPr>
          <w:rFonts w:hint="eastAsia" w:ascii="黑体" w:hAnsi="黑体" w:eastAsia="黑体" w:cs="黑体"/>
          <w:b w:val="0"/>
          <w:bCs w:val="0"/>
          <w:spacing w:val="-3"/>
          <w:sz w:val="38"/>
          <w:szCs w:val="38"/>
          <w:highlight w:val="none"/>
          <w:lang w:eastAsia="zh-CN"/>
          <w14:textOutline w14:w="6896" w14:cap="flat" w14:cmpd="sng">
            <w14:solidFill>
              <w14:srgbClr w14:val="000000"/>
            </w14:solidFill>
            <w14:prstDash w14:val="solid"/>
            <w14:miter w14:val="0"/>
          </w14:textOutline>
        </w:rPr>
        <w:t>”</w:t>
      </w:r>
      <w:r>
        <w:rPr>
          <w:rFonts w:hint="eastAsia" w:ascii="黑体" w:hAnsi="黑体" w:eastAsia="黑体" w:cs="黑体"/>
          <w:b w:val="0"/>
          <w:bCs w:val="0"/>
          <w:spacing w:val="-3"/>
          <w:sz w:val="38"/>
          <w:szCs w:val="38"/>
          <w:highlight w:val="none"/>
          <w14:textOutline w14:w="6896" w14:cap="flat" w14:cmpd="sng">
            <w14:solidFill>
              <w14:srgbClr w14:val="000000"/>
            </w14:solidFill>
            <w14:prstDash w14:val="solid"/>
            <w14:miter w14:val="0"/>
          </w14:textOutline>
        </w:rPr>
        <w:t>规划工程项目表</w:t>
      </w:r>
      <w:bookmarkEnd w:id="41"/>
      <w:bookmarkEnd w:id="42"/>
    </w:p>
    <w:tbl>
      <w:tblPr>
        <w:tblStyle w:val="15"/>
        <w:tblW w:w="1319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496"/>
        <w:gridCol w:w="8820"/>
      </w:tblGrid>
      <w:tr w14:paraId="1B32C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000000" w:sz="2" w:space="0"/>
              <w:bottom w:val="single" w:color="000000" w:sz="2" w:space="0"/>
            </w:tcBorders>
            <w:vAlign w:val="top"/>
          </w:tcPr>
          <w:p w14:paraId="6F13B836">
            <w:pPr>
              <w:spacing w:before="141" w:line="221" w:lineRule="auto"/>
              <w:ind w:firstLine="185"/>
              <w:rPr>
                <w:rFonts w:ascii="宋体" w:hAnsi="宋体" w:eastAsia="宋体" w:cs="宋体"/>
                <w:sz w:val="22"/>
                <w:szCs w:val="22"/>
                <w:highlight w:val="none"/>
              </w:rPr>
            </w:pPr>
            <w:r>
              <w:rPr>
                <w:rFonts w:ascii="宋体" w:hAnsi="宋体" w:eastAsia="宋体" w:cs="宋体"/>
                <w:spacing w:val="-3"/>
                <w:sz w:val="22"/>
                <w:szCs w:val="22"/>
                <w:highlight w:val="none"/>
              </w:rPr>
              <w:t>序号</w:t>
            </w:r>
          </w:p>
        </w:tc>
        <w:tc>
          <w:tcPr>
            <w:tcW w:w="3496" w:type="dxa"/>
            <w:tcBorders>
              <w:top w:val="single" w:color="000000" w:sz="2" w:space="0"/>
              <w:bottom w:val="single" w:color="000000" w:sz="2" w:space="0"/>
            </w:tcBorders>
            <w:vAlign w:val="top"/>
          </w:tcPr>
          <w:p w14:paraId="4EB3D10C">
            <w:pPr>
              <w:spacing w:before="143" w:line="221" w:lineRule="auto"/>
              <w:ind w:firstLine="1110"/>
              <w:rPr>
                <w:rFonts w:ascii="宋体" w:hAnsi="宋体" w:eastAsia="宋体" w:cs="宋体"/>
                <w:sz w:val="22"/>
                <w:szCs w:val="22"/>
                <w:highlight w:val="none"/>
              </w:rPr>
            </w:pPr>
            <w:r>
              <w:rPr>
                <w:rFonts w:ascii="宋体" w:hAnsi="宋体" w:eastAsia="宋体" w:cs="宋体"/>
                <w:spacing w:val="6"/>
                <w:sz w:val="22"/>
                <w:szCs w:val="22"/>
                <w:highlight w:val="none"/>
              </w:rPr>
              <w:t>名称</w:t>
            </w:r>
          </w:p>
        </w:tc>
        <w:tc>
          <w:tcPr>
            <w:tcW w:w="8820" w:type="dxa"/>
            <w:tcBorders>
              <w:top w:val="single" w:color="000000" w:sz="2" w:space="0"/>
              <w:bottom w:val="single" w:color="000000" w:sz="2" w:space="0"/>
            </w:tcBorders>
            <w:vAlign w:val="top"/>
          </w:tcPr>
          <w:p w14:paraId="736768C4">
            <w:pPr>
              <w:spacing w:before="140" w:line="219" w:lineRule="auto"/>
              <w:ind w:firstLine="4363"/>
              <w:rPr>
                <w:rFonts w:ascii="宋体" w:hAnsi="宋体" w:eastAsia="宋体" w:cs="宋体"/>
                <w:sz w:val="22"/>
                <w:szCs w:val="22"/>
                <w:highlight w:val="none"/>
              </w:rPr>
            </w:pPr>
            <w:r>
              <w:rPr>
                <w:rFonts w:ascii="宋体" w:hAnsi="宋体" w:eastAsia="宋体" w:cs="宋体"/>
                <w:spacing w:val="2"/>
                <w:sz w:val="22"/>
                <w:szCs w:val="22"/>
                <w:highlight w:val="none"/>
              </w:rPr>
              <w:t>建设项目内容</w:t>
            </w:r>
          </w:p>
        </w:tc>
      </w:tr>
      <w:tr w14:paraId="7D5B8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000000" w:sz="2" w:space="0"/>
              <w:bottom w:val="single" w:color="000000" w:sz="2" w:space="0"/>
            </w:tcBorders>
            <w:vAlign w:val="top"/>
          </w:tcPr>
          <w:p w14:paraId="57BC7405">
            <w:pPr>
              <w:spacing w:before="205" w:line="187" w:lineRule="auto"/>
              <w:jc w:val="center"/>
              <w:rPr>
                <w:rFonts w:ascii="宋体" w:hAnsi="宋体" w:eastAsia="宋体" w:cs="宋体"/>
                <w:sz w:val="22"/>
                <w:szCs w:val="22"/>
                <w:highlight w:val="none"/>
              </w:rPr>
            </w:pPr>
            <w:r>
              <w:rPr>
                <w:rFonts w:ascii="宋体" w:hAnsi="宋体" w:eastAsia="宋体" w:cs="宋体"/>
                <w:color w:val="390017"/>
                <w:sz w:val="22"/>
                <w:szCs w:val="22"/>
                <w:highlight w:val="none"/>
              </w:rPr>
              <w:t>1</w:t>
            </w:r>
          </w:p>
        </w:tc>
        <w:tc>
          <w:tcPr>
            <w:tcW w:w="3496" w:type="dxa"/>
            <w:vMerge w:val="restart"/>
            <w:tcBorders>
              <w:top w:val="single" w:color="000000" w:sz="2" w:space="0"/>
              <w:bottom w:val="nil"/>
            </w:tcBorders>
            <w:vAlign w:val="center"/>
          </w:tcPr>
          <w:p w14:paraId="335AD491">
            <w:pPr>
              <w:spacing w:before="78" w:line="220" w:lineRule="auto"/>
              <w:jc w:val="both"/>
              <w:rPr>
                <w:rFonts w:ascii="宋体" w:hAnsi="宋体" w:eastAsia="宋体" w:cs="宋体"/>
                <w:sz w:val="22"/>
                <w:szCs w:val="22"/>
                <w:highlight w:val="none"/>
              </w:rPr>
            </w:pPr>
            <w:r>
              <w:rPr>
                <w:rFonts w:hint="eastAsia" w:ascii="宋体" w:hAnsi="宋体" w:eastAsia="宋体" w:cs="宋体"/>
                <w:spacing w:val="1"/>
                <w:sz w:val="22"/>
                <w:szCs w:val="22"/>
                <w:highlight w:val="none"/>
                <w:lang w:eastAsia="zh-CN"/>
              </w:rPr>
              <w:t>一</w:t>
            </w:r>
            <w:r>
              <w:rPr>
                <w:rFonts w:ascii="宋体" w:hAnsi="宋体" w:eastAsia="宋体" w:cs="宋体"/>
                <w:spacing w:val="1"/>
                <w:sz w:val="22"/>
                <w:szCs w:val="22"/>
                <w:highlight w:val="none"/>
              </w:rPr>
              <w:t>、地质灾害防治工程</w:t>
            </w:r>
          </w:p>
        </w:tc>
        <w:tc>
          <w:tcPr>
            <w:tcW w:w="8820" w:type="dxa"/>
            <w:tcBorders>
              <w:top w:val="single" w:color="000000" w:sz="2" w:space="0"/>
              <w:bottom w:val="single" w:color="000000" w:sz="2" w:space="0"/>
            </w:tcBorders>
            <w:vAlign w:val="top"/>
          </w:tcPr>
          <w:p w14:paraId="04CD62E4">
            <w:pPr>
              <w:spacing w:before="142" w:line="218" w:lineRule="auto"/>
              <w:ind w:firstLine="162"/>
              <w:rPr>
                <w:rFonts w:ascii="宋体" w:hAnsi="宋体" w:eastAsia="宋体" w:cs="宋体"/>
                <w:sz w:val="22"/>
                <w:szCs w:val="22"/>
                <w:highlight w:val="none"/>
              </w:rPr>
            </w:pPr>
            <w:r>
              <w:rPr>
                <w:rFonts w:ascii="宋体" w:hAnsi="宋体" w:eastAsia="宋体" w:cs="宋体"/>
                <w:spacing w:val="7"/>
                <w:sz w:val="22"/>
                <w:szCs w:val="22"/>
                <w:highlight w:val="none"/>
              </w:rPr>
              <w:t>1.</w:t>
            </w:r>
            <w:r>
              <w:rPr>
                <w:rFonts w:hint="eastAsia" w:ascii="宋体" w:hAnsi="宋体" w:eastAsia="宋体" w:cs="宋体"/>
                <w:spacing w:val="7"/>
                <w:sz w:val="22"/>
                <w:szCs w:val="22"/>
                <w:highlight w:val="none"/>
                <w:lang w:eastAsia="zh-CN"/>
              </w:rPr>
              <w:t>兴宁市</w:t>
            </w:r>
            <w:r>
              <w:rPr>
                <w:rFonts w:ascii="宋体" w:hAnsi="宋体" w:eastAsia="宋体" w:cs="宋体"/>
                <w:spacing w:val="7"/>
                <w:sz w:val="22"/>
                <w:szCs w:val="22"/>
                <w:highlight w:val="none"/>
              </w:rPr>
              <w:t>比例尺1:5万地质灾害详细调查评价成果整合集成项目</w:t>
            </w:r>
          </w:p>
        </w:tc>
      </w:tr>
      <w:tr w14:paraId="704E2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000000" w:sz="2" w:space="0"/>
              <w:bottom w:val="single" w:color="000000" w:sz="2" w:space="0"/>
            </w:tcBorders>
            <w:vAlign w:val="top"/>
          </w:tcPr>
          <w:p w14:paraId="14C6D750">
            <w:pPr>
              <w:spacing w:before="208" w:line="185"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w:t>
            </w:r>
          </w:p>
        </w:tc>
        <w:tc>
          <w:tcPr>
            <w:tcW w:w="3496" w:type="dxa"/>
            <w:vMerge w:val="continue"/>
            <w:tcBorders>
              <w:top w:val="nil"/>
              <w:bottom w:val="nil"/>
            </w:tcBorders>
            <w:vAlign w:val="center"/>
          </w:tcPr>
          <w:p w14:paraId="399D7746">
            <w:pPr>
              <w:jc w:val="both"/>
              <w:rPr>
                <w:rFonts w:ascii="Arial"/>
                <w:sz w:val="20"/>
                <w:szCs w:val="21"/>
                <w:highlight w:val="none"/>
              </w:rPr>
            </w:pPr>
          </w:p>
        </w:tc>
        <w:tc>
          <w:tcPr>
            <w:tcW w:w="8820" w:type="dxa"/>
            <w:tcBorders>
              <w:top w:val="single" w:color="000000" w:sz="2" w:space="0"/>
              <w:bottom w:val="single" w:color="000000" w:sz="2" w:space="0"/>
            </w:tcBorders>
            <w:vAlign w:val="top"/>
          </w:tcPr>
          <w:p w14:paraId="735DD791">
            <w:pPr>
              <w:spacing w:before="147" w:line="219" w:lineRule="auto"/>
              <w:ind w:firstLine="162"/>
              <w:rPr>
                <w:rFonts w:ascii="宋体" w:hAnsi="宋体" w:eastAsia="宋体" w:cs="宋体"/>
                <w:sz w:val="22"/>
                <w:szCs w:val="22"/>
                <w:highlight w:val="none"/>
              </w:rPr>
            </w:pPr>
            <w:r>
              <w:rPr>
                <w:rFonts w:hint="eastAsia" w:ascii="宋体" w:hAnsi="宋体" w:eastAsia="宋体" w:cs="宋体"/>
                <w:spacing w:val="2"/>
                <w:sz w:val="22"/>
                <w:szCs w:val="22"/>
                <w:highlight w:val="none"/>
                <w:lang w:val="en-US" w:eastAsia="zh-CN"/>
              </w:rPr>
              <w:t>2</w:t>
            </w:r>
            <w:r>
              <w:rPr>
                <w:rFonts w:ascii="宋体" w:hAnsi="宋体" w:eastAsia="宋体" w:cs="宋体"/>
                <w:spacing w:val="2"/>
                <w:sz w:val="22"/>
                <w:szCs w:val="22"/>
                <w:highlight w:val="none"/>
              </w:rPr>
              <w:t>.全市地质灾害大数据管理平台建设项目</w:t>
            </w:r>
          </w:p>
        </w:tc>
      </w:tr>
      <w:tr w14:paraId="328A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4" w:type="dxa"/>
            <w:tcBorders>
              <w:top w:val="single" w:color="000000" w:sz="2" w:space="0"/>
              <w:bottom w:val="single" w:color="000000" w:sz="2" w:space="0"/>
            </w:tcBorders>
            <w:vAlign w:val="top"/>
          </w:tcPr>
          <w:p w14:paraId="403C8CDF">
            <w:pPr>
              <w:spacing w:before="198" w:line="186"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3</w:t>
            </w:r>
          </w:p>
        </w:tc>
        <w:tc>
          <w:tcPr>
            <w:tcW w:w="3496" w:type="dxa"/>
            <w:vMerge w:val="continue"/>
            <w:tcBorders>
              <w:top w:val="nil"/>
              <w:bottom w:val="nil"/>
            </w:tcBorders>
            <w:vAlign w:val="center"/>
          </w:tcPr>
          <w:p w14:paraId="10181CB5">
            <w:pPr>
              <w:jc w:val="both"/>
              <w:rPr>
                <w:rFonts w:ascii="Arial"/>
                <w:sz w:val="20"/>
                <w:szCs w:val="21"/>
                <w:highlight w:val="none"/>
              </w:rPr>
            </w:pPr>
          </w:p>
        </w:tc>
        <w:tc>
          <w:tcPr>
            <w:tcW w:w="8820" w:type="dxa"/>
            <w:tcBorders>
              <w:top w:val="single" w:color="000000" w:sz="2" w:space="0"/>
              <w:bottom w:val="single" w:color="000000" w:sz="2" w:space="0"/>
            </w:tcBorders>
            <w:vAlign w:val="top"/>
          </w:tcPr>
          <w:p w14:paraId="76FF746C">
            <w:pPr>
              <w:spacing w:before="137" w:line="219" w:lineRule="auto"/>
              <w:ind w:firstLine="162"/>
              <w:rPr>
                <w:rFonts w:ascii="宋体" w:hAnsi="宋体" w:eastAsia="宋体" w:cs="宋体"/>
                <w:sz w:val="22"/>
                <w:szCs w:val="22"/>
                <w:highlight w:val="none"/>
              </w:rPr>
            </w:pPr>
            <w:r>
              <w:rPr>
                <w:rFonts w:hint="eastAsia" w:ascii="宋体" w:hAnsi="宋体" w:eastAsia="宋体" w:cs="宋体"/>
                <w:spacing w:val="2"/>
                <w:sz w:val="22"/>
                <w:szCs w:val="22"/>
                <w:highlight w:val="none"/>
                <w:lang w:val="en-US" w:eastAsia="zh-CN"/>
              </w:rPr>
              <w:t>3</w:t>
            </w:r>
            <w:r>
              <w:rPr>
                <w:rFonts w:ascii="宋体" w:hAnsi="宋体" w:eastAsia="宋体" w:cs="宋体"/>
                <w:spacing w:val="2"/>
                <w:sz w:val="22"/>
                <w:szCs w:val="22"/>
                <w:highlight w:val="none"/>
              </w:rPr>
              <w:t>.全市在册重要地质灾害隐患点综合治理项目</w:t>
            </w:r>
          </w:p>
        </w:tc>
      </w:tr>
      <w:tr w14:paraId="58CAA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000000" w:sz="2" w:space="0"/>
              <w:bottom w:val="single" w:color="000000" w:sz="2" w:space="0"/>
            </w:tcBorders>
            <w:vAlign w:val="top"/>
          </w:tcPr>
          <w:p w14:paraId="582350FE">
            <w:pPr>
              <w:spacing w:before="211" w:line="183"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4</w:t>
            </w:r>
          </w:p>
        </w:tc>
        <w:tc>
          <w:tcPr>
            <w:tcW w:w="3496" w:type="dxa"/>
            <w:vMerge w:val="continue"/>
            <w:tcBorders>
              <w:top w:val="nil"/>
              <w:bottom w:val="nil"/>
            </w:tcBorders>
            <w:vAlign w:val="center"/>
          </w:tcPr>
          <w:p w14:paraId="37E9B7ED">
            <w:pPr>
              <w:jc w:val="both"/>
              <w:rPr>
                <w:rFonts w:ascii="Arial"/>
                <w:sz w:val="20"/>
                <w:szCs w:val="21"/>
                <w:highlight w:val="none"/>
              </w:rPr>
            </w:pPr>
          </w:p>
        </w:tc>
        <w:tc>
          <w:tcPr>
            <w:tcW w:w="8820" w:type="dxa"/>
            <w:tcBorders>
              <w:top w:val="single" w:color="000000" w:sz="2" w:space="0"/>
              <w:bottom w:val="single" w:color="000000" w:sz="2" w:space="0"/>
            </w:tcBorders>
            <w:vAlign w:val="top"/>
          </w:tcPr>
          <w:p w14:paraId="45AC3BC2">
            <w:pPr>
              <w:spacing w:before="146" w:line="219" w:lineRule="auto"/>
              <w:ind w:firstLine="162"/>
              <w:rPr>
                <w:rFonts w:ascii="宋体" w:hAnsi="宋体" w:eastAsia="宋体" w:cs="宋体"/>
                <w:sz w:val="22"/>
                <w:szCs w:val="22"/>
                <w:highlight w:val="none"/>
              </w:rPr>
            </w:pPr>
            <w:r>
              <w:rPr>
                <w:rFonts w:hint="eastAsia" w:ascii="宋体" w:hAnsi="宋体" w:eastAsia="宋体" w:cs="宋体"/>
                <w:spacing w:val="2"/>
                <w:sz w:val="22"/>
                <w:szCs w:val="22"/>
                <w:highlight w:val="none"/>
                <w:lang w:val="en-US" w:eastAsia="zh-CN"/>
              </w:rPr>
              <w:t>4</w:t>
            </w:r>
            <w:r>
              <w:rPr>
                <w:rFonts w:ascii="宋体" w:hAnsi="宋体" w:eastAsia="宋体" w:cs="宋体"/>
                <w:spacing w:val="2"/>
                <w:sz w:val="22"/>
                <w:szCs w:val="22"/>
                <w:highlight w:val="none"/>
              </w:rPr>
              <w:t>.全市农村削坡建房风险点排查治理项目</w:t>
            </w:r>
          </w:p>
        </w:tc>
      </w:tr>
      <w:tr w14:paraId="2B96A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000000" w:sz="2" w:space="0"/>
              <w:bottom w:val="single" w:color="auto" w:sz="4" w:space="0"/>
            </w:tcBorders>
            <w:vAlign w:val="top"/>
          </w:tcPr>
          <w:p w14:paraId="401F89C3">
            <w:pPr>
              <w:spacing w:before="199" w:line="185"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5</w:t>
            </w:r>
          </w:p>
        </w:tc>
        <w:tc>
          <w:tcPr>
            <w:tcW w:w="3496" w:type="dxa"/>
            <w:vMerge w:val="continue"/>
            <w:tcBorders>
              <w:top w:val="nil"/>
              <w:bottom w:val="single" w:color="auto" w:sz="4" w:space="0"/>
            </w:tcBorders>
            <w:vAlign w:val="center"/>
          </w:tcPr>
          <w:p w14:paraId="1BCD26AC">
            <w:pPr>
              <w:jc w:val="both"/>
              <w:rPr>
                <w:rFonts w:ascii="Arial"/>
                <w:sz w:val="20"/>
                <w:szCs w:val="21"/>
                <w:highlight w:val="none"/>
              </w:rPr>
            </w:pPr>
          </w:p>
        </w:tc>
        <w:tc>
          <w:tcPr>
            <w:tcW w:w="8820" w:type="dxa"/>
            <w:tcBorders>
              <w:top w:val="single" w:color="000000" w:sz="2" w:space="0"/>
              <w:bottom w:val="single" w:color="auto" w:sz="4" w:space="0"/>
            </w:tcBorders>
            <w:vAlign w:val="top"/>
          </w:tcPr>
          <w:p w14:paraId="42B2096A">
            <w:pPr>
              <w:spacing w:before="138" w:line="219" w:lineRule="auto"/>
              <w:ind w:firstLine="162"/>
              <w:rPr>
                <w:rFonts w:ascii="宋体" w:hAnsi="宋体" w:eastAsia="宋体" w:cs="宋体"/>
                <w:sz w:val="22"/>
                <w:szCs w:val="22"/>
                <w:highlight w:val="none"/>
              </w:rPr>
            </w:pPr>
            <w:r>
              <w:rPr>
                <w:rFonts w:hint="eastAsia" w:ascii="宋体" w:hAnsi="宋体" w:eastAsia="宋体" w:cs="宋体"/>
                <w:spacing w:val="2"/>
                <w:sz w:val="22"/>
                <w:szCs w:val="22"/>
                <w:highlight w:val="none"/>
                <w:lang w:val="en-US" w:eastAsia="zh-CN"/>
              </w:rPr>
              <w:t>5</w:t>
            </w:r>
            <w:r>
              <w:rPr>
                <w:rFonts w:ascii="宋体" w:hAnsi="宋体" w:eastAsia="宋体" w:cs="宋体"/>
                <w:spacing w:val="2"/>
                <w:sz w:val="22"/>
                <w:szCs w:val="22"/>
                <w:highlight w:val="none"/>
              </w:rPr>
              <w:t>.全市地质灾害综合防治体系建设项目</w:t>
            </w:r>
          </w:p>
        </w:tc>
      </w:tr>
      <w:tr w14:paraId="51F5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92107CF">
            <w:pPr>
              <w:spacing w:before="201" w:line="183"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6</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376AEA75">
            <w:pPr>
              <w:spacing w:before="78" w:line="219" w:lineRule="auto"/>
              <w:jc w:val="both"/>
              <w:rPr>
                <w:rFonts w:ascii="宋体" w:hAnsi="宋体" w:eastAsia="宋体" w:cs="宋体"/>
                <w:sz w:val="22"/>
                <w:szCs w:val="22"/>
                <w:highlight w:val="none"/>
              </w:rPr>
            </w:pPr>
            <w:r>
              <w:rPr>
                <w:rFonts w:ascii="宋体" w:hAnsi="宋体" w:eastAsia="宋体" w:cs="宋体"/>
                <w:spacing w:val="1"/>
                <w:sz w:val="22"/>
                <w:szCs w:val="22"/>
                <w:highlight w:val="none"/>
              </w:rPr>
              <w:t>二、防汛抗旱工程</w:t>
            </w:r>
          </w:p>
        </w:tc>
        <w:tc>
          <w:tcPr>
            <w:tcW w:w="8820" w:type="dxa"/>
            <w:tcBorders>
              <w:top w:val="single" w:color="auto" w:sz="4" w:space="0"/>
              <w:left w:val="single" w:color="auto" w:sz="4" w:space="0"/>
              <w:bottom w:val="single" w:color="auto" w:sz="4" w:space="0"/>
              <w:right w:val="single" w:color="auto" w:sz="4" w:space="0"/>
            </w:tcBorders>
            <w:vAlign w:val="top"/>
          </w:tcPr>
          <w:p w14:paraId="38F9E815">
            <w:pPr>
              <w:spacing w:before="138" w:line="219" w:lineRule="auto"/>
              <w:ind w:firstLine="162"/>
              <w:rPr>
                <w:rFonts w:ascii="宋体" w:hAnsi="宋体" w:eastAsia="宋体" w:cs="宋体"/>
                <w:sz w:val="22"/>
                <w:szCs w:val="22"/>
                <w:highlight w:val="none"/>
              </w:rPr>
            </w:pPr>
            <w:r>
              <w:rPr>
                <w:rFonts w:ascii="宋体" w:hAnsi="宋体" w:eastAsia="宋体" w:cs="宋体"/>
                <w:spacing w:val="3"/>
                <w:sz w:val="22"/>
                <w:szCs w:val="22"/>
                <w:highlight w:val="none"/>
              </w:rPr>
              <w:t>1全市防洪排涝设施建设项目</w:t>
            </w:r>
          </w:p>
        </w:tc>
      </w:tr>
      <w:tr w14:paraId="54AC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43A3EB58">
            <w:pPr>
              <w:spacing w:before="200" w:line="185"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7</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382B5152">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4658CB1A">
            <w:pPr>
              <w:spacing w:before="139" w:line="219" w:lineRule="auto"/>
              <w:ind w:firstLine="162"/>
              <w:rPr>
                <w:rFonts w:ascii="宋体" w:hAnsi="宋体" w:eastAsia="宋体" w:cs="宋体"/>
                <w:sz w:val="22"/>
                <w:szCs w:val="22"/>
                <w:highlight w:val="none"/>
              </w:rPr>
            </w:pPr>
            <w:r>
              <w:rPr>
                <w:rFonts w:ascii="宋体" w:hAnsi="宋体" w:eastAsia="宋体" w:cs="宋体"/>
                <w:spacing w:val="5"/>
                <w:sz w:val="22"/>
                <w:szCs w:val="22"/>
                <w:highlight w:val="none"/>
              </w:rPr>
              <w:t>2.全市病险水库</w:t>
            </w:r>
            <w:r>
              <w:rPr>
                <w:rFonts w:hint="eastAsia" w:ascii="宋体" w:hAnsi="宋体" w:eastAsia="宋体" w:cs="宋体"/>
                <w:spacing w:val="5"/>
                <w:sz w:val="22"/>
                <w:szCs w:val="22"/>
                <w:highlight w:val="none"/>
                <w:lang w:eastAsia="zh-CN"/>
              </w:rPr>
              <w:t>（</w:t>
            </w:r>
            <w:r>
              <w:rPr>
                <w:rFonts w:ascii="宋体" w:hAnsi="宋体" w:eastAsia="宋体" w:cs="宋体"/>
                <w:spacing w:val="5"/>
                <w:sz w:val="22"/>
                <w:szCs w:val="22"/>
                <w:highlight w:val="none"/>
              </w:rPr>
              <w:t>水闸</w:t>
            </w:r>
            <w:r>
              <w:rPr>
                <w:rFonts w:hint="eastAsia" w:ascii="宋体" w:hAnsi="宋体" w:eastAsia="宋体" w:cs="宋体"/>
                <w:spacing w:val="5"/>
                <w:sz w:val="22"/>
                <w:szCs w:val="22"/>
                <w:highlight w:val="none"/>
                <w:lang w:eastAsia="zh-CN"/>
              </w:rPr>
              <w:t>）</w:t>
            </w:r>
            <w:r>
              <w:rPr>
                <w:rFonts w:ascii="宋体" w:hAnsi="宋体" w:eastAsia="宋体" w:cs="宋体"/>
                <w:spacing w:val="5"/>
                <w:sz w:val="22"/>
                <w:szCs w:val="22"/>
                <w:highlight w:val="none"/>
              </w:rPr>
              <w:t>除险加固和抗旱水源建设项目</w:t>
            </w:r>
          </w:p>
        </w:tc>
      </w:tr>
      <w:tr w14:paraId="7A87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38051BA">
            <w:pPr>
              <w:spacing w:before="200" w:line="185" w:lineRule="auto"/>
              <w:jc w:val="center"/>
              <w:rPr>
                <w:rFonts w:hint="eastAsia" w:ascii="宋体" w:hAnsi="宋体" w:eastAsia="宋体" w:cs="宋体"/>
                <w:sz w:val="22"/>
                <w:szCs w:val="22"/>
                <w:highlight w:val="none"/>
                <w:lang w:eastAsia="zh-CN"/>
              </w:rPr>
            </w:pPr>
            <w:r>
              <w:rPr>
                <w:rFonts w:hint="eastAsia" w:ascii="宋体" w:hAnsi="宋体" w:eastAsia="宋体" w:cs="宋体"/>
                <w:spacing w:val="-7"/>
                <w:sz w:val="22"/>
                <w:szCs w:val="22"/>
                <w:highlight w:val="none"/>
                <w:lang w:val="en-US" w:eastAsia="zh-CN"/>
              </w:rPr>
              <w:t>8</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5D1F3202">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2F418D4D">
            <w:pPr>
              <w:spacing w:before="139" w:line="219" w:lineRule="auto"/>
              <w:ind w:firstLine="162"/>
              <w:rPr>
                <w:rFonts w:ascii="宋体" w:hAnsi="宋体" w:eastAsia="宋体" w:cs="宋体"/>
                <w:sz w:val="22"/>
                <w:szCs w:val="22"/>
                <w:highlight w:val="none"/>
              </w:rPr>
            </w:pPr>
            <w:r>
              <w:rPr>
                <w:rFonts w:hint="eastAsia" w:ascii="宋体" w:hAnsi="宋体" w:eastAsia="宋体" w:cs="宋体"/>
                <w:spacing w:val="2"/>
                <w:sz w:val="22"/>
                <w:szCs w:val="22"/>
                <w:highlight w:val="none"/>
                <w:lang w:val="en-US" w:eastAsia="zh-CN"/>
              </w:rPr>
              <w:t>3</w:t>
            </w:r>
            <w:r>
              <w:rPr>
                <w:rFonts w:ascii="宋体" w:hAnsi="宋体" w:eastAsia="宋体" w:cs="宋体"/>
                <w:spacing w:val="2"/>
                <w:sz w:val="22"/>
                <w:szCs w:val="22"/>
                <w:highlight w:val="none"/>
              </w:rPr>
              <w:t>.全市中小河流防洪治理项目</w:t>
            </w:r>
          </w:p>
        </w:tc>
      </w:tr>
      <w:tr w14:paraId="1AEC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3D5473D8">
            <w:pPr>
              <w:spacing w:before="199" w:line="187"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5EE8F1D6">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0A748A21">
            <w:pPr>
              <w:spacing w:before="139" w:line="219" w:lineRule="auto"/>
              <w:ind w:firstLine="162"/>
              <w:rPr>
                <w:rFonts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4</w:t>
            </w:r>
            <w:r>
              <w:rPr>
                <w:rFonts w:ascii="宋体" w:hAnsi="宋体" w:eastAsia="宋体" w:cs="宋体"/>
                <w:spacing w:val="3"/>
                <w:sz w:val="22"/>
                <w:szCs w:val="22"/>
                <w:highlight w:val="none"/>
              </w:rPr>
              <w:t>.全市山洪灾害防治项目</w:t>
            </w:r>
          </w:p>
        </w:tc>
      </w:tr>
      <w:tr w14:paraId="7FEA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248B3A67">
            <w:pPr>
              <w:spacing w:before="200" w:line="187" w:lineRule="auto"/>
              <w:jc w:val="center"/>
              <w:rPr>
                <w:rFonts w:hint="default" w:ascii="宋体" w:hAnsi="宋体" w:eastAsia="宋体" w:cs="宋体"/>
                <w:sz w:val="22"/>
                <w:szCs w:val="22"/>
                <w:highlight w:val="none"/>
                <w:lang w:val="en-US" w:eastAsia="zh-CN"/>
              </w:rPr>
            </w:pPr>
            <w:r>
              <w:rPr>
                <w:rFonts w:hint="eastAsia" w:ascii="宋体" w:hAnsi="宋体" w:eastAsia="宋体" w:cs="宋体"/>
                <w:spacing w:val="-7"/>
                <w:sz w:val="22"/>
                <w:szCs w:val="22"/>
                <w:highlight w:val="none"/>
                <w:lang w:val="en-US" w:eastAsia="zh-CN"/>
              </w:rPr>
              <w:t>10</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7ECB03E3">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6FB86308">
            <w:pPr>
              <w:spacing w:before="139" w:line="219" w:lineRule="auto"/>
              <w:ind w:firstLine="162"/>
              <w:rPr>
                <w:rFonts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5</w:t>
            </w:r>
            <w:r>
              <w:rPr>
                <w:rFonts w:ascii="宋体" w:hAnsi="宋体" w:eastAsia="宋体" w:cs="宋体"/>
                <w:spacing w:val="3"/>
                <w:sz w:val="22"/>
                <w:szCs w:val="22"/>
                <w:highlight w:val="none"/>
              </w:rPr>
              <w:t>.全市防汛抗旱能力建设项目</w:t>
            </w:r>
          </w:p>
        </w:tc>
      </w:tr>
      <w:tr w14:paraId="3B71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3438B926">
            <w:pPr>
              <w:spacing w:before="177" w:line="187" w:lineRule="auto"/>
              <w:jc w:val="center"/>
              <w:rPr>
                <w:rFonts w:hint="default"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lang w:val="en-US" w:eastAsia="zh-CN"/>
              </w:rPr>
              <w:t>11</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262C94BB">
            <w:pPr>
              <w:spacing w:before="75" w:line="219" w:lineRule="auto"/>
              <w:jc w:val="both"/>
              <w:rPr>
                <w:rFonts w:ascii="Arial"/>
                <w:sz w:val="20"/>
                <w:szCs w:val="21"/>
                <w:highlight w:val="none"/>
              </w:rPr>
            </w:pPr>
            <w:r>
              <w:rPr>
                <w:rFonts w:ascii="宋体" w:hAnsi="宋体" w:eastAsia="宋体" w:cs="宋体"/>
                <w:spacing w:val="-1"/>
                <w:sz w:val="22"/>
                <w:szCs w:val="22"/>
                <w:highlight w:val="none"/>
              </w:rPr>
              <w:t>三、气象灾害防御工程</w:t>
            </w:r>
          </w:p>
        </w:tc>
        <w:tc>
          <w:tcPr>
            <w:tcW w:w="8820" w:type="dxa"/>
            <w:tcBorders>
              <w:top w:val="single" w:color="auto" w:sz="4" w:space="0"/>
              <w:left w:val="single" w:color="auto" w:sz="4" w:space="0"/>
              <w:bottom w:val="single" w:color="auto" w:sz="4" w:space="0"/>
              <w:right w:val="single" w:color="auto" w:sz="4" w:space="0"/>
            </w:tcBorders>
            <w:vAlign w:val="top"/>
          </w:tcPr>
          <w:p w14:paraId="694798F8">
            <w:pPr>
              <w:spacing w:before="119" w:line="219" w:lineRule="auto"/>
              <w:ind w:firstLine="192" w:firstLineChars="0"/>
              <w:rPr>
                <w:rFonts w:ascii="宋体" w:hAnsi="宋体" w:eastAsia="宋体" w:cs="宋体"/>
                <w:spacing w:val="3"/>
                <w:sz w:val="22"/>
                <w:szCs w:val="22"/>
                <w:highlight w:val="none"/>
              </w:rPr>
            </w:pPr>
            <w:r>
              <w:rPr>
                <w:rFonts w:ascii="宋体" w:hAnsi="宋体" w:eastAsia="宋体" w:cs="宋体"/>
                <w:spacing w:val="2"/>
                <w:sz w:val="22"/>
                <w:szCs w:val="22"/>
                <w:highlight w:val="none"/>
              </w:rPr>
              <w:t>1.区域自动气象站网优化和升级项目</w:t>
            </w:r>
          </w:p>
        </w:tc>
      </w:tr>
      <w:tr w14:paraId="5E6E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43F8F9C">
            <w:pPr>
              <w:spacing w:before="183" w:line="185" w:lineRule="auto"/>
              <w:jc w:val="center"/>
              <w:rPr>
                <w:rFonts w:hint="default"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lang w:val="en-US" w:eastAsia="zh-CN"/>
              </w:rPr>
              <w:t>12</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3F8E76A3">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3F246E54">
            <w:pPr>
              <w:spacing w:before="124" w:line="219" w:lineRule="auto"/>
              <w:ind w:firstLine="192" w:firstLineChars="0"/>
              <w:rPr>
                <w:rFonts w:ascii="宋体" w:hAnsi="宋体" w:eastAsia="宋体" w:cs="宋体"/>
                <w:spacing w:val="3"/>
                <w:sz w:val="22"/>
                <w:szCs w:val="22"/>
                <w:highlight w:val="none"/>
              </w:rPr>
            </w:pPr>
            <w:r>
              <w:rPr>
                <w:rFonts w:ascii="宋体" w:hAnsi="宋体" w:eastAsia="宋体" w:cs="宋体"/>
                <w:spacing w:val="2"/>
                <w:sz w:val="22"/>
                <w:szCs w:val="22"/>
                <w:highlight w:val="none"/>
              </w:rPr>
              <w:t>2.行业气象观测站建设完善项目</w:t>
            </w:r>
          </w:p>
        </w:tc>
      </w:tr>
      <w:tr w14:paraId="4857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639814CE">
            <w:pPr>
              <w:spacing w:before="184" w:line="185" w:lineRule="auto"/>
              <w:jc w:val="center"/>
              <w:rPr>
                <w:rFonts w:hint="default"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lang w:val="en-US" w:eastAsia="zh-CN"/>
              </w:rPr>
              <w:t>13</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0F0D3D3B">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6C209058">
            <w:pPr>
              <w:spacing w:before="123" w:line="219" w:lineRule="auto"/>
              <w:ind w:firstLine="192" w:firstLineChars="0"/>
              <w:rPr>
                <w:rFonts w:ascii="宋体" w:hAnsi="宋体" w:eastAsia="宋体" w:cs="宋体"/>
                <w:spacing w:val="3"/>
                <w:sz w:val="22"/>
                <w:szCs w:val="22"/>
                <w:highlight w:val="none"/>
              </w:rPr>
            </w:pPr>
            <w:r>
              <w:rPr>
                <w:rFonts w:ascii="宋体" w:hAnsi="宋体" w:eastAsia="宋体" w:cs="宋体"/>
                <w:spacing w:val="5"/>
                <w:sz w:val="22"/>
                <w:szCs w:val="22"/>
                <w:highlight w:val="none"/>
              </w:rPr>
              <w:t>3.</w:t>
            </w:r>
            <w:r>
              <w:rPr>
                <w:rFonts w:hint="eastAsia" w:ascii="宋体" w:hAnsi="宋体" w:eastAsia="宋体" w:cs="宋体"/>
                <w:spacing w:val="5"/>
                <w:sz w:val="22"/>
                <w:szCs w:val="22"/>
                <w:highlight w:val="none"/>
                <w:lang w:eastAsia="zh-CN"/>
              </w:rPr>
              <w:t>兴宁</w:t>
            </w:r>
            <w:r>
              <w:rPr>
                <w:rFonts w:ascii="宋体" w:hAnsi="宋体" w:eastAsia="宋体" w:cs="宋体"/>
                <w:spacing w:val="5"/>
                <w:sz w:val="22"/>
                <w:szCs w:val="22"/>
                <w:highlight w:val="none"/>
              </w:rPr>
              <w:t>数值预报产品解释应用平台和无缝隙智能网格预报业务平台建设项目</w:t>
            </w:r>
          </w:p>
        </w:tc>
      </w:tr>
      <w:tr w14:paraId="7BFE1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6F6A3370">
            <w:pPr>
              <w:spacing w:before="184" w:line="185" w:lineRule="auto"/>
              <w:jc w:val="center"/>
              <w:rPr>
                <w:rFonts w:hint="default"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lang w:val="en-US" w:eastAsia="zh-CN"/>
              </w:rPr>
              <w:t>14</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36C487B9">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677D5F1A">
            <w:pPr>
              <w:spacing w:before="124" w:line="219" w:lineRule="auto"/>
              <w:ind w:firstLine="192" w:firstLineChars="0"/>
              <w:rPr>
                <w:rFonts w:ascii="宋体" w:hAnsi="宋体" w:eastAsia="宋体" w:cs="宋体"/>
                <w:spacing w:val="3"/>
                <w:sz w:val="22"/>
                <w:szCs w:val="22"/>
                <w:highlight w:val="none"/>
              </w:rPr>
            </w:pPr>
            <w:r>
              <w:rPr>
                <w:rFonts w:ascii="宋体" w:hAnsi="宋体" w:eastAsia="宋体" w:cs="宋体"/>
                <w:spacing w:val="6"/>
                <w:sz w:val="22"/>
                <w:szCs w:val="22"/>
                <w:highlight w:val="none"/>
              </w:rPr>
              <w:t>4.</w:t>
            </w:r>
            <w:r>
              <w:rPr>
                <w:rFonts w:hint="eastAsia" w:ascii="宋体" w:hAnsi="宋体" w:eastAsia="宋体" w:cs="宋体"/>
                <w:spacing w:val="6"/>
                <w:sz w:val="22"/>
                <w:szCs w:val="22"/>
                <w:highlight w:val="none"/>
                <w:lang w:eastAsia="zh-CN"/>
              </w:rPr>
              <w:t>兴宁</w:t>
            </w:r>
            <w:r>
              <w:rPr>
                <w:rFonts w:ascii="宋体" w:hAnsi="宋体" w:eastAsia="宋体" w:cs="宋体"/>
                <w:spacing w:val="6"/>
                <w:sz w:val="22"/>
                <w:szCs w:val="22"/>
                <w:highlight w:val="none"/>
              </w:rPr>
              <w:t>市突发事件预警信息发布平台升级完善项目</w:t>
            </w:r>
          </w:p>
        </w:tc>
      </w:tr>
      <w:tr w14:paraId="11B47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2B22ECC1">
            <w:pPr>
              <w:spacing w:before="185" w:line="185" w:lineRule="auto"/>
              <w:jc w:val="center"/>
              <w:rPr>
                <w:rFonts w:hint="default"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lang w:val="en-US" w:eastAsia="zh-CN"/>
              </w:rPr>
              <w:t>15</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40AD8097">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7F984DA5">
            <w:pPr>
              <w:spacing w:before="126" w:line="219" w:lineRule="auto"/>
              <w:ind w:firstLine="192" w:firstLineChars="0"/>
              <w:rPr>
                <w:rFonts w:ascii="宋体" w:hAnsi="宋体" w:eastAsia="宋体" w:cs="宋体"/>
                <w:spacing w:val="3"/>
                <w:sz w:val="22"/>
                <w:szCs w:val="22"/>
                <w:highlight w:val="none"/>
              </w:rPr>
            </w:pPr>
            <w:r>
              <w:rPr>
                <w:rFonts w:ascii="宋体" w:hAnsi="宋体" w:eastAsia="宋体" w:cs="宋体"/>
                <w:spacing w:val="1"/>
                <w:sz w:val="22"/>
                <w:szCs w:val="22"/>
                <w:highlight w:val="none"/>
              </w:rPr>
              <w:t>5.智能化防灾减灾决策气象服务平台建设项目</w:t>
            </w:r>
          </w:p>
        </w:tc>
      </w:tr>
      <w:tr w14:paraId="0F03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670E3AD7">
            <w:pPr>
              <w:spacing w:before="185" w:line="185" w:lineRule="auto"/>
              <w:jc w:val="center"/>
              <w:rPr>
                <w:rFonts w:hint="default"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lang w:val="en-US" w:eastAsia="zh-CN"/>
              </w:rPr>
              <w:t>16</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6D679B1B">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60EA6C19">
            <w:pPr>
              <w:spacing w:before="126" w:line="219" w:lineRule="auto"/>
              <w:ind w:firstLine="192" w:firstLineChars="0"/>
              <w:rPr>
                <w:rFonts w:ascii="宋体" w:hAnsi="宋体" w:eastAsia="宋体" w:cs="宋体"/>
                <w:spacing w:val="3"/>
                <w:sz w:val="22"/>
                <w:szCs w:val="22"/>
                <w:highlight w:val="none"/>
              </w:rPr>
            </w:pPr>
            <w:r>
              <w:rPr>
                <w:rFonts w:ascii="宋体" w:hAnsi="宋体" w:eastAsia="宋体" w:cs="宋体"/>
                <w:spacing w:val="7"/>
                <w:sz w:val="22"/>
                <w:szCs w:val="22"/>
                <w:highlight w:val="none"/>
              </w:rPr>
              <w:t>6.</w:t>
            </w:r>
            <w:r>
              <w:rPr>
                <w:rFonts w:hint="eastAsia" w:ascii="宋体" w:hAnsi="宋体" w:eastAsia="宋体" w:cs="宋体"/>
                <w:spacing w:val="7"/>
                <w:sz w:val="22"/>
                <w:szCs w:val="22"/>
                <w:highlight w:val="none"/>
                <w:lang w:eastAsia="zh-CN"/>
              </w:rPr>
              <w:t>兴宁市</w:t>
            </w:r>
            <w:r>
              <w:rPr>
                <w:rFonts w:ascii="宋体" w:hAnsi="宋体" w:eastAsia="宋体" w:cs="宋体"/>
                <w:spacing w:val="7"/>
                <w:sz w:val="22"/>
                <w:szCs w:val="22"/>
                <w:highlight w:val="none"/>
              </w:rPr>
              <w:t>1:5万主要气象灾害风险地图编制项目</w:t>
            </w:r>
          </w:p>
        </w:tc>
      </w:tr>
      <w:tr w14:paraId="34BA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0D8EB645">
            <w:pPr>
              <w:spacing w:before="185" w:line="185" w:lineRule="auto"/>
              <w:jc w:val="center"/>
              <w:rPr>
                <w:rFonts w:hint="default" w:ascii="宋体" w:hAnsi="宋体" w:eastAsia="宋体" w:cs="宋体"/>
                <w:spacing w:val="-7"/>
                <w:sz w:val="22"/>
                <w:szCs w:val="22"/>
                <w:highlight w:val="none"/>
                <w:lang w:val="en-US" w:eastAsia="zh-CN"/>
              </w:rPr>
            </w:pPr>
            <w:r>
              <w:rPr>
                <w:rFonts w:hint="eastAsia" w:ascii="宋体" w:hAnsi="宋体" w:eastAsia="宋体" w:cs="宋体"/>
                <w:spacing w:val="-7"/>
                <w:sz w:val="22"/>
                <w:szCs w:val="22"/>
                <w:highlight w:val="none"/>
                <w:lang w:val="en-US" w:eastAsia="zh-CN"/>
              </w:rPr>
              <w:t>17</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53F082BC">
            <w:pPr>
              <w:jc w:val="both"/>
              <w:rPr>
                <w:rFonts w:ascii="Arial"/>
                <w:sz w:val="20"/>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5247EE44">
            <w:pPr>
              <w:spacing w:before="126" w:line="219" w:lineRule="auto"/>
              <w:ind w:firstLine="192" w:firstLineChars="0"/>
              <w:rPr>
                <w:rFonts w:ascii="宋体" w:hAnsi="宋体" w:eastAsia="宋体" w:cs="宋体"/>
                <w:spacing w:val="3"/>
                <w:sz w:val="22"/>
                <w:szCs w:val="22"/>
                <w:highlight w:val="none"/>
              </w:rPr>
            </w:pPr>
            <w:r>
              <w:rPr>
                <w:rFonts w:ascii="宋体" w:hAnsi="宋体" w:eastAsia="宋体" w:cs="宋体"/>
                <w:spacing w:val="2"/>
                <w:sz w:val="22"/>
                <w:szCs w:val="22"/>
                <w:highlight w:val="none"/>
              </w:rPr>
              <w:t>7.现代农业气象保障能力建设项目</w:t>
            </w:r>
          </w:p>
        </w:tc>
      </w:tr>
      <w:tr w14:paraId="276E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7D59C054">
            <w:pPr>
              <w:spacing w:before="185" w:line="187" w:lineRule="auto"/>
              <w:jc w:val="center"/>
              <w:rPr>
                <w:rFonts w:hint="default" w:ascii="宋体" w:hAnsi="宋体" w:eastAsia="宋体" w:cs="宋体"/>
                <w:spacing w:val="5"/>
                <w:sz w:val="22"/>
                <w:szCs w:val="22"/>
                <w:highlight w:val="none"/>
                <w:lang w:val="en-US" w:eastAsia="zh-CN"/>
              </w:rPr>
            </w:pPr>
            <w:r>
              <w:rPr>
                <w:rFonts w:hint="eastAsia" w:ascii="宋体" w:hAnsi="宋体" w:eastAsia="宋体" w:cs="宋体"/>
                <w:spacing w:val="-3"/>
                <w:sz w:val="22"/>
                <w:szCs w:val="22"/>
                <w:highlight w:val="none"/>
                <w:lang w:val="en-US" w:eastAsia="zh-CN"/>
              </w:rPr>
              <w:t>18</w:t>
            </w:r>
          </w:p>
        </w:tc>
        <w:tc>
          <w:tcPr>
            <w:tcW w:w="3496" w:type="dxa"/>
            <w:tcBorders>
              <w:top w:val="single" w:color="auto" w:sz="4" w:space="0"/>
              <w:left w:val="single" w:color="auto" w:sz="4" w:space="0"/>
              <w:bottom w:val="single" w:color="auto" w:sz="4" w:space="0"/>
              <w:right w:val="single" w:color="auto" w:sz="4" w:space="0"/>
            </w:tcBorders>
            <w:vAlign w:val="center"/>
          </w:tcPr>
          <w:p w14:paraId="6C42C388">
            <w:pPr>
              <w:spacing w:before="75" w:line="220" w:lineRule="auto"/>
              <w:jc w:val="both"/>
              <w:rPr>
                <w:rFonts w:ascii="宋体" w:hAnsi="宋体" w:eastAsia="宋体" w:cs="宋体"/>
                <w:spacing w:val="5"/>
                <w:sz w:val="22"/>
                <w:szCs w:val="22"/>
                <w:highlight w:val="none"/>
              </w:rPr>
            </w:pPr>
            <w:r>
              <w:rPr>
                <w:rFonts w:ascii="宋体" w:hAnsi="宋体" w:eastAsia="宋体" w:cs="宋体"/>
                <w:spacing w:val="1"/>
                <w:sz w:val="22"/>
                <w:szCs w:val="22"/>
                <w:highlight w:val="none"/>
              </w:rPr>
              <w:t>四、防震减灾工程</w:t>
            </w:r>
          </w:p>
        </w:tc>
        <w:tc>
          <w:tcPr>
            <w:tcW w:w="8820" w:type="dxa"/>
            <w:tcBorders>
              <w:top w:val="single" w:color="auto" w:sz="4" w:space="0"/>
              <w:left w:val="single" w:color="auto" w:sz="4" w:space="0"/>
              <w:bottom w:val="single" w:color="auto" w:sz="4" w:space="0"/>
              <w:right w:val="single" w:color="auto" w:sz="4" w:space="0"/>
            </w:tcBorders>
            <w:vAlign w:val="top"/>
          </w:tcPr>
          <w:p w14:paraId="6BAA7659">
            <w:pPr>
              <w:spacing w:before="126" w:line="219" w:lineRule="auto"/>
              <w:ind w:firstLine="192" w:firstLineChars="0"/>
              <w:rPr>
                <w:rFonts w:ascii="宋体" w:hAnsi="宋体" w:eastAsia="宋体" w:cs="宋体"/>
                <w:spacing w:val="5"/>
                <w:sz w:val="22"/>
                <w:szCs w:val="22"/>
                <w:highlight w:val="none"/>
              </w:rPr>
            </w:pPr>
            <w:r>
              <w:rPr>
                <w:rFonts w:ascii="宋体" w:hAnsi="宋体" w:eastAsia="宋体" w:cs="宋体"/>
                <w:spacing w:val="-2"/>
                <w:sz w:val="22"/>
                <w:szCs w:val="22"/>
                <w:highlight w:val="none"/>
              </w:rPr>
              <w:t>1.</w:t>
            </w:r>
            <w:r>
              <w:rPr>
                <w:rFonts w:hint="eastAsia" w:ascii="宋体" w:hAnsi="宋体" w:eastAsia="宋体" w:cs="宋体"/>
                <w:spacing w:val="-2"/>
                <w:sz w:val="22"/>
                <w:szCs w:val="22"/>
                <w:highlight w:val="none"/>
                <w:lang w:eastAsia="zh-CN"/>
              </w:rPr>
              <w:t>兴宁</w:t>
            </w:r>
            <w:r>
              <w:rPr>
                <w:rFonts w:ascii="宋体" w:hAnsi="宋体" w:eastAsia="宋体" w:cs="宋体"/>
                <w:spacing w:val="-2"/>
                <w:sz w:val="22"/>
                <w:szCs w:val="22"/>
                <w:highlight w:val="none"/>
              </w:rPr>
              <w:t>市地震烈度速报与预警工程建设项目</w:t>
            </w:r>
          </w:p>
        </w:tc>
      </w:tr>
    </w:tbl>
    <w:p w14:paraId="259658F7">
      <w:pPr>
        <w:spacing w:before="186" w:line="186" w:lineRule="auto"/>
        <w:jc w:val="center"/>
        <w:rPr>
          <w:rFonts w:hint="eastAsia" w:ascii="宋体" w:hAnsi="宋体" w:eastAsia="宋体" w:cs="宋体"/>
          <w:spacing w:val="-3"/>
          <w:sz w:val="22"/>
          <w:szCs w:val="22"/>
          <w:highlight w:val="none"/>
          <w:lang w:val="en-US" w:eastAsia="zh-CN"/>
        </w:rPr>
        <w:sectPr>
          <w:footerReference r:id="rId4" w:type="default"/>
          <w:pgSz w:w="16838" w:h="11900" w:orient="landscape"/>
          <w:pgMar w:top="1270" w:right="1553" w:bottom="1270" w:left="1542" w:header="0" w:footer="1077" w:gutter="0"/>
          <w:pgNumType w:fmt="decimal" w:start="39"/>
          <w:cols w:equalWidth="0" w:num="1">
            <w:col w:w="9026"/>
          </w:cols>
        </w:sectPr>
      </w:pPr>
    </w:p>
    <w:tbl>
      <w:tblPr>
        <w:tblStyle w:val="15"/>
        <w:tblW w:w="1319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496"/>
        <w:gridCol w:w="8820"/>
      </w:tblGrid>
      <w:tr w14:paraId="7707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4" w:type="dxa"/>
            <w:tcBorders>
              <w:top w:val="single" w:color="auto" w:sz="4" w:space="0"/>
              <w:left w:val="single" w:color="auto" w:sz="4" w:space="0"/>
              <w:bottom w:val="single" w:color="auto" w:sz="4" w:space="0"/>
              <w:right w:val="single" w:color="auto" w:sz="4" w:space="0"/>
            </w:tcBorders>
            <w:vAlign w:val="top"/>
          </w:tcPr>
          <w:p w14:paraId="7DB053D9">
            <w:pPr>
              <w:spacing w:before="186" w:line="186" w:lineRule="auto"/>
              <w:jc w:val="center"/>
              <w:rPr>
                <w:rFonts w:hint="default" w:ascii="宋体" w:hAnsi="宋体" w:eastAsia="宋体" w:cs="宋体"/>
                <w:spacing w:val="5"/>
                <w:sz w:val="22"/>
                <w:szCs w:val="22"/>
                <w:highlight w:val="none"/>
                <w:lang w:val="en-US" w:eastAsia="zh-CN"/>
              </w:rPr>
            </w:pPr>
            <w:r>
              <w:rPr>
                <w:rFonts w:hint="eastAsia" w:ascii="宋体" w:hAnsi="宋体" w:eastAsia="宋体" w:cs="宋体"/>
                <w:spacing w:val="-3"/>
                <w:sz w:val="22"/>
                <w:szCs w:val="22"/>
                <w:highlight w:val="none"/>
                <w:lang w:val="en-US" w:eastAsia="zh-CN"/>
              </w:rPr>
              <w:t>19</w:t>
            </w:r>
          </w:p>
        </w:tc>
        <w:tc>
          <w:tcPr>
            <w:tcW w:w="3496" w:type="dxa"/>
            <w:vMerge w:val="restart"/>
            <w:tcBorders>
              <w:top w:val="single" w:color="auto" w:sz="4" w:space="0"/>
              <w:left w:val="single" w:color="auto" w:sz="4" w:space="0"/>
              <w:right w:val="single" w:color="auto" w:sz="4" w:space="0"/>
            </w:tcBorders>
            <w:vAlign w:val="top"/>
          </w:tcPr>
          <w:p w14:paraId="4856D2F3">
            <w:pPr>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6915E3AA">
            <w:pPr>
              <w:spacing w:before="127" w:line="219" w:lineRule="auto"/>
              <w:ind w:firstLine="192" w:firstLineChars="0"/>
              <w:rPr>
                <w:rFonts w:ascii="宋体" w:hAnsi="宋体" w:eastAsia="宋体" w:cs="宋体"/>
                <w:spacing w:val="5"/>
                <w:sz w:val="22"/>
                <w:szCs w:val="22"/>
                <w:highlight w:val="none"/>
              </w:rPr>
            </w:pPr>
            <w:r>
              <w:rPr>
                <w:rFonts w:ascii="宋体" w:hAnsi="宋体" w:eastAsia="宋体" w:cs="宋体"/>
                <w:spacing w:val="4"/>
                <w:sz w:val="22"/>
                <w:szCs w:val="22"/>
                <w:highlight w:val="none"/>
              </w:rPr>
              <w:t>2.地震预测预报能力建设和实验场平台建设项目</w:t>
            </w:r>
          </w:p>
        </w:tc>
      </w:tr>
      <w:tr w14:paraId="029A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5D0945CE">
            <w:pPr>
              <w:spacing w:before="187" w:line="185" w:lineRule="auto"/>
              <w:jc w:val="center"/>
              <w:rPr>
                <w:rFonts w:hint="default" w:ascii="宋体" w:hAnsi="宋体" w:eastAsia="宋体" w:cs="宋体"/>
                <w:spacing w:val="5"/>
                <w:sz w:val="22"/>
                <w:szCs w:val="22"/>
                <w:highlight w:val="none"/>
                <w:lang w:val="en-US" w:eastAsia="zh-CN"/>
              </w:rPr>
            </w:pPr>
            <w:r>
              <w:rPr>
                <w:rFonts w:hint="eastAsia" w:ascii="宋体" w:hAnsi="宋体" w:eastAsia="宋体" w:cs="宋体"/>
                <w:spacing w:val="-3"/>
                <w:sz w:val="22"/>
                <w:szCs w:val="22"/>
                <w:highlight w:val="none"/>
                <w:lang w:val="en-US" w:eastAsia="zh-CN"/>
              </w:rPr>
              <w:t>20</w:t>
            </w:r>
          </w:p>
        </w:tc>
        <w:tc>
          <w:tcPr>
            <w:tcW w:w="3496" w:type="dxa"/>
            <w:vMerge w:val="continue"/>
            <w:tcBorders>
              <w:top w:val="single" w:color="auto" w:sz="4" w:space="0"/>
              <w:left w:val="single" w:color="auto" w:sz="4" w:space="0"/>
              <w:bottom w:val="single" w:color="auto" w:sz="4" w:space="0"/>
              <w:right w:val="single" w:color="auto" w:sz="4" w:space="0"/>
            </w:tcBorders>
            <w:vAlign w:val="top"/>
          </w:tcPr>
          <w:p w14:paraId="2788DD36">
            <w:pPr>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78C9AC57">
            <w:pPr>
              <w:spacing w:before="128" w:line="219" w:lineRule="auto"/>
              <w:ind w:firstLine="192" w:firstLineChars="0"/>
              <w:rPr>
                <w:rFonts w:ascii="宋体" w:hAnsi="宋体" w:eastAsia="宋体" w:cs="宋体"/>
                <w:spacing w:val="5"/>
                <w:sz w:val="22"/>
                <w:szCs w:val="22"/>
                <w:highlight w:val="none"/>
              </w:rPr>
            </w:pPr>
            <w:r>
              <w:rPr>
                <w:rFonts w:ascii="宋体" w:hAnsi="宋体" w:eastAsia="宋体" w:cs="宋体"/>
                <w:spacing w:val="2"/>
                <w:sz w:val="22"/>
                <w:szCs w:val="22"/>
                <w:highlight w:val="none"/>
              </w:rPr>
              <w:t>3.防震减灾基础服务体系建设项目</w:t>
            </w:r>
          </w:p>
        </w:tc>
      </w:tr>
      <w:tr w14:paraId="705B1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33E7612">
            <w:pPr>
              <w:spacing w:before="187" w:line="186" w:lineRule="auto"/>
              <w:jc w:val="center"/>
              <w:rPr>
                <w:rFonts w:hint="eastAsia" w:ascii="宋体" w:hAnsi="宋体" w:eastAsia="宋体" w:cs="宋体"/>
                <w:spacing w:val="5"/>
                <w:sz w:val="22"/>
                <w:szCs w:val="22"/>
                <w:highlight w:val="none"/>
                <w:lang w:val="en-US" w:eastAsia="zh-CN"/>
              </w:rPr>
            </w:pPr>
            <w:r>
              <w:rPr>
                <w:rFonts w:ascii="宋体" w:hAnsi="宋体" w:eastAsia="宋体" w:cs="宋体"/>
                <w:spacing w:val="-3"/>
                <w:sz w:val="22"/>
                <w:szCs w:val="22"/>
                <w:highlight w:val="none"/>
              </w:rPr>
              <w:t>2</w:t>
            </w:r>
            <w:r>
              <w:rPr>
                <w:rFonts w:hint="eastAsia" w:ascii="宋体" w:hAnsi="宋体" w:eastAsia="宋体" w:cs="宋体"/>
                <w:spacing w:val="-3"/>
                <w:sz w:val="22"/>
                <w:szCs w:val="22"/>
                <w:highlight w:val="none"/>
                <w:lang w:val="en-US" w:eastAsia="zh-CN"/>
              </w:rPr>
              <w:t>1</w:t>
            </w:r>
          </w:p>
        </w:tc>
        <w:tc>
          <w:tcPr>
            <w:tcW w:w="3496" w:type="dxa"/>
            <w:vMerge w:val="continue"/>
            <w:tcBorders>
              <w:top w:val="single" w:color="auto" w:sz="4" w:space="0"/>
              <w:left w:val="single" w:color="auto" w:sz="4" w:space="0"/>
              <w:bottom w:val="single" w:color="auto" w:sz="4" w:space="0"/>
              <w:right w:val="single" w:color="auto" w:sz="4" w:space="0"/>
            </w:tcBorders>
            <w:vAlign w:val="top"/>
          </w:tcPr>
          <w:p w14:paraId="52EA7525">
            <w:pPr>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1B097F0F">
            <w:pPr>
              <w:spacing w:before="129" w:line="220" w:lineRule="auto"/>
              <w:ind w:firstLine="192" w:firstLineChars="0"/>
              <w:rPr>
                <w:rFonts w:ascii="宋体" w:hAnsi="宋体" w:eastAsia="宋体" w:cs="宋体"/>
                <w:spacing w:val="5"/>
                <w:sz w:val="22"/>
                <w:szCs w:val="22"/>
                <w:highlight w:val="none"/>
              </w:rPr>
            </w:pPr>
            <w:r>
              <w:rPr>
                <w:rFonts w:ascii="宋体" w:hAnsi="宋体" w:eastAsia="宋体" w:cs="宋体"/>
                <w:sz w:val="22"/>
                <w:szCs w:val="22"/>
                <w:highlight w:val="none"/>
              </w:rPr>
              <w:t>4.地震灾害风险防御与应急处置一体化工程建设项目。</w:t>
            </w:r>
          </w:p>
        </w:tc>
      </w:tr>
      <w:tr w14:paraId="116FD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76FFBAF2">
            <w:pPr>
              <w:spacing w:before="187" w:line="185" w:lineRule="auto"/>
              <w:jc w:val="center"/>
              <w:rPr>
                <w:rFonts w:hint="eastAsia" w:ascii="宋体" w:hAnsi="宋体" w:eastAsia="宋体" w:cs="宋体"/>
                <w:spacing w:val="5"/>
                <w:sz w:val="22"/>
                <w:szCs w:val="22"/>
                <w:highlight w:val="none"/>
                <w:lang w:val="en-US" w:eastAsia="zh-CN"/>
              </w:rPr>
            </w:pPr>
            <w:r>
              <w:rPr>
                <w:rFonts w:ascii="宋体" w:hAnsi="宋体" w:eastAsia="宋体" w:cs="宋体"/>
                <w:spacing w:val="-3"/>
                <w:sz w:val="22"/>
                <w:szCs w:val="22"/>
                <w:highlight w:val="none"/>
              </w:rPr>
              <w:t>2</w:t>
            </w:r>
            <w:r>
              <w:rPr>
                <w:rFonts w:hint="eastAsia" w:ascii="宋体" w:hAnsi="宋体" w:eastAsia="宋体" w:cs="宋体"/>
                <w:spacing w:val="-3"/>
                <w:sz w:val="22"/>
                <w:szCs w:val="22"/>
                <w:highlight w:val="none"/>
                <w:lang w:val="en-US" w:eastAsia="zh-CN"/>
              </w:rPr>
              <w:t>2</w:t>
            </w:r>
          </w:p>
        </w:tc>
        <w:tc>
          <w:tcPr>
            <w:tcW w:w="3496" w:type="dxa"/>
            <w:vMerge w:val="continue"/>
            <w:tcBorders>
              <w:top w:val="single" w:color="auto" w:sz="4" w:space="0"/>
              <w:left w:val="single" w:color="auto" w:sz="4" w:space="0"/>
              <w:bottom w:val="single" w:color="auto" w:sz="4" w:space="0"/>
              <w:right w:val="single" w:color="auto" w:sz="4" w:space="0"/>
            </w:tcBorders>
            <w:vAlign w:val="top"/>
          </w:tcPr>
          <w:p w14:paraId="6444B311">
            <w:pPr>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06AA280C">
            <w:pPr>
              <w:spacing w:before="127" w:line="219" w:lineRule="auto"/>
              <w:ind w:firstLine="192" w:firstLineChars="0"/>
              <w:rPr>
                <w:rFonts w:ascii="宋体" w:hAnsi="宋体" w:eastAsia="宋体" w:cs="宋体"/>
                <w:spacing w:val="5"/>
                <w:sz w:val="22"/>
                <w:szCs w:val="22"/>
                <w:highlight w:val="none"/>
              </w:rPr>
            </w:pPr>
            <w:r>
              <w:rPr>
                <w:rFonts w:ascii="宋体" w:hAnsi="宋体" w:eastAsia="宋体" w:cs="宋体"/>
                <w:spacing w:val="8"/>
                <w:sz w:val="22"/>
                <w:szCs w:val="22"/>
                <w:highlight w:val="none"/>
              </w:rPr>
              <w:t>5全市城镇地震灾害风险防御工程、地震科普教育与应急救援培训能力建设项目</w:t>
            </w:r>
          </w:p>
        </w:tc>
      </w:tr>
      <w:tr w14:paraId="6AF7D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2FC7DA91">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2</w:t>
            </w:r>
            <w:r>
              <w:rPr>
                <w:rFonts w:hint="eastAsia" w:ascii="宋体" w:hAnsi="宋体" w:eastAsia="宋体" w:cs="宋体"/>
                <w:spacing w:val="8"/>
                <w:sz w:val="22"/>
                <w:szCs w:val="22"/>
                <w:highlight w:val="none"/>
                <w:lang w:val="en-US" w:eastAsia="zh-CN"/>
              </w:rPr>
              <w:t>3</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452E9DC8">
            <w:pPr>
              <w:spacing w:before="127" w:line="219" w:lineRule="auto"/>
              <w:jc w:val="both"/>
              <w:rPr>
                <w:rFonts w:ascii="宋体" w:hAnsi="宋体" w:eastAsia="宋体" w:cs="宋体"/>
                <w:spacing w:val="5"/>
                <w:sz w:val="22"/>
                <w:szCs w:val="22"/>
                <w:highlight w:val="none"/>
              </w:rPr>
            </w:pPr>
            <w:r>
              <w:rPr>
                <w:rFonts w:ascii="宋体" w:hAnsi="宋体" w:eastAsia="宋体" w:cs="宋体"/>
                <w:spacing w:val="8"/>
                <w:sz w:val="22"/>
                <w:szCs w:val="22"/>
                <w:highlight w:val="none"/>
              </w:rPr>
              <w:t>五、测绘保障工程</w:t>
            </w:r>
          </w:p>
        </w:tc>
        <w:tc>
          <w:tcPr>
            <w:tcW w:w="8820" w:type="dxa"/>
            <w:tcBorders>
              <w:top w:val="single" w:color="auto" w:sz="4" w:space="0"/>
              <w:left w:val="single" w:color="auto" w:sz="4" w:space="0"/>
              <w:bottom w:val="single" w:color="auto" w:sz="4" w:space="0"/>
              <w:right w:val="single" w:color="auto" w:sz="4" w:space="0"/>
            </w:tcBorders>
            <w:vAlign w:val="top"/>
          </w:tcPr>
          <w:p w14:paraId="68E54D24">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1.备灾地理信息数据库建设项目</w:t>
            </w:r>
          </w:p>
        </w:tc>
      </w:tr>
      <w:tr w14:paraId="656FC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62589372">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2</w:t>
            </w:r>
            <w:r>
              <w:rPr>
                <w:rFonts w:hint="eastAsia" w:ascii="宋体" w:hAnsi="宋体" w:eastAsia="宋体" w:cs="宋体"/>
                <w:spacing w:val="8"/>
                <w:sz w:val="22"/>
                <w:szCs w:val="22"/>
                <w:highlight w:val="none"/>
                <w:lang w:val="en-US" w:eastAsia="zh-CN"/>
              </w:rPr>
              <w:t>4</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5466F730">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7BD7B86C">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2.城市地下管线隐患点数据库建设工程项目</w:t>
            </w:r>
          </w:p>
        </w:tc>
      </w:tr>
      <w:tr w14:paraId="4939C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5193006C">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2</w:t>
            </w:r>
            <w:r>
              <w:rPr>
                <w:rFonts w:hint="eastAsia" w:ascii="宋体" w:hAnsi="宋体" w:eastAsia="宋体" w:cs="宋体"/>
                <w:spacing w:val="8"/>
                <w:sz w:val="22"/>
                <w:szCs w:val="22"/>
                <w:highlight w:val="none"/>
                <w:lang w:val="en-US" w:eastAsia="zh-CN"/>
              </w:rPr>
              <w:t>5</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695D7BCB">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524A3F81">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3.城市燃气管网、排水管网以及长距离油气</w:t>
            </w:r>
            <w:r>
              <w:rPr>
                <w:rFonts w:hint="eastAsia" w:ascii="宋体" w:hAnsi="宋体" w:eastAsia="宋体" w:cs="宋体"/>
                <w:spacing w:val="8"/>
                <w:sz w:val="22"/>
                <w:szCs w:val="22"/>
                <w:highlight w:val="none"/>
                <w:lang w:eastAsia="zh-CN"/>
              </w:rPr>
              <w:t>干线</w:t>
            </w:r>
            <w:r>
              <w:rPr>
                <w:rFonts w:ascii="宋体" w:hAnsi="宋体" w:eastAsia="宋体" w:cs="宋体"/>
                <w:spacing w:val="8"/>
                <w:sz w:val="22"/>
                <w:szCs w:val="22"/>
                <w:highlight w:val="none"/>
              </w:rPr>
              <w:t>隐患排查治理项目</w:t>
            </w:r>
          </w:p>
        </w:tc>
      </w:tr>
      <w:tr w14:paraId="28641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27586E36">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2</w:t>
            </w:r>
            <w:r>
              <w:rPr>
                <w:rFonts w:hint="eastAsia" w:ascii="宋体" w:hAnsi="宋体" w:eastAsia="宋体" w:cs="宋体"/>
                <w:spacing w:val="8"/>
                <w:sz w:val="22"/>
                <w:szCs w:val="22"/>
                <w:highlight w:val="none"/>
                <w:lang w:val="en-US" w:eastAsia="zh-CN"/>
              </w:rPr>
              <w:t>6</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7E9DE9DB">
            <w:pPr>
              <w:spacing w:before="127" w:line="219" w:lineRule="auto"/>
              <w:jc w:val="both"/>
              <w:rPr>
                <w:rFonts w:ascii="宋体" w:hAnsi="宋体" w:eastAsia="宋体" w:cs="宋体"/>
                <w:spacing w:val="5"/>
                <w:sz w:val="22"/>
                <w:szCs w:val="22"/>
                <w:highlight w:val="none"/>
              </w:rPr>
            </w:pPr>
            <w:r>
              <w:rPr>
                <w:rFonts w:ascii="宋体" w:hAnsi="宋体" w:eastAsia="宋体" w:cs="宋体"/>
                <w:spacing w:val="8"/>
                <w:sz w:val="22"/>
                <w:szCs w:val="22"/>
                <w:highlight w:val="none"/>
              </w:rPr>
              <w:t>六、森林火灾防控工程</w:t>
            </w:r>
          </w:p>
        </w:tc>
        <w:tc>
          <w:tcPr>
            <w:tcW w:w="8820" w:type="dxa"/>
            <w:tcBorders>
              <w:top w:val="single" w:color="auto" w:sz="4" w:space="0"/>
              <w:left w:val="single" w:color="auto" w:sz="4" w:space="0"/>
              <w:bottom w:val="single" w:color="auto" w:sz="4" w:space="0"/>
              <w:right w:val="single" w:color="auto" w:sz="4" w:space="0"/>
            </w:tcBorders>
            <w:vAlign w:val="top"/>
          </w:tcPr>
          <w:p w14:paraId="6348B709">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1.森林防火基础设施建设和综合治理项目</w:t>
            </w:r>
          </w:p>
        </w:tc>
      </w:tr>
      <w:tr w14:paraId="2BBE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459652A">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27</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2FFFAA01">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1CD4F41C">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2.重点火险区大型装备建设和防火应急道路建设项目</w:t>
            </w:r>
          </w:p>
        </w:tc>
      </w:tr>
      <w:tr w14:paraId="5E76F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7EF473EC">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28</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2EF21874">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0854C06F">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3.森林重点火险区以水灭火设施设备及专业队营房建设项目</w:t>
            </w:r>
          </w:p>
        </w:tc>
      </w:tr>
      <w:tr w14:paraId="29878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6E221E28">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29</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2FBB439F">
            <w:pPr>
              <w:spacing w:before="127" w:line="219" w:lineRule="auto"/>
              <w:jc w:val="both"/>
              <w:rPr>
                <w:rFonts w:ascii="宋体" w:hAnsi="宋体" w:eastAsia="宋体" w:cs="宋体"/>
                <w:spacing w:val="5"/>
                <w:sz w:val="22"/>
                <w:szCs w:val="22"/>
                <w:highlight w:val="none"/>
              </w:rPr>
            </w:pPr>
            <w:r>
              <w:rPr>
                <w:rFonts w:ascii="宋体" w:hAnsi="宋体" w:eastAsia="宋体" w:cs="宋体"/>
                <w:spacing w:val="8"/>
                <w:sz w:val="22"/>
                <w:szCs w:val="22"/>
                <w:highlight w:val="none"/>
              </w:rPr>
              <w:t>七、综合减灾工程</w:t>
            </w:r>
          </w:p>
        </w:tc>
        <w:tc>
          <w:tcPr>
            <w:tcW w:w="8820" w:type="dxa"/>
            <w:tcBorders>
              <w:top w:val="single" w:color="auto" w:sz="4" w:space="0"/>
              <w:left w:val="single" w:color="auto" w:sz="4" w:space="0"/>
              <w:bottom w:val="single" w:color="auto" w:sz="4" w:space="0"/>
              <w:right w:val="single" w:color="auto" w:sz="4" w:space="0"/>
            </w:tcBorders>
            <w:vAlign w:val="top"/>
          </w:tcPr>
          <w:p w14:paraId="0923D793">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1.综合减灾救灾大数据体系建设项目</w:t>
            </w:r>
          </w:p>
        </w:tc>
      </w:tr>
      <w:tr w14:paraId="4392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7DEFF8A8">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3</w:t>
            </w:r>
            <w:r>
              <w:rPr>
                <w:rFonts w:hint="eastAsia" w:ascii="宋体" w:hAnsi="宋体" w:eastAsia="宋体" w:cs="宋体"/>
                <w:spacing w:val="8"/>
                <w:sz w:val="22"/>
                <w:szCs w:val="22"/>
                <w:highlight w:val="none"/>
                <w:lang w:val="en-US" w:eastAsia="zh-CN"/>
              </w:rPr>
              <w:t>0</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4059C1AA">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379EE974">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2.救灾物资储备库建设项目</w:t>
            </w:r>
          </w:p>
        </w:tc>
      </w:tr>
      <w:tr w14:paraId="44CD6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6045C7F">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3</w:t>
            </w:r>
            <w:r>
              <w:rPr>
                <w:rFonts w:hint="eastAsia" w:ascii="宋体" w:hAnsi="宋体" w:eastAsia="宋体" w:cs="宋体"/>
                <w:spacing w:val="8"/>
                <w:sz w:val="22"/>
                <w:szCs w:val="22"/>
                <w:highlight w:val="none"/>
                <w:lang w:val="en-US" w:eastAsia="zh-CN"/>
              </w:rPr>
              <w:t>1</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15FEC2F1">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78ED4219">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3.应急避难场所建设项目</w:t>
            </w:r>
          </w:p>
        </w:tc>
      </w:tr>
      <w:tr w14:paraId="0E26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5BC2A285">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3</w:t>
            </w:r>
            <w:r>
              <w:rPr>
                <w:rFonts w:hint="eastAsia" w:ascii="宋体" w:hAnsi="宋体" w:eastAsia="宋体" w:cs="宋体"/>
                <w:spacing w:val="8"/>
                <w:sz w:val="22"/>
                <w:szCs w:val="22"/>
                <w:highlight w:val="none"/>
                <w:lang w:val="en-US" w:eastAsia="zh-CN"/>
              </w:rPr>
              <w:t>2</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25863FCA">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15C9EF5B">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4.</w:t>
            </w:r>
            <w:r>
              <w:rPr>
                <w:rFonts w:hint="eastAsia" w:ascii="宋体" w:hAnsi="宋体" w:eastAsia="宋体" w:cs="宋体"/>
                <w:spacing w:val="8"/>
                <w:sz w:val="22"/>
                <w:szCs w:val="22"/>
                <w:highlight w:val="none"/>
                <w:lang w:eastAsia="zh-CN"/>
              </w:rPr>
              <w:t>市镇两级</w:t>
            </w:r>
            <w:r>
              <w:rPr>
                <w:rFonts w:ascii="宋体" w:hAnsi="宋体" w:eastAsia="宋体" w:cs="宋体"/>
                <w:spacing w:val="8"/>
                <w:sz w:val="22"/>
                <w:szCs w:val="22"/>
                <w:highlight w:val="none"/>
              </w:rPr>
              <w:t>避难场所建设项目</w:t>
            </w:r>
          </w:p>
        </w:tc>
      </w:tr>
      <w:tr w14:paraId="67D5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D62335A">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3</w:t>
            </w:r>
            <w:r>
              <w:rPr>
                <w:rFonts w:hint="eastAsia" w:ascii="宋体" w:hAnsi="宋体" w:eastAsia="宋体" w:cs="宋体"/>
                <w:spacing w:val="8"/>
                <w:sz w:val="22"/>
                <w:szCs w:val="22"/>
                <w:highlight w:val="none"/>
                <w:lang w:val="en-US" w:eastAsia="zh-CN"/>
              </w:rPr>
              <w:t>3</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593EB6F6">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2CC566D1">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5.</w:t>
            </w:r>
            <w:r>
              <w:rPr>
                <w:rFonts w:hint="eastAsia" w:ascii="宋体" w:hAnsi="宋体" w:eastAsia="宋体" w:cs="宋体"/>
                <w:spacing w:val="8"/>
                <w:sz w:val="22"/>
                <w:szCs w:val="22"/>
                <w:highlight w:val="none"/>
                <w:lang w:eastAsia="zh-CN"/>
              </w:rPr>
              <w:t>兴宁市</w:t>
            </w:r>
            <w:r>
              <w:rPr>
                <w:rFonts w:ascii="宋体" w:hAnsi="宋体" w:eastAsia="宋体" w:cs="宋体"/>
                <w:spacing w:val="8"/>
                <w:sz w:val="22"/>
                <w:szCs w:val="22"/>
                <w:highlight w:val="none"/>
              </w:rPr>
              <w:t>国家综合减灾示范社区建设项目</w:t>
            </w:r>
          </w:p>
        </w:tc>
      </w:tr>
      <w:tr w14:paraId="0F7C7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36CB2742">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3</w:t>
            </w:r>
            <w:r>
              <w:rPr>
                <w:rFonts w:hint="eastAsia" w:ascii="宋体" w:hAnsi="宋体" w:eastAsia="宋体" w:cs="宋体"/>
                <w:spacing w:val="8"/>
                <w:sz w:val="22"/>
                <w:szCs w:val="22"/>
                <w:highlight w:val="none"/>
                <w:lang w:val="en-US" w:eastAsia="zh-CN"/>
              </w:rPr>
              <w:t>4</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0BDD2AB8">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54F722A9">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6.全市应急广播系统建设项目</w:t>
            </w:r>
          </w:p>
        </w:tc>
      </w:tr>
      <w:tr w14:paraId="312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35E9796C">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35</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28512CF6">
            <w:pPr>
              <w:spacing w:before="127" w:line="219" w:lineRule="auto"/>
              <w:jc w:val="both"/>
              <w:rPr>
                <w:rFonts w:ascii="宋体" w:hAnsi="宋体" w:eastAsia="宋体" w:cs="宋体"/>
                <w:spacing w:val="5"/>
                <w:sz w:val="22"/>
                <w:szCs w:val="22"/>
                <w:highlight w:val="none"/>
              </w:rPr>
            </w:pPr>
            <w:r>
              <w:rPr>
                <w:rFonts w:hint="eastAsia" w:ascii="宋体" w:hAnsi="宋体" w:eastAsia="宋体" w:cs="宋体"/>
                <w:spacing w:val="8"/>
                <w:sz w:val="22"/>
                <w:szCs w:val="22"/>
                <w:highlight w:val="none"/>
                <w:lang w:eastAsia="zh-CN"/>
              </w:rPr>
              <w:t>八</w:t>
            </w:r>
            <w:r>
              <w:rPr>
                <w:rFonts w:ascii="宋体" w:hAnsi="宋体" w:eastAsia="宋体" w:cs="宋体"/>
                <w:spacing w:val="8"/>
                <w:sz w:val="22"/>
                <w:szCs w:val="22"/>
                <w:highlight w:val="none"/>
              </w:rPr>
              <w:t>、</w:t>
            </w:r>
            <w:r>
              <w:rPr>
                <w:rFonts w:hint="eastAsia" w:ascii="宋体" w:hAnsi="宋体" w:eastAsia="宋体" w:cs="宋体"/>
                <w:spacing w:val="8"/>
                <w:sz w:val="22"/>
                <w:szCs w:val="22"/>
                <w:highlight w:val="none"/>
                <w:lang w:eastAsia="zh-CN"/>
              </w:rPr>
              <w:t>兴宁市应急救援队营房建设</w:t>
            </w:r>
          </w:p>
        </w:tc>
        <w:tc>
          <w:tcPr>
            <w:tcW w:w="8820" w:type="dxa"/>
            <w:tcBorders>
              <w:top w:val="single" w:color="auto" w:sz="4" w:space="0"/>
              <w:left w:val="single" w:color="auto" w:sz="4" w:space="0"/>
              <w:bottom w:val="single" w:color="auto" w:sz="4" w:space="0"/>
              <w:right w:val="single" w:color="auto" w:sz="4" w:space="0"/>
            </w:tcBorders>
            <w:vAlign w:val="top"/>
          </w:tcPr>
          <w:p w14:paraId="6D96ACCA">
            <w:pPr>
              <w:spacing w:before="127" w:line="219" w:lineRule="auto"/>
              <w:ind w:firstLine="192" w:firstLineChars="0"/>
              <w:rPr>
                <w:rFonts w:ascii="宋体" w:hAnsi="宋体" w:eastAsia="宋体" w:cs="宋体"/>
                <w:spacing w:val="8"/>
                <w:sz w:val="22"/>
                <w:szCs w:val="22"/>
                <w:highlight w:val="none"/>
              </w:rPr>
            </w:pPr>
            <w:r>
              <w:rPr>
                <w:rFonts w:hint="eastAsia" w:ascii="宋体" w:hAnsi="宋体" w:eastAsia="宋体" w:cs="宋体"/>
                <w:spacing w:val="8"/>
                <w:sz w:val="22"/>
                <w:szCs w:val="22"/>
                <w:highlight w:val="none"/>
                <w:lang w:val="en-US" w:eastAsia="zh-CN"/>
              </w:rPr>
              <w:t>1</w:t>
            </w:r>
            <w:r>
              <w:rPr>
                <w:rFonts w:ascii="宋体" w:hAnsi="宋体" w:eastAsia="宋体" w:cs="宋体"/>
                <w:spacing w:val="8"/>
                <w:sz w:val="22"/>
                <w:szCs w:val="22"/>
                <w:highlight w:val="none"/>
              </w:rPr>
              <w:t>.室外训练场建设项目</w:t>
            </w:r>
          </w:p>
        </w:tc>
      </w:tr>
      <w:tr w14:paraId="27B3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4CBAFF1A">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36</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5B21452F">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79CEF4FF">
            <w:pPr>
              <w:spacing w:before="127" w:line="219" w:lineRule="auto"/>
              <w:ind w:firstLine="192" w:firstLineChars="0"/>
              <w:rPr>
                <w:rFonts w:ascii="宋体" w:hAnsi="宋体" w:eastAsia="宋体" w:cs="宋体"/>
                <w:spacing w:val="8"/>
                <w:sz w:val="22"/>
                <w:szCs w:val="22"/>
                <w:highlight w:val="none"/>
              </w:rPr>
            </w:pPr>
            <w:r>
              <w:rPr>
                <w:rFonts w:hint="eastAsia" w:ascii="宋体" w:hAnsi="宋体" w:eastAsia="宋体" w:cs="宋体"/>
                <w:spacing w:val="8"/>
                <w:sz w:val="22"/>
                <w:szCs w:val="22"/>
                <w:highlight w:val="none"/>
                <w:lang w:val="en-US" w:eastAsia="zh-CN"/>
              </w:rPr>
              <w:t>2</w:t>
            </w:r>
            <w:r>
              <w:rPr>
                <w:rFonts w:ascii="宋体" w:hAnsi="宋体" w:eastAsia="宋体" w:cs="宋体"/>
                <w:spacing w:val="8"/>
                <w:sz w:val="22"/>
                <w:szCs w:val="22"/>
                <w:highlight w:val="none"/>
              </w:rPr>
              <w:t>.职工饭堂、职工宿舍、应急物资仓库、基地供水、供电及相关配套设施的建设项目</w:t>
            </w:r>
          </w:p>
        </w:tc>
      </w:tr>
      <w:tr w14:paraId="0E353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0266063C">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37</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12C0CDE4">
            <w:pPr>
              <w:spacing w:before="127" w:line="219" w:lineRule="auto"/>
              <w:jc w:val="both"/>
              <w:rPr>
                <w:rFonts w:ascii="宋体" w:hAnsi="宋体" w:eastAsia="宋体" w:cs="宋体"/>
                <w:spacing w:val="5"/>
                <w:sz w:val="22"/>
                <w:szCs w:val="22"/>
                <w:highlight w:val="none"/>
              </w:rPr>
            </w:pPr>
            <w:r>
              <w:rPr>
                <w:rFonts w:hint="eastAsia" w:ascii="宋体" w:hAnsi="宋体" w:eastAsia="宋体" w:cs="宋体"/>
                <w:spacing w:val="8"/>
                <w:sz w:val="22"/>
                <w:szCs w:val="22"/>
                <w:highlight w:val="none"/>
                <w:lang w:eastAsia="zh-CN"/>
              </w:rPr>
              <w:t>九</w:t>
            </w:r>
            <w:r>
              <w:rPr>
                <w:rFonts w:ascii="宋体" w:hAnsi="宋体" w:eastAsia="宋体" w:cs="宋体"/>
                <w:spacing w:val="8"/>
                <w:sz w:val="22"/>
                <w:szCs w:val="22"/>
                <w:highlight w:val="none"/>
              </w:rPr>
              <w:t>、</w:t>
            </w:r>
            <w:r>
              <w:rPr>
                <w:rFonts w:hint="eastAsia" w:ascii="宋体" w:hAnsi="宋体" w:eastAsia="宋体" w:cs="宋体"/>
                <w:spacing w:val="8"/>
                <w:sz w:val="22"/>
                <w:szCs w:val="22"/>
                <w:highlight w:val="none"/>
                <w:lang w:eastAsia="zh-CN"/>
              </w:rPr>
              <w:t>兴宁市应急管理仓库体系建设</w:t>
            </w:r>
          </w:p>
        </w:tc>
        <w:tc>
          <w:tcPr>
            <w:tcW w:w="8820" w:type="dxa"/>
            <w:tcBorders>
              <w:top w:val="single" w:color="auto" w:sz="4" w:space="0"/>
              <w:left w:val="single" w:color="auto" w:sz="4" w:space="0"/>
              <w:bottom w:val="single" w:color="auto" w:sz="4" w:space="0"/>
              <w:right w:val="single" w:color="auto" w:sz="4" w:space="0"/>
            </w:tcBorders>
            <w:vAlign w:val="top"/>
          </w:tcPr>
          <w:p w14:paraId="692816EB">
            <w:pPr>
              <w:spacing w:before="127" w:line="219" w:lineRule="auto"/>
              <w:ind w:firstLine="192" w:firstLineChars="0"/>
              <w:rPr>
                <w:rFonts w:ascii="宋体" w:hAnsi="宋体" w:eastAsia="宋体" w:cs="宋体"/>
                <w:spacing w:val="8"/>
                <w:sz w:val="22"/>
                <w:szCs w:val="22"/>
                <w:highlight w:val="none"/>
              </w:rPr>
            </w:pPr>
            <w:r>
              <w:rPr>
                <w:rFonts w:hint="eastAsia" w:ascii="宋体" w:hAnsi="宋体" w:eastAsia="宋体" w:cs="宋体"/>
                <w:spacing w:val="8"/>
                <w:sz w:val="22"/>
                <w:szCs w:val="22"/>
                <w:highlight w:val="none"/>
                <w:lang w:val="en-US" w:eastAsia="zh-CN"/>
              </w:rPr>
              <w:t>1.三防救灾（消防森防）抢险救援仓库建设工程</w:t>
            </w:r>
          </w:p>
        </w:tc>
      </w:tr>
      <w:tr w14:paraId="098A1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750F8ECE">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38</w:t>
            </w:r>
          </w:p>
        </w:tc>
        <w:tc>
          <w:tcPr>
            <w:tcW w:w="3496" w:type="dxa"/>
            <w:vMerge w:val="continue"/>
            <w:tcBorders>
              <w:top w:val="single" w:color="auto" w:sz="4" w:space="0"/>
              <w:left w:val="single" w:color="auto" w:sz="4" w:space="0"/>
              <w:bottom w:val="single" w:color="auto" w:sz="4" w:space="0"/>
              <w:right w:val="single" w:color="auto" w:sz="4" w:space="0"/>
            </w:tcBorders>
            <w:vAlign w:val="center"/>
          </w:tcPr>
          <w:p w14:paraId="094D0F60">
            <w:pPr>
              <w:spacing w:before="127" w:line="219" w:lineRule="auto"/>
              <w:ind w:firstLine="192" w:firstLineChars="0"/>
              <w:jc w:val="both"/>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374806EF">
            <w:pPr>
              <w:spacing w:before="127" w:line="219" w:lineRule="auto"/>
              <w:ind w:firstLine="192" w:firstLineChars="0"/>
              <w:rPr>
                <w:rFonts w:ascii="宋体" w:hAnsi="宋体" w:eastAsia="宋体" w:cs="宋体"/>
                <w:spacing w:val="8"/>
                <w:sz w:val="22"/>
                <w:szCs w:val="22"/>
                <w:highlight w:val="none"/>
              </w:rPr>
            </w:pPr>
            <w:r>
              <w:rPr>
                <w:rFonts w:hint="eastAsia" w:ascii="宋体" w:hAnsi="宋体" w:eastAsia="宋体" w:cs="宋体"/>
                <w:spacing w:val="8"/>
                <w:sz w:val="22"/>
                <w:szCs w:val="22"/>
                <w:highlight w:val="none"/>
                <w:lang w:val="en-US" w:eastAsia="zh-CN"/>
              </w:rPr>
              <w:t>2.危险化学品暨烟花爆竹罚没仓库建设工程</w:t>
            </w:r>
          </w:p>
        </w:tc>
      </w:tr>
      <w:tr w14:paraId="7AEA8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2F4273E">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39</w:t>
            </w:r>
          </w:p>
        </w:tc>
        <w:tc>
          <w:tcPr>
            <w:tcW w:w="3496" w:type="dxa"/>
            <w:vMerge w:val="restart"/>
            <w:tcBorders>
              <w:top w:val="single" w:color="auto" w:sz="4" w:space="0"/>
              <w:left w:val="single" w:color="auto" w:sz="4" w:space="0"/>
              <w:bottom w:val="single" w:color="auto" w:sz="4" w:space="0"/>
              <w:right w:val="single" w:color="auto" w:sz="4" w:space="0"/>
            </w:tcBorders>
            <w:vAlign w:val="center"/>
          </w:tcPr>
          <w:p w14:paraId="28B9BD73">
            <w:pPr>
              <w:spacing w:before="127" w:line="219" w:lineRule="auto"/>
              <w:jc w:val="both"/>
              <w:rPr>
                <w:rFonts w:ascii="宋体" w:hAnsi="宋体" w:eastAsia="宋体" w:cs="宋体"/>
                <w:spacing w:val="5"/>
                <w:sz w:val="22"/>
                <w:szCs w:val="22"/>
                <w:highlight w:val="none"/>
              </w:rPr>
            </w:pPr>
            <w:r>
              <w:rPr>
                <w:rFonts w:ascii="宋体" w:hAnsi="宋体" w:eastAsia="宋体" w:cs="宋体"/>
                <w:spacing w:val="8"/>
                <w:sz w:val="22"/>
                <w:szCs w:val="22"/>
                <w:highlight w:val="none"/>
              </w:rPr>
              <w:t>十、安全发展示范城市建设项目</w:t>
            </w:r>
          </w:p>
        </w:tc>
        <w:tc>
          <w:tcPr>
            <w:tcW w:w="8820" w:type="dxa"/>
            <w:tcBorders>
              <w:top w:val="single" w:color="auto" w:sz="4" w:space="0"/>
              <w:left w:val="single" w:color="auto" w:sz="4" w:space="0"/>
              <w:bottom w:val="single" w:color="auto" w:sz="4" w:space="0"/>
              <w:right w:val="single" w:color="auto" w:sz="4" w:space="0"/>
            </w:tcBorders>
            <w:vAlign w:val="top"/>
          </w:tcPr>
          <w:p w14:paraId="0796C61D">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1.安全文化宣传公园建设项目</w:t>
            </w:r>
          </w:p>
        </w:tc>
      </w:tr>
      <w:tr w14:paraId="3CA1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648C57B7">
            <w:pPr>
              <w:spacing w:before="127" w:line="219" w:lineRule="auto"/>
              <w:jc w:val="center"/>
              <w:rPr>
                <w:rFonts w:ascii="宋体" w:hAnsi="宋体" w:eastAsia="宋体" w:cs="宋体"/>
                <w:spacing w:val="-3"/>
                <w:sz w:val="22"/>
                <w:szCs w:val="22"/>
                <w:highlight w:val="none"/>
              </w:rPr>
            </w:pPr>
            <w:r>
              <w:rPr>
                <w:rFonts w:hint="eastAsia" w:ascii="宋体" w:hAnsi="宋体" w:eastAsia="宋体" w:cs="宋体"/>
                <w:spacing w:val="8"/>
                <w:sz w:val="22"/>
                <w:szCs w:val="22"/>
                <w:highlight w:val="none"/>
                <w:lang w:val="en-US" w:eastAsia="zh-CN"/>
              </w:rPr>
              <w:t>40</w:t>
            </w:r>
          </w:p>
        </w:tc>
        <w:tc>
          <w:tcPr>
            <w:tcW w:w="3496" w:type="dxa"/>
            <w:vMerge w:val="continue"/>
            <w:tcBorders>
              <w:top w:val="single" w:color="auto" w:sz="4" w:space="0"/>
              <w:left w:val="single" w:color="auto" w:sz="4" w:space="0"/>
              <w:bottom w:val="single" w:color="auto" w:sz="4" w:space="0"/>
              <w:right w:val="single" w:color="auto" w:sz="4" w:space="0"/>
            </w:tcBorders>
            <w:vAlign w:val="top"/>
          </w:tcPr>
          <w:p w14:paraId="3099ED28">
            <w:pPr>
              <w:spacing w:before="127" w:line="219" w:lineRule="auto"/>
              <w:ind w:firstLine="192" w:firstLineChars="0"/>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0F87D12D">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2.安全文化教育体验区建设项目</w:t>
            </w:r>
          </w:p>
        </w:tc>
      </w:tr>
      <w:tr w14:paraId="7E6A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4" w:type="dxa"/>
            <w:tcBorders>
              <w:top w:val="single" w:color="auto" w:sz="4" w:space="0"/>
              <w:left w:val="single" w:color="auto" w:sz="4" w:space="0"/>
              <w:bottom w:val="single" w:color="auto" w:sz="4" w:space="0"/>
              <w:right w:val="single" w:color="auto" w:sz="4" w:space="0"/>
            </w:tcBorders>
            <w:vAlign w:val="top"/>
          </w:tcPr>
          <w:p w14:paraId="17A4987D">
            <w:pPr>
              <w:spacing w:before="127" w:line="219" w:lineRule="auto"/>
              <w:jc w:val="center"/>
              <w:rPr>
                <w:rFonts w:ascii="宋体" w:hAnsi="宋体" w:eastAsia="宋体" w:cs="宋体"/>
                <w:spacing w:val="-3"/>
                <w:sz w:val="22"/>
                <w:szCs w:val="22"/>
                <w:highlight w:val="none"/>
              </w:rPr>
            </w:pPr>
            <w:r>
              <w:rPr>
                <w:rFonts w:ascii="宋体" w:hAnsi="宋体" w:eastAsia="宋体" w:cs="宋体"/>
                <w:spacing w:val="8"/>
                <w:sz w:val="22"/>
                <w:szCs w:val="22"/>
                <w:highlight w:val="none"/>
              </w:rPr>
              <w:t>4</w:t>
            </w:r>
            <w:r>
              <w:rPr>
                <w:rFonts w:hint="eastAsia" w:ascii="宋体" w:hAnsi="宋体" w:eastAsia="宋体" w:cs="宋体"/>
                <w:spacing w:val="8"/>
                <w:sz w:val="22"/>
                <w:szCs w:val="22"/>
                <w:highlight w:val="none"/>
                <w:lang w:val="en-US" w:eastAsia="zh-CN"/>
              </w:rPr>
              <w:t>1</w:t>
            </w:r>
          </w:p>
        </w:tc>
        <w:tc>
          <w:tcPr>
            <w:tcW w:w="3496" w:type="dxa"/>
            <w:vMerge w:val="continue"/>
            <w:tcBorders>
              <w:top w:val="single" w:color="auto" w:sz="4" w:space="0"/>
              <w:left w:val="single" w:color="auto" w:sz="4" w:space="0"/>
              <w:bottom w:val="single" w:color="auto" w:sz="4" w:space="0"/>
              <w:right w:val="single" w:color="auto" w:sz="4" w:space="0"/>
            </w:tcBorders>
            <w:vAlign w:val="top"/>
          </w:tcPr>
          <w:p w14:paraId="70D6B2FB">
            <w:pPr>
              <w:spacing w:before="127" w:line="219" w:lineRule="auto"/>
              <w:ind w:firstLine="192" w:firstLineChars="0"/>
              <w:rPr>
                <w:rFonts w:ascii="宋体" w:hAnsi="宋体" w:eastAsia="宋体" w:cs="宋体"/>
                <w:spacing w:val="5"/>
                <w:sz w:val="22"/>
                <w:szCs w:val="22"/>
                <w:highlight w:val="none"/>
              </w:rPr>
            </w:pPr>
          </w:p>
        </w:tc>
        <w:tc>
          <w:tcPr>
            <w:tcW w:w="8820" w:type="dxa"/>
            <w:tcBorders>
              <w:top w:val="single" w:color="auto" w:sz="4" w:space="0"/>
              <w:left w:val="single" w:color="auto" w:sz="4" w:space="0"/>
              <w:bottom w:val="single" w:color="auto" w:sz="4" w:space="0"/>
              <w:right w:val="single" w:color="auto" w:sz="4" w:space="0"/>
            </w:tcBorders>
            <w:vAlign w:val="top"/>
          </w:tcPr>
          <w:p w14:paraId="7C56D696">
            <w:pPr>
              <w:spacing w:before="127" w:line="219" w:lineRule="auto"/>
              <w:ind w:firstLine="192" w:firstLineChars="0"/>
              <w:rPr>
                <w:rFonts w:ascii="宋体" w:hAnsi="宋体" w:eastAsia="宋体" w:cs="宋体"/>
                <w:spacing w:val="8"/>
                <w:sz w:val="22"/>
                <w:szCs w:val="22"/>
                <w:highlight w:val="none"/>
              </w:rPr>
            </w:pPr>
            <w:r>
              <w:rPr>
                <w:rFonts w:ascii="宋体" w:hAnsi="宋体" w:eastAsia="宋体" w:cs="宋体"/>
                <w:spacing w:val="8"/>
                <w:sz w:val="22"/>
                <w:szCs w:val="22"/>
                <w:highlight w:val="none"/>
              </w:rPr>
              <w:t>3全国综合减灾示范社区建设项目</w:t>
            </w:r>
          </w:p>
        </w:tc>
      </w:tr>
    </w:tbl>
    <w:p w14:paraId="47588CF4">
      <w:pPr>
        <w:pStyle w:val="2"/>
        <w:rPr>
          <w:rFonts w:hint="eastAsia"/>
          <w:lang w:val="en-US" w:eastAsia="zh-CN"/>
        </w:rPr>
        <w:sectPr>
          <w:footerReference r:id="rId5" w:type="default"/>
          <w:pgSz w:w="16838" w:h="11900" w:orient="landscape"/>
          <w:pgMar w:top="1270" w:right="1553" w:bottom="1270" w:left="1542" w:header="0" w:footer="1077" w:gutter="0"/>
          <w:pgNumType w:fmt="decimal"/>
          <w:cols w:equalWidth="0" w:num="1">
            <w:col w:w="9026"/>
          </w:cols>
        </w:sectPr>
      </w:pPr>
    </w:p>
    <w:p w14:paraId="642830DA">
      <w:pPr>
        <w:pStyle w:val="2"/>
        <w:rPr>
          <w:rFonts w:hint="eastAsia"/>
          <w:lang w:val="en-US" w:eastAsia="zh-CN"/>
        </w:rPr>
      </w:pPr>
    </w:p>
    <w:p w14:paraId="6E91C105">
      <w:pPr>
        <w:pStyle w:val="2"/>
        <w:rPr>
          <w:rFonts w:hint="eastAsia"/>
          <w:lang w:val="en-US" w:eastAsia="zh-CN"/>
        </w:rPr>
      </w:pPr>
    </w:p>
    <w:p w14:paraId="5C0CCCDE">
      <w:pPr>
        <w:pStyle w:val="2"/>
        <w:rPr>
          <w:rFonts w:hint="eastAsia"/>
          <w:lang w:val="en-US" w:eastAsia="zh-CN"/>
        </w:rPr>
      </w:pPr>
    </w:p>
    <w:p w14:paraId="44AB5DFB">
      <w:pPr>
        <w:pStyle w:val="2"/>
        <w:rPr>
          <w:rFonts w:hint="eastAsia"/>
          <w:lang w:val="en-US" w:eastAsia="zh-CN"/>
        </w:rPr>
      </w:pPr>
    </w:p>
    <w:p w14:paraId="1B84B853">
      <w:pPr>
        <w:pStyle w:val="2"/>
        <w:rPr>
          <w:rFonts w:hint="eastAsia"/>
          <w:lang w:val="en-US" w:eastAsia="zh-CN"/>
        </w:rPr>
      </w:pPr>
    </w:p>
    <w:p w14:paraId="7FF47C8D">
      <w:pPr>
        <w:pStyle w:val="2"/>
        <w:rPr>
          <w:rFonts w:hint="eastAsia"/>
          <w:lang w:val="en-US" w:eastAsia="zh-CN"/>
        </w:rPr>
      </w:pPr>
    </w:p>
    <w:p w14:paraId="44ECE73C">
      <w:pPr>
        <w:pStyle w:val="2"/>
        <w:rPr>
          <w:rFonts w:hint="eastAsia"/>
          <w:lang w:val="en-US" w:eastAsia="zh-CN"/>
        </w:rPr>
      </w:pPr>
    </w:p>
    <w:p w14:paraId="78967D7A">
      <w:pPr>
        <w:pStyle w:val="2"/>
        <w:rPr>
          <w:rFonts w:hint="eastAsia"/>
          <w:lang w:val="en-US" w:eastAsia="zh-CN"/>
        </w:rPr>
      </w:pPr>
    </w:p>
    <w:p w14:paraId="622297B9">
      <w:pPr>
        <w:pStyle w:val="2"/>
        <w:rPr>
          <w:rFonts w:hint="eastAsia"/>
          <w:lang w:val="en-US" w:eastAsia="zh-CN"/>
        </w:rPr>
      </w:pPr>
    </w:p>
    <w:p w14:paraId="5E114777">
      <w:pPr>
        <w:pStyle w:val="2"/>
        <w:rPr>
          <w:rFonts w:hint="eastAsia"/>
          <w:lang w:val="en-US" w:eastAsia="zh-CN"/>
        </w:rPr>
      </w:pPr>
    </w:p>
    <w:p w14:paraId="450E0CEF">
      <w:pPr>
        <w:pStyle w:val="2"/>
        <w:rPr>
          <w:rFonts w:hint="eastAsia"/>
          <w:lang w:val="en-US" w:eastAsia="zh-CN"/>
        </w:rPr>
      </w:pPr>
    </w:p>
    <w:p w14:paraId="50FD6AEA">
      <w:pPr>
        <w:pStyle w:val="2"/>
        <w:rPr>
          <w:rFonts w:hint="eastAsia"/>
          <w:lang w:val="en-US" w:eastAsia="zh-CN"/>
        </w:rPr>
      </w:pPr>
    </w:p>
    <w:p w14:paraId="5FE86173">
      <w:pPr>
        <w:pStyle w:val="2"/>
        <w:rPr>
          <w:rFonts w:hint="eastAsia"/>
          <w:lang w:val="en-US" w:eastAsia="zh-CN"/>
        </w:rPr>
      </w:pPr>
    </w:p>
    <w:p w14:paraId="731BC67E">
      <w:pPr>
        <w:pStyle w:val="2"/>
        <w:rPr>
          <w:rFonts w:hint="eastAsia"/>
          <w:lang w:val="en-US" w:eastAsia="zh-CN"/>
        </w:rPr>
      </w:pPr>
    </w:p>
    <w:p w14:paraId="5F947385">
      <w:pPr>
        <w:pStyle w:val="2"/>
        <w:rPr>
          <w:rFonts w:hint="eastAsia"/>
          <w:lang w:val="en-US" w:eastAsia="zh-CN"/>
        </w:rPr>
      </w:pPr>
    </w:p>
    <w:p w14:paraId="2BFBD8B3">
      <w:pPr>
        <w:pStyle w:val="2"/>
        <w:rPr>
          <w:rFonts w:hint="eastAsia"/>
          <w:lang w:val="en-US" w:eastAsia="zh-CN"/>
        </w:rPr>
      </w:pPr>
    </w:p>
    <w:p w14:paraId="1D20DA5E">
      <w:pPr>
        <w:pStyle w:val="2"/>
        <w:rPr>
          <w:rFonts w:hint="eastAsia"/>
          <w:lang w:val="en-US" w:eastAsia="zh-CN"/>
        </w:rPr>
      </w:pPr>
    </w:p>
    <w:p w14:paraId="52E110B6">
      <w:pPr>
        <w:pStyle w:val="2"/>
        <w:rPr>
          <w:rFonts w:hint="eastAsia"/>
          <w:lang w:val="en-US" w:eastAsia="zh-CN"/>
        </w:rPr>
      </w:pPr>
    </w:p>
    <w:p w14:paraId="056F6F00">
      <w:pPr>
        <w:pStyle w:val="2"/>
        <w:rPr>
          <w:rFonts w:hint="eastAsia"/>
          <w:lang w:val="en-US" w:eastAsia="zh-CN"/>
        </w:rPr>
      </w:pPr>
    </w:p>
    <w:p w14:paraId="5BE75E04">
      <w:pPr>
        <w:pStyle w:val="2"/>
        <w:rPr>
          <w:rFonts w:hint="eastAsia"/>
          <w:lang w:val="en-US" w:eastAsia="zh-CN"/>
        </w:rPr>
      </w:pPr>
    </w:p>
    <w:p w14:paraId="414A41EE">
      <w:pPr>
        <w:pStyle w:val="2"/>
        <w:rPr>
          <w:rFonts w:hint="eastAsia"/>
          <w:lang w:val="en-US" w:eastAsia="zh-CN"/>
        </w:rPr>
      </w:pPr>
    </w:p>
    <w:p w14:paraId="5556DF4E">
      <w:pPr>
        <w:pStyle w:val="2"/>
        <w:rPr>
          <w:rFonts w:hint="eastAsia"/>
          <w:lang w:val="en-US" w:eastAsia="zh-CN"/>
        </w:rPr>
      </w:pPr>
    </w:p>
    <w:p w14:paraId="12A3A0FE">
      <w:pPr>
        <w:pStyle w:val="2"/>
        <w:rPr>
          <w:rFonts w:hint="eastAsia"/>
          <w:lang w:val="en-US" w:eastAsia="zh-CN"/>
        </w:rPr>
      </w:pPr>
    </w:p>
    <w:p w14:paraId="3A1418B0">
      <w:pPr>
        <w:pStyle w:val="2"/>
        <w:rPr>
          <w:rFonts w:hint="eastAsia"/>
          <w:lang w:val="en-US" w:eastAsia="zh-CN"/>
        </w:rPr>
      </w:pPr>
    </w:p>
    <w:p w14:paraId="7CEF35B9">
      <w:pPr>
        <w:pStyle w:val="2"/>
        <w:rPr>
          <w:rFonts w:hint="eastAsia"/>
          <w:lang w:val="en-US" w:eastAsia="zh-CN"/>
        </w:rPr>
      </w:pPr>
    </w:p>
    <w:p w14:paraId="0397DD27">
      <w:pPr>
        <w:pStyle w:val="2"/>
        <w:rPr>
          <w:rFonts w:hint="eastAsia"/>
          <w:lang w:val="en-US" w:eastAsia="zh-CN"/>
        </w:rPr>
      </w:pPr>
    </w:p>
    <w:p w14:paraId="54925CE9">
      <w:pPr>
        <w:pStyle w:val="2"/>
        <w:rPr>
          <w:rFonts w:hint="eastAsia"/>
          <w:lang w:val="en-US" w:eastAsia="zh-CN"/>
        </w:rPr>
      </w:pPr>
    </w:p>
    <w:p w14:paraId="6ADE9FEB">
      <w:pPr>
        <w:pStyle w:val="2"/>
        <w:rPr>
          <w:rFonts w:hint="eastAsia"/>
          <w:lang w:val="en-US" w:eastAsia="zh-CN"/>
        </w:rPr>
      </w:pPr>
    </w:p>
    <w:p w14:paraId="1D4ECE49">
      <w:pPr>
        <w:pStyle w:val="2"/>
        <w:rPr>
          <w:rFonts w:hint="eastAsia"/>
          <w:lang w:val="en-US" w:eastAsia="zh-CN"/>
        </w:rPr>
      </w:pPr>
    </w:p>
    <w:p w14:paraId="65B24CF0">
      <w:pPr>
        <w:pStyle w:val="2"/>
        <w:rPr>
          <w:rFonts w:hint="eastAsia"/>
          <w:lang w:val="en-US" w:eastAsia="zh-CN"/>
        </w:rPr>
      </w:pPr>
    </w:p>
    <w:p w14:paraId="2A133A6F">
      <w:pPr>
        <w:rPr>
          <w:rFonts w:hint="eastAsia" w:ascii="仿宋" w:hAnsi="仿宋" w:eastAsia="仿宋" w:cs="文星仿宋"/>
          <w:sz w:val="32"/>
          <w:szCs w:val="32"/>
        </w:rPr>
      </w:pPr>
      <w:r>
        <w:rPr>
          <w:rFonts w:hint="eastAsia" w:ascii="文星黑体" w:hAnsi="宋体" w:eastAsia="文星黑体"/>
          <w:sz w:val="32"/>
          <w:szCs w:val="32"/>
        </w:rPr>
        <w:t>公开方式：</w:t>
      </w:r>
      <w:r>
        <w:rPr>
          <w:rFonts w:hint="eastAsia" w:ascii="仿宋" w:hAnsi="仿宋" w:eastAsia="仿宋" w:cs="文星仿宋"/>
          <w:sz w:val="32"/>
          <w:szCs w:val="32"/>
          <w:lang w:eastAsia="zh-CN"/>
        </w:rPr>
        <w:t>主动</w:t>
      </w:r>
      <w:r>
        <w:rPr>
          <w:rFonts w:hint="eastAsia" w:ascii="仿宋" w:hAnsi="仿宋" w:eastAsia="仿宋" w:cs="文星仿宋"/>
          <w:sz w:val="32"/>
          <w:szCs w:val="32"/>
        </w:rPr>
        <w:t>公开</w:t>
      </w:r>
    </w:p>
    <w:p w14:paraId="43D4A3F0">
      <w:pPr>
        <w:spacing w:line="480" w:lineRule="exact"/>
        <w:jc w:val="left"/>
        <w:rPr>
          <w:rFonts w:hint="eastAsia" w:ascii="仿宋" w:hAnsi="仿宋" w:eastAsia="仿宋" w:cs="文星仿宋"/>
          <w:sz w:val="32"/>
          <w:szCs w:val="32"/>
        </w:rPr>
      </w:pPr>
      <w:r>
        <w:rPr>
          <w:rFonts w:hint="eastAsia" w:ascii="仿宋" w:hAnsi="仿宋" w:eastAsia="仿宋" w:cs="文星仿宋"/>
          <w:sz w:val="32"/>
          <w:szCs w:val="32"/>
        </w:rPr>
        <w:t xml:space="preserve"> </w:t>
      </w:r>
    </w:p>
    <w:p w14:paraId="177E1367">
      <w:pPr>
        <w:pBdr>
          <w:top w:val="single" w:color="auto" w:sz="4" w:space="0"/>
        </w:pBdr>
        <w:spacing w:line="480" w:lineRule="exact"/>
        <w:ind w:left="1280" w:hanging="1280" w:hangingChars="400"/>
        <w:jc w:val="left"/>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cs="仿宋"/>
          <w:sz w:val="28"/>
          <w:szCs w:val="28"/>
        </w:rPr>
        <w:t>抄送：</w:t>
      </w:r>
      <w:r>
        <w:rPr>
          <w:rFonts w:hint="eastAsia" w:ascii="仿宋" w:hAnsi="仿宋" w:eastAsia="仿宋" w:cs="仿宋"/>
          <w:sz w:val="28"/>
          <w:szCs w:val="28"/>
          <w:lang w:eastAsia="zh-CN"/>
        </w:rPr>
        <w:t>市委各单位，市人大常委会办公室，市政协办公室，市纪委办公室，市人武部，市法院，市检察院，各民主党派、人民团体。</w:t>
      </w:r>
    </w:p>
    <w:p w14:paraId="7C85480C">
      <w:pPr>
        <w:pBdr>
          <w:top w:val="single" w:color="auto" w:sz="4" w:space="1"/>
          <w:bottom w:val="single" w:color="auto" w:sz="4" w:space="1"/>
        </w:pBdr>
        <w:spacing w:line="480" w:lineRule="exact"/>
        <w:ind w:firstLine="280" w:firstLineChars="100"/>
        <w:rPr>
          <w:rFonts w:ascii="仿宋" w:hAnsi="仿宋" w:eastAsia="仿宋"/>
          <w:sz w:val="28"/>
          <w:szCs w:val="28"/>
        </w:rPr>
      </w:pPr>
      <w:r>
        <w:rPr>
          <w:rFonts w:hint="eastAsia" w:ascii="仿宋" w:hAnsi="仿宋" w:eastAsia="仿宋"/>
          <w:sz w:val="28"/>
          <w:szCs w:val="28"/>
          <w:lang w:eastAsia="zh-CN"/>
        </w:rPr>
        <w:t>兴宁市人民政府办公室</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w:t>
      </w:r>
      <w:r>
        <w:rPr>
          <w:rFonts w:hint="eastAsia" w:ascii="仿宋" w:hAnsi="仿宋" w:eastAsia="仿宋"/>
          <w:sz w:val="28"/>
          <w:szCs w:val="28"/>
          <w:lang w:val="en-US" w:eastAsia="zh-CN"/>
        </w:rPr>
        <w:t>22</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w:t>
      </w:r>
      <w:r>
        <w:rPr>
          <w:rFonts w:hint="eastAsia" w:ascii="仿宋" w:hAnsi="仿宋" w:eastAsia="仿宋"/>
          <w:sz w:val="28"/>
          <w:szCs w:val="28"/>
        </w:rPr>
        <w:t>日印发</w:t>
      </w:r>
    </w:p>
    <w:p w14:paraId="7682089E">
      <w:pPr>
        <w:pStyle w:val="2"/>
        <w:rPr>
          <w:rFonts w:hint="eastAsia"/>
          <w:lang w:val="en-US" w:eastAsia="zh-CN"/>
        </w:rPr>
      </w:pPr>
    </w:p>
    <w:sectPr>
      <w:footerReference r:id="rId6" w:type="default"/>
      <w:pgSz w:w="11900" w:h="16838"/>
      <w:pgMar w:top="1553" w:right="1270" w:bottom="1542" w:left="1270" w:header="0" w:footer="1077" w:gutter="0"/>
      <w:pgNumType w:fmt="decimal"/>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56352E-B6A8-4933-A3FA-47EA88D8B789}"/>
  </w:font>
  <w:font w:name="黑体">
    <w:panose1 w:val="02010609060101010101"/>
    <w:charset w:val="86"/>
    <w:family w:val="auto"/>
    <w:pitch w:val="default"/>
    <w:sig w:usb0="800002BF" w:usb1="38CF7CFA" w:usb2="00000016" w:usb3="00000000" w:csb0="00040001" w:csb1="00000000"/>
    <w:embedRegular r:id="rId2" w:fontKey="{E2254A4D-5064-4C68-B0B0-E4B8C7CFBC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9270327-F3D8-4941-B125-AC1CB2CAAB56}"/>
  </w:font>
  <w:font w:name="华文中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4" w:fontKey="{639BD682-E44B-48D4-915D-C912BD71C7F4}"/>
  </w:font>
  <w:font w:name="仿宋">
    <w:panose1 w:val="02010609060101010101"/>
    <w:charset w:val="86"/>
    <w:family w:val="auto"/>
    <w:pitch w:val="default"/>
    <w:sig w:usb0="800002BF" w:usb1="38CF7CFA" w:usb2="00000016" w:usb3="00000000" w:csb0="00040001" w:csb1="00000000"/>
    <w:embedRegular r:id="rId5" w:fontKey="{85AC81A2-3412-438B-85E8-CE180E82CC30}"/>
  </w:font>
  <w:font w:name="楷体">
    <w:panose1 w:val="02010609060101010101"/>
    <w:charset w:val="86"/>
    <w:family w:val="auto"/>
    <w:pitch w:val="default"/>
    <w:sig w:usb0="800002BF" w:usb1="38CF7CFA" w:usb2="00000016" w:usb3="00000000" w:csb0="00040001" w:csb1="00000000"/>
    <w:embedRegular r:id="rId6" w:fontKey="{8265E82C-5547-425A-8168-5E7672C49D8C}"/>
  </w:font>
  <w:font w:name="微软雅黑">
    <w:panose1 w:val="020B0503020204020204"/>
    <w:charset w:val="86"/>
    <w:family w:val="auto"/>
    <w:pitch w:val="default"/>
    <w:sig w:usb0="80000287" w:usb1="2ACF3C50" w:usb2="00000016" w:usb3="00000000" w:csb0="0004001F" w:csb1="00000000"/>
    <w:embedRegular r:id="rId7" w:fontKey="{E79186D5-10F5-4D78-A09E-250F4AE73830}"/>
  </w:font>
  <w:font w:name="文星黑体">
    <w:altName w:val="微软雅黑"/>
    <w:panose1 w:val="02010609000101010101"/>
    <w:charset w:val="86"/>
    <w:family w:val="modern"/>
    <w:pitch w:val="default"/>
    <w:sig w:usb0="00000000" w:usb1="00000000" w:usb2="00000000" w:usb3="00000000" w:csb0="00040000" w:csb1="00000000"/>
    <w:embedRegular r:id="rId8" w:fontKey="{D9B799E1-C724-41C2-B7AB-D4B4C8CEC484}"/>
  </w:font>
  <w:font w:name="文星仿宋">
    <w:altName w:val="仿宋"/>
    <w:panose1 w:val="02010604000101010101"/>
    <w:charset w:val="86"/>
    <w:family w:val="auto"/>
    <w:pitch w:val="default"/>
    <w:sig w:usb0="00000000" w:usb1="00000000" w:usb2="00000010" w:usb3="00000000" w:csb0="00040001" w:csb1="00000000"/>
    <w:embedRegular r:id="rId9" w:fontKey="{4F7647E4-EEB0-48E7-BFF8-2612CA54117B}"/>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C98CE">
    <w:pPr>
      <w:pStyle w:val="4"/>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0EB501">
                          <w:pPr>
                            <w:pStyle w:val="4"/>
                            <w:rPr>
                              <w:rFonts w:asciiTheme="minorEastAsia" w:hAnsiTheme="minorEastAsia" w:cstheme="minorEastAsia"/>
                              <w:sz w:val="30"/>
                              <w:szCs w:val="30"/>
                            </w:rPr>
                          </w:pPr>
                          <w:r>
                            <w:rPr>
                              <w:rFonts w:asciiTheme="minorEastAsia" w:hAnsiTheme="minorEastAsia" w:cstheme="minorEastAsia"/>
                              <w:sz w:val="30"/>
                              <w:szCs w:val="30"/>
                            </w:rPr>
                            <w:t xml:space="preserve">— </w:t>
                          </w:r>
                          <w:r>
                            <w:rPr>
                              <w:rFonts w:asciiTheme="minorEastAsia" w:hAnsiTheme="minorEastAsia" w:cstheme="minorEastAsia"/>
                              <w:sz w:val="30"/>
                              <w:szCs w:val="30"/>
                            </w:rPr>
                            <w:fldChar w:fldCharType="begin"/>
                          </w:r>
                          <w:r>
                            <w:rPr>
                              <w:rFonts w:asciiTheme="minorEastAsia" w:hAnsiTheme="minorEastAsia" w:cstheme="minorEastAsia"/>
                              <w:sz w:val="30"/>
                              <w:szCs w:val="30"/>
                            </w:rPr>
                            <w:instrText xml:space="preserve"> PAGE  \* MERGEFORMAT </w:instrText>
                          </w:r>
                          <w:r>
                            <w:rPr>
                              <w:rFonts w:asciiTheme="minorEastAsia" w:hAnsiTheme="minorEastAsia" w:cstheme="minorEastAsia"/>
                              <w:sz w:val="30"/>
                              <w:szCs w:val="30"/>
                            </w:rPr>
                            <w:fldChar w:fldCharType="separate"/>
                          </w:r>
                          <w:r>
                            <w:rPr>
                              <w:rFonts w:asciiTheme="minorEastAsia" w:hAnsiTheme="minorEastAsia" w:cstheme="minorEastAsia"/>
                              <w:sz w:val="30"/>
                              <w:szCs w:val="30"/>
                            </w:rPr>
                            <w:t>1</w:t>
                          </w:r>
                          <w:r>
                            <w:rPr>
                              <w:rFonts w:asciiTheme="minorEastAsia" w:hAnsiTheme="minorEastAsia" w:cstheme="minorEastAsia"/>
                              <w:sz w:val="30"/>
                              <w:szCs w:val="30"/>
                            </w:rPr>
                            <w:fldChar w:fldCharType="end"/>
                          </w:r>
                          <w:r>
                            <w:rPr>
                              <w:rFonts w:asciiTheme="minorEastAsia" w:hAnsiTheme="minorEastAsia" w:cstheme="min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A0EB501">
                    <w:pPr>
                      <w:pStyle w:val="4"/>
                      <w:rPr>
                        <w:rFonts w:asciiTheme="minorEastAsia" w:hAnsiTheme="minorEastAsia" w:cstheme="minorEastAsia"/>
                        <w:sz w:val="30"/>
                        <w:szCs w:val="30"/>
                      </w:rPr>
                    </w:pPr>
                    <w:r>
                      <w:rPr>
                        <w:rFonts w:asciiTheme="minorEastAsia" w:hAnsiTheme="minorEastAsia" w:cstheme="minorEastAsia"/>
                        <w:sz w:val="30"/>
                        <w:szCs w:val="30"/>
                      </w:rPr>
                      <w:t xml:space="preserve">— </w:t>
                    </w:r>
                    <w:r>
                      <w:rPr>
                        <w:rFonts w:asciiTheme="minorEastAsia" w:hAnsiTheme="minorEastAsia" w:cstheme="minorEastAsia"/>
                        <w:sz w:val="30"/>
                        <w:szCs w:val="30"/>
                      </w:rPr>
                      <w:fldChar w:fldCharType="begin"/>
                    </w:r>
                    <w:r>
                      <w:rPr>
                        <w:rFonts w:asciiTheme="minorEastAsia" w:hAnsiTheme="minorEastAsia" w:cstheme="minorEastAsia"/>
                        <w:sz w:val="30"/>
                        <w:szCs w:val="30"/>
                      </w:rPr>
                      <w:instrText xml:space="preserve"> PAGE  \* MERGEFORMAT </w:instrText>
                    </w:r>
                    <w:r>
                      <w:rPr>
                        <w:rFonts w:asciiTheme="minorEastAsia" w:hAnsiTheme="minorEastAsia" w:cstheme="minorEastAsia"/>
                        <w:sz w:val="30"/>
                        <w:szCs w:val="30"/>
                      </w:rPr>
                      <w:fldChar w:fldCharType="separate"/>
                    </w:r>
                    <w:r>
                      <w:rPr>
                        <w:rFonts w:asciiTheme="minorEastAsia" w:hAnsiTheme="minorEastAsia" w:cstheme="minorEastAsia"/>
                        <w:sz w:val="30"/>
                        <w:szCs w:val="30"/>
                      </w:rPr>
                      <w:t>1</w:t>
                    </w:r>
                    <w:r>
                      <w:rPr>
                        <w:rFonts w:asciiTheme="minorEastAsia" w:hAnsiTheme="minorEastAsia" w:cstheme="minorEastAsia"/>
                        <w:sz w:val="30"/>
                        <w:szCs w:val="30"/>
                      </w:rPr>
                      <w:fldChar w:fldCharType="end"/>
                    </w:r>
                    <w:r>
                      <w:rPr>
                        <w:rFonts w:asciiTheme="minorEastAsia" w:hAnsiTheme="minorEastAsia" w:cstheme="minorEastAsia"/>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479B">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7CF5C">
                          <w:pPr>
                            <w:pStyle w:val="4"/>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97CF5C">
                    <w:pPr>
                      <w:pStyle w:val="4"/>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B02C">
    <w:pPr>
      <w:pStyle w:val="4"/>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1C46F">
                          <w:pPr>
                            <w:pStyle w:val="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C71C46F">
                    <w:pPr>
                      <w:pStyle w:val="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3B98">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YTcxNWEwNWY0YTNiNmQyYzA0ZjUxOGY4OWYzZWUifQ=="/>
  </w:docVars>
  <w:rsids>
    <w:rsidRoot w:val="004565DF"/>
    <w:rsid w:val="00071EFA"/>
    <w:rsid w:val="000B0E84"/>
    <w:rsid w:val="000B1D4A"/>
    <w:rsid w:val="000C5DE9"/>
    <w:rsid w:val="000D268B"/>
    <w:rsid w:val="001342CF"/>
    <w:rsid w:val="001505B2"/>
    <w:rsid w:val="00174348"/>
    <w:rsid w:val="0019182B"/>
    <w:rsid w:val="002030C2"/>
    <w:rsid w:val="00203E30"/>
    <w:rsid w:val="00293F2F"/>
    <w:rsid w:val="002E1D0B"/>
    <w:rsid w:val="002E4677"/>
    <w:rsid w:val="002E62BD"/>
    <w:rsid w:val="002F074D"/>
    <w:rsid w:val="00303610"/>
    <w:rsid w:val="003228FC"/>
    <w:rsid w:val="00334FD6"/>
    <w:rsid w:val="003631FA"/>
    <w:rsid w:val="0036567B"/>
    <w:rsid w:val="00367315"/>
    <w:rsid w:val="003752A8"/>
    <w:rsid w:val="003E1E2C"/>
    <w:rsid w:val="00401834"/>
    <w:rsid w:val="00442CD5"/>
    <w:rsid w:val="00453040"/>
    <w:rsid w:val="004565DF"/>
    <w:rsid w:val="00486100"/>
    <w:rsid w:val="004A2069"/>
    <w:rsid w:val="004C7509"/>
    <w:rsid w:val="004E3F64"/>
    <w:rsid w:val="005375E2"/>
    <w:rsid w:val="00552325"/>
    <w:rsid w:val="005B2320"/>
    <w:rsid w:val="005D15A5"/>
    <w:rsid w:val="00637B9D"/>
    <w:rsid w:val="006616B2"/>
    <w:rsid w:val="00667281"/>
    <w:rsid w:val="006760EA"/>
    <w:rsid w:val="006835AB"/>
    <w:rsid w:val="006835FB"/>
    <w:rsid w:val="006927F8"/>
    <w:rsid w:val="006B2070"/>
    <w:rsid w:val="006F038B"/>
    <w:rsid w:val="007116AD"/>
    <w:rsid w:val="007148F4"/>
    <w:rsid w:val="00722001"/>
    <w:rsid w:val="0072795F"/>
    <w:rsid w:val="00746FD4"/>
    <w:rsid w:val="00755FF8"/>
    <w:rsid w:val="007B0DDE"/>
    <w:rsid w:val="007C280F"/>
    <w:rsid w:val="007E7163"/>
    <w:rsid w:val="008212A7"/>
    <w:rsid w:val="0084540F"/>
    <w:rsid w:val="0086605A"/>
    <w:rsid w:val="00885848"/>
    <w:rsid w:val="0089670A"/>
    <w:rsid w:val="008B0528"/>
    <w:rsid w:val="00906388"/>
    <w:rsid w:val="00966D9C"/>
    <w:rsid w:val="009C102D"/>
    <w:rsid w:val="009E02FE"/>
    <w:rsid w:val="00A0036A"/>
    <w:rsid w:val="00A33907"/>
    <w:rsid w:val="00A41E0C"/>
    <w:rsid w:val="00A64A0F"/>
    <w:rsid w:val="00A71EE8"/>
    <w:rsid w:val="00A72B06"/>
    <w:rsid w:val="00A77B0C"/>
    <w:rsid w:val="00AA0597"/>
    <w:rsid w:val="00AB3DB7"/>
    <w:rsid w:val="00AC45B1"/>
    <w:rsid w:val="00B0445B"/>
    <w:rsid w:val="00B364FD"/>
    <w:rsid w:val="00B93B7E"/>
    <w:rsid w:val="00BA4E9C"/>
    <w:rsid w:val="00BF0C22"/>
    <w:rsid w:val="00BF6DD8"/>
    <w:rsid w:val="00C05431"/>
    <w:rsid w:val="00C2350A"/>
    <w:rsid w:val="00C54B69"/>
    <w:rsid w:val="00CB3421"/>
    <w:rsid w:val="00CC720F"/>
    <w:rsid w:val="00CC76BA"/>
    <w:rsid w:val="00D17E9F"/>
    <w:rsid w:val="00D217DD"/>
    <w:rsid w:val="00D2411B"/>
    <w:rsid w:val="00D2798F"/>
    <w:rsid w:val="00D40DFE"/>
    <w:rsid w:val="00D7726A"/>
    <w:rsid w:val="00D97174"/>
    <w:rsid w:val="00DB451D"/>
    <w:rsid w:val="00DC01E9"/>
    <w:rsid w:val="00E16359"/>
    <w:rsid w:val="00E36DBE"/>
    <w:rsid w:val="00E70184"/>
    <w:rsid w:val="00EA46ED"/>
    <w:rsid w:val="00EC3FE4"/>
    <w:rsid w:val="00EF3020"/>
    <w:rsid w:val="00F125FD"/>
    <w:rsid w:val="00F15687"/>
    <w:rsid w:val="00F2175A"/>
    <w:rsid w:val="00F26825"/>
    <w:rsid w:val="00F30CCE"/>
    <w:rsid w:val="00F76B92"/>
    <w:rsid w:val="00FA72D6"/>
    <w:rsid w:val="00FD3866"/>
    <w:rsid w:val="00FE457E"/>
    <w:rsid w:val="00FF43B1"/>
    <w:rsid w:val="0228297A"/>
    <w:rsid w:val="0260595B"/>
    <w:rsid w:val="03C427BB"/>
    <w:rsid w:val="04E11D1C"/>
    <w:rsid w:val="053519E8"/>
    <w:rsid w:val="05E21AF4"/>
    <w:rsid w:val="05FD07ED"/>
    <w:rsid w:val="072A52E5"/>
    <w:rsid w:val="08B43E0E"/>
    <w:rsid w:val="08C5675B"/>
    <w:rsid w:val="0C87730D"/>
    <w:rsid w:val="0CA6788E"/>
    <w:rsid w:val="10F43B44"/>
    <w:rsid w:val="12E42281"/>
    <w:rsid w:val="133707AA"/>
    <w:rsid w:val="17757C3C"/>
    <w:rsid w:val="18FB34CE"/>
    <w:rsid w:val="26506AC3"/>
    <w:rsid w:val="26AB7161"/>
    <w:rsid w:val="27F41FE9"/>
    <w:rsid w:val="28AC6D59"/>
    <w:rsid w:val="29733599"/>
    <w:rsid w:val="298C0AF8"/>
    <w:rsid w:val="29D02AE5"/>
    <w:rsid w:val="2C2E02F4"/>
    <w:rsid w:val="2DA71699"/>
    <w:rsid w:val="2E9F4960"/>
    <w:rsid w:val="2F2F1519"/>
    <w:rsid w:val="2FE05923"/>
    <w:rsid w:val="335E17ED"/>
    <w:rsid w:val="34D93B60"/>
    <w:rsid w:val="364F3691"/>
    <w:rsid w:val="36FA25AE"/>
    <w:rsid w:val="392B7FE6"/>
    <w:rsid w:val="3CB5694B"/>
    <w:rsid w:val="3EBB2871"/>
    <w:rsid w:val="403B7C33"/>
    <w:rsid w:val="49F7509F"/>
    <w:rsid w:val="4C9D2DE1"/>
    <w:rsid w:val="4E886587"/>
    <w:rsid w:val="5109595B"/>
    <w:rsid w:val="55A00221"/>
    <w:rsid w:val="58076023"/>
    <w:rsid w:val="58DB08D4"/>
    <w:rsid w:val="5AA4670B"/>
    <w:rsid w:val="5B29758A"/>
    <w:rsid w:val="5BB24D68"/>
    <w:rsid w:val="5C096F24"/>
    <w:rsid w:val="5D2B4955"/>
    <w:rsid w:val="5E2D309F"/>
    <w:rsid w:val="5F8D6E11"/>
    <w:rsid w:val="60EB4125"/>
    <w:rsid w:val="615458E4"/>
    <w:rsid w:val="615E4DA0"/>
    <w:rsid w:val="619D71E2"/>
    <w:rsid w:val="62921354"/>
    <w:rsid w:val="636B76B2"/>
    <w:rsid w:val="64276DCF"/>
    <w:rsid w:val="649E5263"/>
    <w:rsid w:val="64AD3A66"/>
    <w:rsid w:val="65DF387A"/>
    <w:rsid w:val="68EF7BE3"/>
    <w:rsid w:val="6C9C700B"/>
    <w:rsid w:val="6D3F7952"/>
    <w:rsid w:val="6D88684D"/>
    <w:rsid w:val="6DC957B6"/>
    <w:rsid w:val="70A01B04"/>
    <w:rsid w:val="71B83509"/>
    <w:rsid w:val="73976F4A"/>
    <w:rsid w:val="748500D2"/>
    <w:rsid w:val="76456174"/>
    <w:rsid w:val="775F6886"/>
    <w:rsid w:val="77D0785F"/>
    <w:rsid w:val="7B261CE2"/>
    <w:rsid w:val="7B451974"/>
    <w:rsid w:val="7C263B2A"/>
    <w:rsid w:val="7CDE4DEA"/>
    <w:rsid w:val="7DBF07A2"/>
    <w:rsid w:val="7E3C040C"/>
    <w:rsid w:val="7EF50780"/>
    <w:rsid w:val="7FA2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rPr>
  </w:style>
  <w:style w:type="paragraph" w:styleId="3">
    <w:name w:val="annotation text"/>
    <w:basedOn w:val="1"/>
    <w:semiHidden/>
    <w:unhideWhenUsed/>
    <w:qFormat/>
    <w:uiPriority w:val="99"/>
    <w:pPr>
      <w:jc w:val="left"/>
    </w:pPr>
  </w:style>
  <w:style w:type="paragraph" w:styleId="4">
    <w:name w:val="footer"/>
    <w:basedOn w:val="1"/>
    <w:link w:val="13"/>
    <w:semiHidden/>
    <w:unhideWhenUsed/>
    <w:qFormat/>
    <w:uiPriority w:val="99"/>
    <w:pPr>
      <w:tabs>
        <w:tab w:val="center" w:pos="4153"/>
        <w:tab w:val="right" w:pos="8306"/>
      </w:tabs>
      <w:snapToGrid w:val="0"/>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Normal (Web)"/>
    <w:basedOn w:val="1"/>
    <w:qFormat/>
    <w:uiPriority w:val="99"/>
    <w:pPr>
      <w:spacing w:beforeAutospacing="1" w:afterAutospacing="1"/>
      <w:jc w:val="left"/>
    </w:pPr>
    <w:rPr>
      <w:rFonts w:ascii="Calibri" w:hAnsi="Calibri" w:eastAsia="宋体" w:cs="Times New Roman"/>
      <w:kern w:val="0"/>
      <w:sz w:val="24"/>
      <w:szCs w:val="24"/>
    </w:rPr>
  </w:style>
  <w:style w:type="character" w:styleId="11">
    <w:name w:val="Emphasis"/>
    <w:basedOn w:val="10"/>
    <w:qFormat/>
    <w:uiPriority w:val="20"/>
    <w:rPr>
      <w:i/>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华文中宋" w:hAnsi="华文中宋" w:eastAsia="宋体" w:cs="华文中宋"/>
      <w:color w:val="000000"/>
      <w:kern w:val="0"/>
      <w:sz w:val="24"/>
      <w:szCs w:val="24"/>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E016A-B833-49E3-8221-A6617C87AE1E}">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16783</Words>
  <Characters>17094</Characters>
  <Lines>17</Lines>
  <Paragraphs>5</Paragraphs>
  <TotalTime>15</TotalTime>
  <ScaleCrop>false</ScaleCrop>
  <LinksUpToDate>false</LinksUpToDate>
  <CharactersWithSpaces>17137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2019-02-22T09:38:00Z</dcterms:created>
  <dc:creator>Windows User</dc:creator>
  <cp:lastModifiedBy>WPS_1739084730</cp:lastModifiedBy>
  <cp:lastPrinted>2023-02-20T09:30:00Z</cp:lastPrinted>
  <dcterms:modified xsi:type="dcterms:W3CDTF">2025-12-11T02:36:54Z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357665032_btnclosed</vt:lpwstr>
  </property>
  <property fmtid="{D5CDD505-2E9C-101B-9397-08002B2CF9AE}" pid="4" name="ICV">
    <vt:lpwstr>296067A8C2B342A89A9B52821C061BAD</vt:lpwstr>
  </property>
  <property fmtid="{D5CDD505-2E9C-101B-9397-08002B2CF9AE}" pid="5" name="KSOTemplateDocerSaveRecord">
    <vt:lpwstr>eyJoZGlkIjoiZDhmZmQyYTgzYzZjMjZmNTM0ZGNhYTczY2FiNTczODkiLCJ1c2VySWQiOiIxNjc4MjM4NTUxIn0=</vt:lpwstr>
  </property>
</Properties>
</file>