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8FAA">
      <w:pPr>
        <w:jc w:val="center"/>
        <w:rPr>
          <w:rFonts w:ascii="仿宋_GB2312" w:hAnsi="华文中宋"/>
          <w:bCs/>
          <w:sz w:val="36"/>
          <w:szCs w:val="44"/>
        </w:rPr>
      </w:pPr>
    </w:p>
    <w:p w14:paraId="0B44839B">
      <w:pPr>
        <w:jc w:val="center"/>
        <w:rPr>
          <w:rFonts w:ascii="宋体" w:hAnsi="宋体" w:eastAsia="宋体" w:cs="宋体"/>
          <w:b/>
          <w:sz w:val="36"/>
          <w:szCs w:val="44"/>
        </w:rPr>
      </w:pPr>
      <w:r>
        <w:rPr>
          <w:rFonts w:hint="eastAsia" w:ascii="Arial" w:hAnsi="Arial" w:eastAsia="宋体" w:cs="Arial"/>
          <w:b/>
          <w:sz w:val="36"/>
          <w:szCs w:val="44"/>
        </w:rPr>
        <w:t>中央专项彩票公益金</w:t>
      </w:r>
      <w:r>
        <w:rPr>
          <w:rFonts w:hint="eastAsia" w:ascii="宋体" w:hAnsi="宋体" w:eastAsia="宋体" w:cs="宋体"/>
          <w:b/>
          <w:sz w:val="36"/>
          <w:szCs w:val="44"/>
        </w:rPr>
        <w:t>转移支付</w:t>
      </w:r>
    </w:p>
    <w:p w14:paraId="7CA728EE">
      <w:pPr>
        <w:jc w:val="center"/>
        <w:rPr>
          <w:rFonts w:ascii="宋体" w:hAnsi="宋体" w:eastAsia="宋体" w:cs="宋体"/>
          <w:b/>
          <w:sz w:val="36"/>
          <w:szCs w:val="44"/>
        </w:rPr>
      </w:pPr>
      <w:r>
        <w:rPr>
          <w:rFonts w:hint="eastAsia" w:ascii="Arial" w:hAnsi="Arial" w:eastAsia="宋体" w:cs="Arial"/>
          <w:b/>
          <w:sz w:val="36"/>
          <w:szCs w:val="44"/>
        </w:rPr>
        <w:t>2025</w:t>
      </w:r>
      <w:r>
        <w:rPr>
          <w:rFonts w:hint="eastAsia" w:ascii="宋体" w:hAnsi="宋体" w:eastAsia="宋体" w:cs="宋体"/>
          <w:b/>
          <w:sz w:val="36"/>
          <w:szCs w:val="44"/>
        </w:rPr>
        <w:t>年度绩效自评报告</w:t>
      </w:r>
    </w:p>
    <w:p w14:paraId="75BC5B00">
      <w:pPr>
        <w:ind w:firstLine="600" w:firstLineChars="200"/>
        <w:rPr>
          <w:rFonts w:ascii="黑体" w:hAnsi="黑体" w:eastAsia="黑体" w:cs="黑体"/>
          <w:bCs/>
          <w:szCs w:val="32"/>
        </w:rPr>
      </w:pPr>
    </w:p>
    <w:p w14:paraId="2462FBC5">
      <w:pPr>
        <w:ind w:firstLine="600" w:firstLineChars="200"/>
        <w:rPr>
          <w:rFonts w:ascii="黑体" w:hAnsi="黑体" w:eastAsia="黑体" w:cs="黑体"/>
          <w:bCs/>
          <w:szCs w:val="32"/>
        </w:rPr>
      </w:pPr>
      <w:r>
        <w:rPr>
          <w:rFonts w:hint="eastAsia" w:ascii="黑体" w:hAnsi="黑体" w:eastAsia="黑体" w:cs="黑体"/>
          <w:bCs/>
          <w:szCs w:val="32"/>
        </w:rPr>
        <w:t>一、绩效目标分解下达情况</w:t>
      </w:r>
    </w:p>
    <w:p w14:paraId="6AA1614D">
      <w:pPr>
        <w:ind w:firstLine="560" w:firstLineChars="200"/>
        <w:outlineLvl w:val="0"/>
        <w:rPr>
          <w:rFonts w:ascii="仿宋_GB2312"/>
          <w:szCs w:val="32"/>
        </w:rPr>
      </w:pPr>
      <w:r>
        <w:rPr>
          <w:rFonts w:hint="eastAsia" w:ascii="宋体" w:hAnsi="宋体" w:eastAsia="宋体"/>
          <w:sz w:val="28"/>
          <w:szCs w:val="28"/>
        </w:rPr>
        <w:t>按照省财政厅《广东省财政厅关于下达2025年中央专项彩票公益金支持居家和社区基本养老服务提升行动项目资金预算的通知》（粤财社〔2025〕125号）以及梅州市民政局的资金分配方案，分配我市</w:t>
      </w:r>
      <w:r>
        <w:rPr>
          <w:rFonts w:ascii="FangSong . GB2312" w:hAnsi="FangSong . GB2312" w:eastAsia="FangSong . GB2312" w:cs="FangSong . GB2312"/>
          <w:color w:val="000000"/>
          <w:kern w:val="0"/>
          <w:sz w:val="28"/>
          <w:szCs w:val="28"/>
        </w:rPr>
        <w:t>彩票公益金</w:t>
      </w:r>
      <w:r>
        <w:rPr>
          <w:rFonts w:hint="eastAsia" w:ascii="宋体" w:hAnsi="宋体" w:eastAsia="宋体"/>
          <w:sz w:val="28"/>
          <w:szCs w:val="28"/>
        </w:rPr>
        <w:t>项目17万元。</w:t>
      </w:r>
    </w:p>
    <w:p w14:paraId="0AA3BB5A">
      <w:pPr>
        <w:ind w:firstLine="600" w:firstLineChars="200"/>
        <w:rPr>
          <w:rFonts w:ascii="黑体" w:hAnsi="黑体" w:eastAsia="黑体" w:cs="黑体"/>
          <w:bCs/>
          <w:szCs w:val="32"/>
        </w:rPr>
      </w:pPr>
      <w:r>
        <w:rPr>
          <w:rFonts w:hint="eastAsia" w:ascii="黑体" w:hAnsi="黑体" w:eastAsia="黑体" w:cs="黑体"/>
          <w:bCs/>
          <w:szCs w:val="32"/>
        </w:rPr>
        <w:t>二、绩效目标完成情况分析</w:t>
      </w:r>
    </w:p>
    <w:p w14:paraId="01710362">
      <w:pPr>
        <w:ind w:firstLine="643" w:firstLineChars="200"/>
        <w:outlineLvl w:val="0"/>
        <w:rPr>
          <w:rFonts w:eastAsia="楷体_GB2312"/>
          <w:b/>
          <w:bCs/>
          <w:sz w:val="32"/>
          <w:szCs w:val="32"/>
        </w:rPr>
      </w:pPr>
      <w:r>
        <w:rPr>
          <w:rFonts w:hint="eastAsia" w:eastAsia="楷体_GB2312"/>
          <w:b/>
          <w:bCs/>
          <w:sz w:val="32"/>
          <w:szCs w:val="32"/>
        </w:rPr>
        <w:t>（一）资金投入情况分析。</w:t>
      </w:r>
    </w:p>
    <w:p w14:paraId="766C7EF2">
      <w:pPr>
        <w:ind w:firstLine="560" w:firstLineChars="200"/>
        <w:outlineLvl w:val="0"/>
        <w:rPr>
          <w:rFonts w:ascii="宋体" w:hAnsi="宋体" w:eastAsia="宋体" w:cs="宋体"/>
          <w:color w:val="000000"/>
          <w:kern w:val="0"/>
          <w:sz w:val="28"/>
          <w:szCs w:val="28"/>
        </w:rPr>
      </w:pPr>
      <w:r>
        <w:rPr>
          <w:rFonts w:hint="eastAsia" w:ascii="宋体" w:hAnsi="宋体" w:eastAsia="宋体" w:cs="宋体"/>
          <w:color w:val="000000"/>
          <w:kern w:val="0"/>
          <w:sz w:val="28"/>
          <w:szCs w:val="28"/>
        </w:rPr>
        <w:t>2025年中央财政资金下达兴宁市</w:t>
      </w:r>
      <w:r>
        <w:rPr>
          <w:rFonts w:hint="eastAsia" w:ascii="宋体" w:hAnsi="宋体" w:eastAsia="宋体"/>
          <w:sz w:val="28"/>
          <w:szCs w:val="28"/>
        </w:rPr>
        <w:t>粤财社〔2025〕125号17</w:t>
      </w:r>
      <w:r>
        <w:rPr>
          <w:rFonts w:hint="eastAsia" w:ascii="宋体" w:hAnsi="宋体" w:eastAsia="宋体" w:cs="宋体"/>
          <w:color w:val="000000"/>
          <w:kern w:val="0"/>
          <w:sz w:val="28"/>
          <w:szCs w:val="28"/>
        </w:rPr>
        <w:t>万元，已按要求安排项目。</w:t>
      </w:r>
    </w:p>
    <w:p w14:paraId="374409F9">
      <w:pPr>
        <w:ind w:firstLine="643" w:firstLineChars="200"/>
        <w:outlineLvl w:val="0"/>
        <w:rPr>
          <w:rFonts w:ascii="仿宋_GB2312" w:hAnsi="仿宋_GB2312" w:cs="仿宋_GB2312"/>
          <w:szCs w:val="32"/>
        </w:rPr>
      </w:pPr>
      <w:r>
        <w:rPr>
          <w:rFonts w:eastAsia="楷体_GB2312"/>
          <w:b/>
          <w:bCs/>
          <w:sz w:val="32"/>
          <w:szCs w:val="32"/>
        </w:rPr>
        <w:t>（二）资金管理情况分析。</w:t>
      </w:r>
    </w:p>
    <w:p w14:paraId="1B68F158">
      <w:pPr>
        <w:widowControl/>
        <w:ind w:firstLine="560" w:firstLineChars="200"/>
        <w:jc w:val="left"/>
        <w:rPr>
          <w:rFonts w:ascii="宋体" w:hAnsi="宋体" w:eastAsia="宋体"/>
          <w:sz w:val="28"/>
          <w:szCs w:val="28"/>
        </w:rPr>
      </w:pPr>
      <w:r>
        <w:rPr>
          <w:rFonts w:hint="eastAsia" w:ascii="宋体" w:hAnsi="宋体" w:eastAsia="宋体"/>
          <w:sz w:val="28"/>
          <w:szCs w:val="28"/>
        </w:rPr>
        <w:t>粤财社〔2025〕125号，具体使用明细为：镇街长者饭堂添置更新设施设备，该笔资金尚未支付。兴宁市2025年完成新建老年助餐点数量25个，实际申请添置更新设施设备的街道（乡镇）层面老年助餐点为</w:t>
      </w:r>
      <w:r>
        <w:rPr>
          <w:rFonts w:hint="eastAsia" w:ascii="宋体" w:hAnsi="宋体" w:eastAsia="宋体"/>
          <w:sz w:val="28"/>
          <w:szCs w:val="28"/>
          <w:lang w:val="en-US" w:eastAsia="zh-CN"/>
        </w:rPr>
        <w:t>4</w:t>
      </w:r>
      <w:r>
        <w:rPr>
          <w:rFonts w:hint="eastAsia" w:ascii="宋体" w:hAnsi="宋体" w:eastAsia="宋体"/>
          <w:sz w:val="28"/>
          <w:szCs w:val="28"/>
        </w:rPr>
        <w:t>个。</w:t>
      </w:r>
    </w:p>
    <w:p w14:paraId="3845796F">
      <w:pPr>
        <w:ind w:firstLine="643" w:firstLineChars="200"/>
        <w:outlineLvl w:val="0"/>
        <w:rPr>
          <w:rFonts w:eastAsia="楷体_GB2312"/>
          <w:b/>
          <w:bCs/>
          <w:sz w:val="32"/>
          <w:szCs w:val="32"/>
        </w:rPr>
      </w:pPr>
      <w:r>
        <w:rPr>
          <w:rFonts w:hint="eastAsia" w:eastAsia="楷体_GB2312"/>
          <w:b/>
          <w:bCs/>
          <w:sz w:val="32"/>
          <w:szCs w:val="32"/>
        </w:rPr>
        <w:t>（三）总体绩效目标完成情况分析。</w:t>
      </w:r>
    </w:p>
    <w:p w14:paraId="100F6FDA">
      <w:pPr>
        <w:spacing w:beforeLines="30" w:line="500" w:lineRule="exact"/>
        <w:ind w:firstLine="560" w:firstLineChars="200"/>
        <w:rPr>
          <w:rFonts w:ascii="宋体" w:hAnsi="宋体" w:eastAsia="宋体" w:cs="宋体"/>
          <w:sz w:val="28"/>
          <w:szCs w:val="36"/>
        </w:rPr>
      </w:pPr>
      <w:r>
        <w:rPr>
          <w:rFonts w:hint="eastAsia" w:ascii="宋体" w:hAnsi="宋体" w:eastAsia="宋体"/>
          <w:sz w:val="28"/>
          <w:szCs w:val="28"/>
        </w:rPr>
        <w:t>粤财社〔2025〕125号17</w:t>
      </w:r>
      <w:r>
        <w:rPr>
          <w:rFonts w:hint="eastAsia" w:ascii="宋体" w:hAnsi="宋体" w:eastAsia="宋体" w:cs="宋体"/>
          <w:color w:val="000000"/>
          <w:kern w:val="0"/>
          <w:sz w:val="28"/>
          <w:szCs w:val="28"/>
        </w:rPr>
        <w:t>万元</w:t>
      </w:r>
      <w:r>
        <w:rPr>
          <w:rFonts w:hint="eastAsia" w:ascii="宋体" w:hAnsi="宋体" w:eastAsia="宋体" w:cs="宋体"/>
          <w:sz w:val="28"/>
          <w:szCs w:val="36"/>
        </w:rPr>
        <w:t>，已请款0万元，已拨付0万元，支出率0%，待拨付0万元，结余17万元。</w:t>
      </w:r>
    </w:p>
    <w:p w14:paraId="6159BA05">
      <w:pPr>
        <w:ind w:firstLine="643" w:firstLineChars="200"/>
        <w:outlineLvl w:val="0"/>
        <w:rPr>
          <w:rFonts w:eastAsia="楷体_GB2312"/>
          <w:b/>
          <w:bCs/>
          <w:sz w:val="32"/>
          <w:szCs w:val="32"/>
        </w:rPr>
      </w:pPr>
      <w:r>
        <w:rPr>
          <w:rFonts w:hint="eastAsia" w:eastAsia="楷体_GB2312"/>
          <w:b/>
          <w:bCs/>
          <w:sz w:val="32"/>
          <w:szCs w:val="32"/>
        </w:rPr>
        <w:t>（四）绩效指标完成情况分析。</w:t>
      </w:r>
    </w:p>
    <w:p w14:paraId="04EFD8C8">
      <w:pPr>
        <w:ind w:firstLine="643" w:firstLineChars="200"/>
        <w:outlineLvl w:val="0"/>
        <w:rPr>
          <w:rFonts w:ascii="宋体" w:hAnsi="宋体" w:eastAsia="宋体"/>
          <w:sz w:val="28"/>
          <w:szCs w:val="28"/>
        </w:rPr>
      </w:pPr>
      <w:r>
        <w:rPr>
          <w:rFonts w:hint="eastAsia" w:ascii="仿宋_GB2312" w:hAnsi="仿宋_GB2312" w:cs="仿宋_GB2312"/>
          <w:b/>
          <w:bCs/>
          <w:sz w:val="32"/>
          <w:szCs w:val="32"/>
        </w:rPr>
        <w:t>1.数量指标。</w:t>
      </w:r>
      <w:r>
        <w:rPr>
          <w:rFonts w:hint="eastAsia" w:ascii="宋体" w:hAnsi="宋体" w:eastAsia="宋体" w:cs="宋体"/>
          <w:sz w:val="28"/>
          <w:szCs w:val="28"/>
          <w:shd w:val="clear" w:color="auto" w:fill="FFFFFF"/>
        </w:rPr>
        <w:t>长者饭堂服务</w:t>
      </w:r>
      <w:r>
        <w:rPr>
          <w:rFonts w:hint="eastAsia" w:ascii="宋体" w:hAnsi="宋体" w:eastAsia="宋体" w:cs="仿宋_GB2312"/>
          <w:sz w:val="28"/>
          <w:szCs w:val="28"/>
        </w:rPr>
        <w:t>提升改造</w:t>
      </w:r>
      <w:r>
        <w:rPr>
          <w:rFonts w:hint="eastAsia" w:ascii="宋体" w:hAnsi="宋体" w:eastAsia="宋体"/>
          <w:sz w:val="28"/>
          <w:szCs w:val="28"/>
        </w:rPr>
        <w:t>率：100%。</w:t>
      </w:r>
    </w:p>
    <w:p w14:paraId="42D506B4">
      <w:pPr>
        <w:ind w:firstLine="643" w:firstLineChars="200"/>
        <w:outlineLvl w:val="0"/>
        <w:rPr>
          <w:rFonts w:ascii="宋体" w:hAnsi="宋体" w:eastAsia="宋体"/>
          <w:sz w:val="28"/>
          <w:szCs w:val="28"/>
        </w:rPr>
      </w:pPr>
      <w:r>
        <w:rPr>
          <w:rFonts w:hint="eastAsia" w:ascii="仿宋_GB2312" w:hAnsi="仿宋_GB2312" w:cs="仿宋_GB2312"/>
          <w:b/>
          <w:bCs/>
          <w:sz w:val="32"/>
          <w:szCs w:val="32"/>
        </w:rPr>
        <w:t>2.质量指标。</w:t>
      </w:r>
      <w:r>
        <w:rPr>
          <w:rFonts w:hint="eastAsia" w:ascii="宋体" w:hAnsi="宋体" w:eastAsia="宋体"/>
          <w:sz w:val="28"/>
          <w:szCs w:val="28"/>
        </w:rPr>
        <w:t>通过支持老年助餐点添置更新设施设备质量指标备，提高助餐服务覆盖面和老年人就餐满足老年人照护需求便利度</w:t>
      </w:r>
    </w:p>
    <w:p w14:paraId="39A3264D">
      <w:pPr>
        <w:ind w:firstLine="643" w:firstLineChars="200"/>
        <w:outlineLvl w:val="0"/>
        <w:rPr>
          <w:rFonts w:ascii="宋体" w:hAnsi="宋体" w:eastAsia="宋体"/>
          <w:sz w:val="28"/>
          <w:szCs w:val="28"/>
        </w:rPr>
      </w:pPr>
      <w:r>
        <w:rPr>
          <w:rFonts w:hint="eastAsia" w:ascii="仿宋_GB2312" w:hAnsi="仿宋_GB2312" w:cs="仿宋_GB2312"/>
          <w:b/>
          <w:bCs/>
          <w:sz w:val="32"/>
          <w:szCs w:val="32"/>
        </w:rPr>
        <w:t>3.时效/成本指标。</w:t>
      </w:r>
      <w:r>
        <w:rPr>
          <w:rFonts w:hint="eastAsia" w:ascii="宋体" w:hAnsi="宋体" w:eastAsia="宋体" w:cs="宋体"/>
          <w:sz w:val="28"/>
          <w:szCs w:val="28"/>
          <w:shd w:val="clear" w:color="auto" w:fill="FFFFFF"/>
        </w:rPr>
        <w:t>长者饭堂服务正在实施</w:t>
      </w:r>
      <w:r>
        <w:rPr>
          <w:rFonts w:hint="eastAsia" w:ascii="宋体" w:hAnsi="宋体" w:eastAsia="宋体"/>
          <w:sz w:val="28"/>
          <w:szCs w:val="28"/>
        </w:rPr>
        <w:t>，合理使用资金。</w:t>
      </w:r>
    </w:p>
    <w:p w14:paraId="2D0E2D23">
      <w:pPr>
        <w:spacing w:line="590" w:lineRule="exact"/>
        <w:ind w:firstLine="643" w:firstLineChars="200"/>
        <w:jc w:val="left"/>
        <w:outlineLvl w:val="0"/>
        <w:rPr>
          <w:rFonts w:ascii="宋体" w:hAnsi="宋体" w:eastAsia="宋体"/>
          <w:sz w:val="28"/>
          <w:szCs w:val="28"/>
        </w:rPr>
      </w:pPr>
      <w:r>
        <w:rPr>
          <w:rFonts w:hint="eastAsia" w:ascii="仿宋_GB2312" w:hAnsi="仿宋_GB2312" w:cs="仿宋_GB2312"/>
          <w:b/>
          <w:bCs/>
          <w:sz w:val="32"/>
          <w:szCs w:val="32"/>
        </w:rPr>
        <w:t>4.社会效益指标。</w:t>
      </w:r>
      <w:r>
        <w:rPr>
          <w:rFonts w:hint="eastAsia" w:ascii="宋体" w:hAnsi="宋体" w:eastAsia="宋体" w:cs="宋体"/>
          <w:sz w:val="28"/>
          <w:szCs w:val="28"/>
          <w:shd w:val="clear" w:color="auto" w:fill="FFFFFF"/>
        </w:rPr>
        <w:t>更好地满足老年人多层次、多样化的服务需求，</w:t>
      </w:r>
      <w:r>
        <w:rPr>
          <w:rFonts w:hint="eastAsia" w:ascii="宋体" w:hAnsi="宋体" w:eastAsia="宋体" w:cs="仿宋_GB2312"/>
          <w:sz w:val="28"/>
          <w:szCs w:val="28"/>
        </w:rPr>
        <w:t>提升养老服务质量，</w:t>
      </w:r>
      <w:r>
        <w:rPr>
          <w:rFonts w:hint="eastAsia" w:ascii="宋体" w:hAnsi="宋体" w:eastAsia="宋体" w:cs="宋体"/>
          <w:sz w:val="28"/>
          <w:szCs w:val="28"/>
          <w:shd w:val="clear" w:color="auto" w:fill="FFFFFF"/>
        </w:rPr>
        <w:t>提高老年人获得感幸福感安全感</w:t>
      </w:r>
      <w:r>
        <w:rPr>
          <w:rFonts w:hint="eastAsia" w:ascii="宋体" w:hAnsi="宋体" w:eastAsia="宋体" w:cs="仿宋_GB2312"/>
          <w:sz w:val="28"/>
          <w:szCs w:val="28"/>
        </w:rPr>
        <w:t>。</w:t>
      </w:r>
    </w:p>
    <w:p w14:paraId="7FAE8EE3">
      <w:pPr>
        <w:ind w:firstLine="643" w:firstLineChars="200"/>
        <w:outlineLvl w:val="0"/>
        <w:rPr>
          <w:rFonts w:ascii="宋体" w:hAnsi="宋体" w:eastAsia="宋体"/>
          <w:sz w:val="28"/>
          <w:szCs w:val="28"/>
        </w:rPr>
      </w:pPr>
      <w:r>
        <w:rPr>
          <w:rFonts w:hint="eastAsia" w:ascii="仿宋_GB2312" w:hAnsi="仿宋_GB2312" w:cs="仿宋_GB2312"/>
          <w:b/>
          <w:bCs/>
          <w:sz w:val="32"/>
          <w:szCs w:val="32"/>
        </w:rPr>
        <w:t>5.满意度指标。</w:t>
      </w:r>
      <w:r>
        <w:rPr>
          <w:rFonts w:hint="eastAsia" w:ascii="宋体" w:hAnsi="宋体" w:eastAsia="宋体"/>
          <w:sz w:val="28"/>
          <w:szCs w:val="28"/>
        </w:rPr>
        <w:t>政策知晓率、公众满意度：≥95%。</w:t>
      </w:r>
    </w:p>
    <w:p w14:paraId="2B58589A">
      <w:pPr>
        <w:ind w:firstLine="600" w:firstLineChars="200"/>
        <w:rPr>
          <w:rFonts w:ascii="黑体" w:hAnsi="黑体" w:eastAsia="黑体" w:cs="黑体"/>
          <w:bCs/>
          <w:szCs w:val="32"/>
        </w:rPr>
      </w:pPr>
      <w:r>
        <w:rPr>
          <w:rFonts w:hint="eastAsia" w:ascii="黑体" w:hAnsi="黑体" w:eastAsia="黑体" w:cs="黑体"/>
          <w:bCs/>
          <w:szCs w:val="32"/>
        </w:rPr>
        <w:t>三、偏离绩效目标的原因和下一步改进措施</w:t>
      </w:r>
    </w:p>
    <w:p w14:paraId="12CF1414">
      <w:pPr>
        <w:pStyle w:val="14"/>
        <w:ind w:left="140" w:firstLine="560"/>
        <w:rPr>
          <w:rFonts w:hint="eastAsia" w:ascii="宋体" w:hAnsi="宋体" w:eastAsia="宋体" w:cs="宋体"/>
          <w:bCs/>
          <w:sz w:val="28"/>
          <w:szCs w:val="28"/>
        </w:rPr>
      </w:pPr>
      <w:r>
        <w:rPr>
          <w:rFonts w:hint="eastAsia" w:ascii="宋体" w:hAnsi="宋体" w:eastAsia="宋体" w:cs="宋体"/>
          <w:bCs/>
          <w:sz w:val="28"/>
          <w:szCs w:val="28"/>
        </w:rPr>
        <w:t>兴宁市2025年完成新建老年助餐点数量25个，因为资金有限（仅17万元），大部分街道（乡镇）层面老年助餐点未提交申请资料，导致实际申请添置更新设施设备的街道（乡镇）层面老年助餐点为</w:t>
      </w:r>
      <w:r>
        <w:rPr>
          <w:rFonts w:hint="eastAsia" w:ascii="宋体" w:hAnsi="宋体" w:eastAsia="宋体" w:cs="宋体"/>
          <w:bCs/>
          <w:sz w:val="28"/>
          <w:szCs w:val="28"/>
          <w:lang w:val="en-US" w:eastAsia="zh-CN"/>
        </w:rPr>
        <w:t>4</w:t>
      </w:r>
      <w:r>
        <w:rPr>
          <w:rFonts w:hint="eastAsia" w:ascii="宋体" w:hAnsi="宋体" w:eastAsia="宋体" w:cs="宋体"/>
          <w:bCs/>
          <w:sz w:val="28"/>
          <w:szCs w:val="28"/>
        </w:rPr>
        <w:t>个。下一步，我市将坚持扩面、提质、增效。</w:t>
      </w:r>
    </w:p>
    <w:p w14:paraId="1E28CE27">
      <w:pPr>
        <w:pStyle w:val="14"/>
        <w:ind w:left="140" w:firstLine="600"/>
        <w:rPr>
          <w:rFonts w:ascii="黑体" w:hAnsi="黑体" w:eastAsia="黑体" w:cs="黑体"/>
          <w:bCs/>
          <w:szCs w:val="32"/>
        </w:rPr>
      </w:pPr>
      <w:r>
        <w:rPr>
          <w:rFonts w:hint="eastAsia" w:ascii="黑体" w:hAnsi="黑体" w:eastAsia="黑体" w:cs="黑体"/>
          <w:bCs/>
          <w:szCs w:val="32"/>
        </w:rPr>
        <w:t>四、绩效自评结果拟应用和公开情况</w:t>
      </w:r>
    </w:p>
    <w:p w14:paraId="3C3C7545">
      <w:pPr>
        <w:spacing w:line="590" w:lineRule="exact"/>
        <w:ind w:firstLine="560" w:firstLineChars="200"/>
        <w:outlineLvl w:val="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（一）对</w:t>
      </w:r>
      <w:r>
        <w:rPr>
          <w:rFonts w:ascii="宋体" w:hAnsi="宋体" w:eastAsia="宋体" w:cs="宋体"/>
          <w:color w:val="000000"/>
          <w:kern w:val="0"/>
          <w:sz w:val="28"/>
          <w:szCs w:val="28"/>
          <w:lang w:bidi="ar"/>
        </w:rPr>
        <w:t>照“</w:t>
      </w:r>
      <w:r>
        <w:rPr>
          <w:rFonts w:hint="eastAsia" w:ascii="宋体" w:hAnsi="宋体" w:eastAsia="宋体" w:cs="宋体"/>
          <w:color w:val="000000"/>
          <w:kern w:val="0"/>
          <w:sz w:val="28"/>
          <w:szCs w:val="28"/>
          <w:lang w:bidi="ar"/>
        </w:rPr>
        <w:t>项目支出绩效评价指标体系</w:t>
      </w:r>
      <w:r>
        <w:rPr>
          <w:rFonts w:ascii="宋体" w:hAnsi="宋体" w:eastAsia="宋体" w:cs="宋体"/>
          <w:color w:val="000000"/>
          <w:kern w:val="0"/>
          <w:sz w:val="28"/>
          <w:szCs w:val="28"/>
          <w:lang w:bidi="ar"/>
        </w:rPr>
        <w:t>”进行自评打分，</w:t>
      </w:r>
      <w:r>
        <w:rPr>
          <w:rFonts w:hint="eastAsia" w:ascii="宋体" w:hAnsi="宋体" w:eastAsia="宋体" w:cs="宋体"/>
          <w:color w:val="000000"/>
          <w:kern w:val="0"/>
          <w:sz w:val="28"/>
          <w:szCs w:val="28"/>
          <w:lang w:bidi="ar"/>
        </w:rPr>
        <w:t>中央彩票公益金转移支付2025年度我单位自评90分，绩效等级为优秀。</w:t>
      </w:r>
    </w:p>
    <w:p w14:paraId="12A69705">
      <w:pPr>
        <w:spacing w:line="590" w:lineRule="exact"/>
        <w:ind w:firstLine="560" w:firstLineChars="200"/>
        <w:outlineLvl w:val="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（二）按照政务公开要求，自觉接受社会监督。</w:t>
      </w:r>
    </w:p>
    <w:p w14:paraId="2045E20B">
      <w:pPr>
        <w:ind w:firstLine="600" w:firstLineChars="200"/>
        <w:rPr>
          <w:rFonts w:ascii="黑体" w:hAnsi="黑体" w:eastAsia="黑体" w:cs="黑体"/>
          <w:bCs/>
          <w:szCs w:val="32"/>
        </w:rPr>
      </w:pPr>
      <w:r>
        <w:rPr>
          <w:rFonts w:hint="eastAsia" w:ascii="黑体" w:hAnsi="黑体" w:eastAsia="黑体" w:cs="黑体"/>
          <w:bCs/>
          <w:szCs w:val="32"/>
        </w:rPr>
        <w:t>五、其他需要说明的问题</w:t>
      </w:r>
    </w:p>
    <w:p w14:paraId="7B69324D">
      <w:pPr>
        <w:ind w:firstLine="560" w:firstLineChars="200"/>
        <w:rPr>
          <w:rFonts w:ascii="宋体" w:hAnsi="宋体" w:eastAsia="宋体" w:cs="宋体"/>
          <w:bCs/>
          <w:sz w:val="28"/>
          <w:szCs w:val="28"/>
        </w:rPr>
      </w:pPr>
      <w:r>
        <w:rPr>
          <w:rFonts w:hint="eastAsia" w:ascii="宋体" w:hAnsi="宋体" w:eastAsia="宋体" w:cs="宋体"/>
          <w:bCs/>
          <w:sz w:val="28"/>
          <w:szCs w:val="28"/>
        </w:rPr>
        <w:t>无。</w:t>
      </w:r>
    </w:p>
    <w:p w14:paraId="123FCDA2">
      <w:pPr>
        <w:ind w:firstLine="600" w:firstLineChars="200"/>
      </w:pPr>
    </w:p>
    <w:p w14:paraId="0F9CC752">
      <w:pPr>
        <w:wordWrap w:val="0"/>
        <w:ind w:firstLine="560" w:firstLineChars="200"/>
        <w:jc w:val="right"/>
        <w:rPr>
          <w:rFonts w:ascii="宋体" w:hAnsi="宋体" w:eastAsia="宋体" w:cs="宋体"/>
          <w:sz w:val="28"/>
          <w:szCs w:val="22"/>
        </w:rPr>
      </w:pPr>
      <w:r>
        <w:rPr>
          <w:rFonts w:hint="eastAsia" w:ascii="宋体" w:hAnsi="宋体" w:eastAsia="宋体" w:cs="宋体"/>
          <w:sz w:val="28"/>
          <w:szCs w:val="22"/>
        </w:rPr>
        <w:t xml:space="preserve">兴宁市民政局  </w:t>
      </w:r>
    </w:p>
    <w:p w14:paraId="16C6EBDE">
      <w:pPr>
        <w:ind w:firstLine="560" w:firstLineChars="200"/>
        <w:jc w:val="right"/>
        <w:rPr>
          <w:rFonts w:ascii="宋体" w:hAnsi="宋体" w:eastAsia="宋体" w:cs="宋体"/>
          <w:sz w:val="28"/>
          <w:szCs w:val="22"/>
        </w:rPr>
      </w:pPr>
      <w:r>
        <w:rPr>
          <w:rFonts w:hint="eastAsia" w:ascii="宋体" w:hAnsi="宋体" w:eastAsia="宋体" w:cs="宋体"/>
          <w:sz w:val="28"/>
          <w:szCs w:val="22"/>
        </w:rPr>
        <w:t>2026年</w:t>
      </w:r>
      <w:r>
        <w:rPr>
          <w:rFonts w:hint="eastAsia" w:ascii="宋体" w:hAnsi="宋体" w:eastAsia="宋体" w:cs="宋体"/>
          <w:sz w:val="28"/>
          <w:szCs w:val="22"/>
          <w:lang w:val="en-US" w:eastAsia="zh-CN"/>
        </w:rPr>
        <w:t>5</w:t>
      </w:r>
      <w:r>
        <w:rPr>
          <w:rFonts w:hint="eastAsia" w:ascii="宋体" w:hAnsi="宋体" w:eastAsia="宋体" w:cs="宋体"/>
          <w:sz w:val="28"/>
          <w:szCs w:val="22"/>
        </w:rPr>
        <w:t>月</w:t>
      </w:r>
      <w:r>
        <w:rPr>
          <w:rFonts w:hint="eastAsia" w:ascii="宋体" w:hAnsi="宋体" w:eastAsia="宋体" w:cs="宋体"/>
          <w:sz w:val="28"/>
          <w:szCs w:val="22"/>
          <w:lang w:val="en-US" w:eastAsia="zh-CN"/>
        </w:rPr>
        <w:t>29</w:t>
      </w:r>
      <w:r>
        <w:rPr>
          <w:rFonts w:hint="eastAsia" w:ascii="宋体" w:hAnsi="宋体" w:eastAsia="宋体" w:cs="宋体"/>
          <w:sz w:val="28"/>
          <w:szCs w:val="22"/>
        </w:rPr>
        <w:t>日</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angSong . GB231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D64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50"/>
  <w:drawingGridVerticalSpacing w:val="5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6F7840"/>
    <w:rsid w:val="00707C2E"/>
    <w:rsid w:val="00722A7D"/>
    <w:rsid w:val="00724A6B"/>
    <w:rsid w:val="0073331B"/>
    <w:rsid w:val="00733C2D"/>
    <w:rsid w:val="00756C7F"/>
    <w:rsid w:val="007D16B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DD725B"/>
    <w:rsid w:val="00E071D6"/>
    <w:rsid w:val="00ED3E0F"/>
    <w:rsid w:val="00F015E4"/>
    <w:rsid w:val="00F57F82"/>
    <w:rsid w:val="00F75224"/>
    <w:rsid w:val="00F91EAE"/>
    <w:rsid w:val="00FA086C"/>
    <w:rsid w:val="00FA2093"/>
    <w:rsid w:val="00FA357A"/>
    <w:rsid w:val="02962229"/>
    <w:rsid w:val="02F9237D"/>
    <w:rsid w:val="037D0BC8"/>
    <w:rsid w:val="0845082D"/>
    <w:rsid w:val="09E965F2"/>
    <w:rsid w:val="139840D3"/>
    <w:rsid w:val="143E091F"/>
    <w:rsid w:val="14865FC8"/>
    <w:rsid w:val="150C2DB0"/>
    <w:rsid w:val="1B3C7453"/>
    <w:rsid w:val="1E761F05"/>
    <w:rsid w:val="1F7BE1E6"/>
    <w:rsid w:val="1FC7205C"/>
    <w:rsid w:val="228B3D05"/>
    <w:rsid w:val="284E74F8"/>
    <w:rsid w:val="29AF3C72"/>
    <w:rsid w:val="2ADB48E8"/>
    <w:rsid w:val="2B7FDBAE"/>
    <w:rsid w:val="2D660F0B"/>
    <w:rsid w:val="36687282"/>
    <w:rsid w:val="37CD1D4F"/>
    <w:rsid w:val="382B4C42"/>
    <w:rsid w:val="38EF7AD8"/>
    <w:rsid w:val="3E1672E6"/>
    <w:rsid w:val="3EB9C2BB"/>
    <w:rsid w:val="415F08D8"/>
    <w:rsid w:val="44E2230F"/>
    <w:rsid w:val="45A76B54"/>
    <w:rsid w:val="48B51347"/>
    <w:rsid w:val="491B45FA"/>
    <w:rsid w:val="4A55216A"/>
    <w:rsid w:val="4D3D69F8"/>
    <w:rsid w:val="4FE0696A"/>
    <w:rsid w:val="53DB69E8"/>
    <w:rsid w:val="546F8569"/>
    <w:rsid w:val="55673508"/>
    <w:rsid w:val="59595A6F"/>
    <w:rsid w:val="599330CA"/>
    <w:rsid w:val="5A7FCB1F"/>
    <w:rsid w:val="5EFF73FD"/>
    <w:rsid w:val="5FEAF7C9"/>
    <w:rsid w:val="60D5009F"/>
    <w:rsid w:val="613700A7"/>
    <w:rsid w:val="6388227C"/>
    <w:rsid w:val="64AC2E11"/>
    <w:rsid w:val="65141733"/>
    <w:rsid w:val="660721C9"/>
    <w:rsid w:val="661E6C75"/>
    <w:rsid w:val="67F75FF5"/>
    <w:rsid w:val="681D4831"/>
    <w:rsid w:val="692E4B19"/>
    <w:rsid w:val="69513EF7"/>
    <w:rsid w:val="6BF3256F"/>
    <w:rsid w:val="6CE7018A"/>
    <w:rsid w:val="6E3E3F2D"/>
    <w:rsid w:val="715B2F02"/>
    <w:rsid w:val="73A81128"/>
    <w:rsid w:val="73FC07E5"/>
    <w:rsid w:val="76A548F2"/>
    <w:rsid w:val="7765772E"/>
    <w:rsid w:val="776F5E62"/>
    <w:rsid w:val="77867685"/>
    <w:rsid w:val="781F36B6"/>
    <w:rsid w:val="790627AD"/>
    <w:rsid w:val="7ADC59FA"/>
    <w:rsid w:val="7AFF2FC3"/>
    <w:rsid w:val="7BAF6DBF"/>
    <w:rsid w:val="7BF6B4C5"/>
    <w:rsid w:val="7DDD794F"/>
    <w:rsid w:val="7FDE47D5"/>
    <w:rsid w:val="94BFC172"/>
    <w:rsid w:val="9BFA614C"/>
    <w:rsid w:val="9F27FBB6"/>
    <w:rsid w:val="BFBF52D7"/>
    <w:rsid w:val="C7B734D4"/>
    <w:rsid w:val="DF6E82F1"/>
    <w:rsid w:val="F7FBEBBF"/>
    <w:rsid w:val="FDB5389F"/>
    <w:rsid w:val="FEF61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character" w:customStyle="1" w:styleId="8">
    <w:name w:val="页眉 Char"/>
    <w:basedOn w:val="6"/>
    <w:link w:val="4"/>
    <w:qFormat/>
    <w:uiPriority w:val="0"/>
    <w:rPr>
      <w:rFonts w:eastAsia="仿宋_GB2312"/>
      <w:kern w:val="2"/>
      <w:sz w:val="18"/>
      <w:szCs w:val="18"/>
    </w:rPr>
  </w:style>
  <w:style w:type="character" w:customStyle="1" w:styleId="9">
    <w:name w:val="批注框文本 Char"/>
    <w:basedOn w:val="6"/>
    <w:link w:val="2"/>
    <w:qFormat/>
    <w:uiPriority w:val="0"/>
    <w:rPr>
      <w:rFonts w:eastAsia="仿宋_GB2312"/>
      <w:kern w:val="2"/>
      <w:sz w:val="18"/>
      <w:szCs w:val="18"/>
    </w:rPr>
  </w:style>
  <w:style w:type="paragraph" w:customStyle="1" w:styleId="10">
    <w:name w:val="Normal Indent1"/>
    <w:qFormat/>
    <w:uiPriority w:val="0"/>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paragraph" w:customStyle="1" w:styleId="11">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2">
    <w:name w:val="Table Text"/>
    <w:basedOn w:val="1"/>
    <w:semiHidden/>
    <w:qFormat/>
    <w:uiPriority w:val="0"/>
    <w:rPr>
      <w:rFonts w:ascii="宋体" w:hAnsi="宋体" w:eastAsia="宋体" w:cs="宋体"/>
      <w:sz w:val="24"/>
      <w:lang w:eastAsia="en-US"/>
    </w:rPr>
  </w:style>
  <w:style w:type="table" w:customStyle="1" w:styleId="13">
    <w:name w:val="Table Normal"/>
    <w:unhideWhenUsed/>
    <w:qFormat/>
    <w:uiPriority w:val="0"/>
    <w:tblPr>
      <w:tblCellMar>
        <w:top w:w="0" w:type="dxa"/>
        <w:left w:w="0" w:type="dxa"/>
        <w:bottom w:w="0" w:type="dxa"/>
        <w:right w:w="0" w:type="dxa"/>
      </w:tblCellMar>
    </w:tbl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785</Words>
  <Characters>845</Characters>
  <Lines>5</Lines>
  <Paragraphs>1</Paragraphs>
  <TotalTime>1</TotalTime>
  <ScaleCrop>false</ScaleCrop>
  <LinksUpToDate>false</LinksUpToDate>
  <CharactersWithSpaces>847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2026-02-25T03:37:00Z</dcterms:created>
  <dc:creator>lhn</dc:creator>
  <cp:lastModifiedBy>Chenchen</cp:lastModifiedBy>
  <cp:lastPrinted>2021-02-04T12:58:00Z</cp:lastPrinted>
  <dcterms:modified xsi:type="dcterms:W3CDTF">2026-05-29T08:48:33Z</dcterms:modified>
  <dc:title>财政支出绩效评价报告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9A8FD3ABD40745AA80E413CDA58F5665_13</vt:lpwstr>
  </property>
  <property fmtid="{D5CDD505-2E9C-101B-9397-08002B2CF9AE}" pid="4" name="KSOTemplateDocerSaveRecord">
    <vt:lpwstr>eyJoZGlkIjoiYWNkNGRjMjM0MGE5ZDg2YjMyMjQ0NjZiZWRmYjg3NWEiLCJ1c2VySWQiOiI3MjY5Mzk2OTcifQ==</vt:lpwstr>
  </property>
</Properties>
</file>