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1674">
      <w:pPr>
        <w:widowControl/>
        <w:shd w:val="clear" w:color="auto" w:fill="FFFFFF"/>
        <w:snapToGrid w:val="0"/>
        <w:spacing w:line="590" w:lineRule="exact"/>
        <w:jc w:val="center"/>
        <w:rPr>
          <w:rFonts w:hint="eastAsia"/>
          <w:b/>
          <w:bCs/>
          <w:sz w:val="36"/>
          <w:szCs w:val="36"/>
        </w:rPr>
      </w:pPr>
      <w:r>
        <w:rPr>
          <w:rFonts w:hint="eastAsia"/>
          <w:b/>
          <w:bCs/>
          <w:sz w:val="36"/>
          <w:szCs w:val="36"/>
        </w:rPr>
        <w:t>不合格项目的消费警示</w:t>
      </w:r>
    </w:p>
    <w:p w14:paraId="36B6C395">
      <w:pPr>
        <w:widowControl/>
        <w:shd w:val="clear" w:color="auto" w:fill="FFFFFF"/>
        <w:snapToGrid w:val="0"/>
        <w:spacing w:line="590" w:lineRule="exact"/>
        <w:jc w:val="center"/>
        <w:rPr>
          <w:rFonts w:hint="eastAsia"/>
          <w:b/>
          <w:bCs/>
          <w:sz w:val="36"/>
          <w:szCs w:val="36"/>
        </w:rPr>
      </w:pPr>
    </w:p>
    <w:p w14:paraId="764DE891">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一、二氧化硫残留：</w:t>
      </w:r>
    </w:p>
    <w:p w14:paraId="45687433">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若过量食用会引起如恶心、呕吐等胃肠道反应。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2998BB09">
      <w:pPr>
        <w:pStyle w:val="2"/>
        <w:numPr>
          <w:ilvl w:val="0"/>
          <w:numId w:val="0"/>
        </w:num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w:t>
      </w:r>
      <w:r>
        <w:rPr>
          <w:rFonts w:hint="default" w:ascii="仿宋" w:hAnsi="仿宋" w:eastAsia="仿宋" w:cs="仿宋"/>
          <w:b/>
          <w:bCs/>
          <w:kern w:val="2"/>
          <w:sz w:val="32"/>
          <w:szCs w:val="32"/>
          <w:lang w:val="en-US" w:eastAsia="zh-CN" w:bidi="ar-SA"/>
        </w:rPr>
        <w:t>脱氢乙酸及其钠盐(以脱氢乙酸计)</w:t>
      </w:r>
    </w:p>
    <w:p w14:paraId="14464FC9">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脱氢乙酸及其钠盐作为一种广谱食品防腐剂，对霉菌和酵母菌的抑制能力强，为苯甲酸钠的 2~10 倍，在高剂量使用时能抑制细菌。脱氢乙酸毒性较低，按标准规定的范围和使用量使用是安全的。脱氢乙酸及其钠盐能被人体完全吸收，并能抑制人体内多种氧化酶，长期过量摄入脱氢乙酸及其钠盐会危害人体健康。</w:t>
      </w:r>
    </w:p>
    <w:p w14:paraId="10AB80BC">
      <w:pPr>
        <w:pStyle w:val="2"/>
        <w:numPr>
          <w:ilvl w:val="0"/>
          <w:numId w:val="0"/>
        </w:numPr>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脱氢乙酸超标的原因可能是个别生产经营企业为防止食品腐败变质，超量使用了该添加剂，或者其使用的复配添加剂中该添加剂含量较高；也可能是在添加过程中未计量或计量不准。</w:t>
      </w:r>
    </w:p>
    <w:p w14:paraId="576C3ABD">
      <w:pPr>
        <w:pStyle w:val="2"/>
        <w:numPr>
          <w:ilvl w:val="0"/>
          <w:numId w:val="0"/>
        </w:num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w:t>
      </w:r>
      <w:r>
        <w:rPr>
          <w:rFonts w:hint="default" w:ascii="仿宋" w:hAnsi="仿宋" w:eastAsia="仿宋" w:cs="仿宋"/>
          <w:b/>
          <w:bCs/>
          <w:kern w:val="2"/>
          <w:sz w:val="32"/>
          <w:szCs w:val="32"/>
          <w:lang w:val="en-US" w:eastAsia="zh-CN" w:bidi="ar-SA"/>
        </w:rPr>
        <w:t>噻虫胺</w:t>
      </w:r>
    </w:p>
    <w:p w14:paraId="713AEB0E">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噻虫胺</w:t>
      </w:r>
      <w:r>
        <w:rPr>
          <w:rFonts w:hint="eastAsia" w:ascii="仿宋" w:hAnsi="仿宋" w:eastAsia="仿宋" w:cs="仿宋"/>
          <w:kern w:val="2"/>
          <w:sz w:val="32"/>
          <w:szCs w:val="32"/>
          <w:lang w:val="en-US" w:eastAsia="zh-CN" w:bidi="ar-SA"/>
        </w:rPr>
        <w:t>是</w:t>
      </w:r>
      <w:r>
        <w:rPr>
          <w:rFonts w:hint="default" w:ascii="仿宋" w:hAnsi="仿宋" w:eastAsia="仿宋" w:cs="仿宋"/>
          <w:kern w:val="2"/>
          <w:sz w:val="32"/>
          <w:szCs w:val="32"/>
          <w:lang w:val="en-US" w:eastAsia="zh-CN" w:bidi="ar-SA"/>
        </w:rPr>
        <w:t>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w:t>
      </w:r>
    </w:p>
    <w:p w14:paraId="688B3E18">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四、过氧化值(以脂肪计)</w:t>
      </w:r>
    </w:p>
    <w:p w14:paraId="504F4256">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过氧化值是指油脂中不饱和脂肪酸被氧化形成过氧化物，一般以 100g（或 1kg）被测油脂使碘化钾析出碘的克数表示。POV 是油脂酸败的早期指标，主要反映油脂被氧化的程度。当 POV 上升到一定程度后，油脂开始出现感官形状上的改变。POV 并非随着酸败程度的加剧而持续升高，当油脂由哈喇味变辛辣味、色泽变深、粘度增大时，POV 反而会降至较低水平。随着油脂氧化，过氧化值会逐步升高，一般情况下，当 POV 超过 0.25g/100g，即表示酸败。该指标不合格一般不会对人体的健康产生损害，但过多食用，严重时会导致肠胃不适、腹泻等症状。一般情况下，如果食品氧化变质，消费者在食用过程中能辨别出哈喇等异味，需避免食用。过氧化值超标的原因可能是产品用油已经变质，或者产品在储存过程中环境条件控制不当，导致产品酸败；也可能是原料中的脂肪已经氧化，储存不当，或未采取有效的抗氧化措施，使得终产品油脂氧化。此外，植物油精炼不到位也可能造成食用油、油脂及其制品的过氧化值不合格。</w:t>
      </w:r>
    </w:p>
    <w:p w14:paraId="38301033">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五、吡虫啉</w:t>
      </w:r>
    </w:p>
    <w:p w14:paraId="3CE4424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内吸性杀虫剂，可层间传导，具有触杀和胃毒作用。容易被植物吸收，并在植物体内重新分配，有很好的根部内吸活性。属于烟碱类高效杀虫剂，作为错误的神递质与乙酰胆碱受体结合，干扰神经系统中起重要作用的乙酰胆碱的正常功能，使神经传输保持开放状态，引起异常兴奋。中毒症状为恶心、呕吐、头痛、乏力乏力、心跳过速等，严重者出现昏迷、呼吸衰竭。食用食品一般不会导致吡虫啉的急性中毒，但长期食用吡虫啉超标的食品，对人体健康也有一定影响。</w:t>
      </w:r>
    </w:p>
    <w:p w14:paraId="2AA440DE">
      <w:pPr>
        <w:pStyle w:val="2"/>
        <w:numPr>
          <w:ilvl w:val="0"/>
          <w:numId w:val="0"/>
        </w:num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w:t>
      </w:r>
      <w:r>
        <w:rPr>
          <w:rFonts w:hint="default" w:ascii="仿宋" w:hAnsi="仿宋" w:eastAsia="仿宋" w:cs="仿宋"/>
          <w:b/>
          <w:bCs/>
          <w:kern w:val="2"/>
          <w:sz w:val="32"/>
          <w:szCs w:val="32"/>
          <w:lang w:val="en-US" w:eastAsia="zh-CN" w:bidi="ar-SA"/>
        </w:rPr>
        <w:t>脱氢乙酸及其钠盐(以脱氢乙酸计)</w:t>
      </w:r>
    </w:p>
    <w:p w14:paraId="24A6DDE9">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脱氢乙酸及其钠盐作为一种广谱食品防腐剂，对霉菌和酵母菌的抑制能力强，为苯甲酸钠的 2~10 倍，在高剂量使用时能抑制细菌。脱氢乙酸毒性较低，按标准规定的范围和使用量使用是安全的。脱氢乙酸及其钠盐能被人体完全吸收，并能抑制人体内多种氧化酶，长期过量摄入脱氢乙酸及其钠盐会危害人体健康。</w:t>
      </w:r>
    </w:p>
    <w:p w14:paraId="62681430">
      <w:pPr>
        <w:pStyle w:val="2"/>
        <w:numPr>
          <w:ilvl w:val="0"/>
          <w:numId w:val="0"/>
        </w:numPr>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脱氢乙酸超标的原因可能是个别生产经营企业为防止食品腐败变质，超量使用了该添加剂，或者其使用的复配添加剂中该添加剂含量较高；也可能是在添加过程中未计量或计量不准。</w:t>
      </w:r>
    </w:p>
    <w:p w14:paraId="14530099">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七、糖精钠</w:t>
      </w:r>
    </w:p>
    <w:p w14:paraId="28DE4013">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无色结晶或稍带白色的结晶性粉末，无臭或微有香气，甜度为蔗糖的 200~700 倍。糖精钠是普遍使用的人工合成甜味剂。</w:t>
      </w:r>
    </w:p>
    <w:p w14:paraId="75384151">
      <w:pPr>
        <w:pStyle w:val="2"/>
        <w:numPr>
          <w:ilvl w:val="0"/>
          <w:numId w:val="0"/>
        </w:num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糖精钠在人体内不被吸收，不产生热量，大部分经肾排出而不损害肾功能，不改变体内酶系统的活性。但食用较多的糖精钠，会影响肠胃消化酶的正常分泌，降低小肠的吸收能力，使食欲减退；使用量过大时有金属苦味。造成食品中糖精钠不合格的主要原因有：生产经营企业为增加产品甜味，超限量、超范围使用或者未准确计量。</w:t>
      </w:r>
    </w:p>
    <w:p w14:paraId="2534A22C">
      <w:pPr>
        <w:pStyle w:val="2"/>
        <w:numPr>
          <w:ilvl w:val="0"/>
          <w:numId w:val="0"/>
        </w:numP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w:t>
      </w:r>
      <w:r>
        <w:rPr>
          <w:rFonts w:hint="default" w:ascii="仿宋" w:hAnsi="仿宋" w:eastAsia="仿宋" w:cs="仿宋"/>
          <w:b/>
          <w:bCs/>
          <w:kern w:val="2"/>
          <w:sz w:val="32"/>
          <w:szCs w:val="32"/>
          <w:lang w:val="en-US" w:eastAsia="zh-CN" w:bidi="ar-SA"/>
        </w:rPr>
        <w:t>氯氟氰菊酯和高效氯氟氰菊酯</w:t>
      </w:r>
    </w:p>
    <w:p w14:paraId="0E24F054">
      <w:pPr>
        <w:pStyle w:val="2"/>
        <w:numPr>
          <w:ilvl w:val="0"/>
          <w:numId w:val="0"/>
        </w:numPr>
        <w:ind w:firstLine="640" w:firstLineChars="200"/>
        <w:rPr>
          <w:rFonts w:hint="default" w:ascii="仿宋" w:hAnsi="仿宋" w:eastAsia="仿宋" w:cs="仿宋"/>
          <w:b/>
          <w:bCs/>
          <w:kern w:val="2"/>
          <w:sz w:val="32"/>
          <w:szCs w:val="32"/>
          <w:lang w:val="en-US" w:eastAsia="zh-CN" w:bidi="ar-SA"/>
        </w:rPr>
      </w:pPr>
      <w:r>
        <w:rPr>
          <w:rFonts w:hint="default" w:ascii="仿宋" w:hAnsi="仿宋" w:eastAsia="仿宋" w:cs="仿宋"/>
          <w:kern w:val="2"/>
          <w:sz w:val="32"/>
          <w:szCs w:val="32"/>
          <w:lang w:val="en-US" w:eastAsia="zh-CN" w:bidi="ar-SA"/>
        </w:rPr>
        <w:t>是一种广谱、高效拟除虫菊酯类杀虫剂，以触杀和胃毒作用为主，无内吸作用，被广泛用于农林业和卫生害虫的防治。但由于其不易降解，对鱼类、蜜蜂、蚕和蚯蚓都有剧毒，对生态环境有一定影响。经口急性毒性试验表明大鼠经口 LD50 为 144mg/kg，急性毒性分级为中等毒性，中毒表现有头痛、头昏、恶心、呕吐、抽搐，重者可出现血压急剧下降、出现昏迷或多器官衰竭。相关研究未见遗传毒性、生殖发育毒性、致畸性和致癌性。少量的农药残留不会引起人体急性中毒，但长期食用氯氟氰菊酯超标的食品，对人体健康有一定影响。</w:t>
      </w:r>
    </w:p>
    <w:p w14:paraId="04D67070">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九、阴离子合成洗涤剂</w:t>
      </w:r>
    </w:p>
    <w:p w14:paraId="2E9980B7">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阴离子合成洗涤剂（Anionic synthetic detergent）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饮水中含量不合格可能是阴离子合成洗涤剂成为环境中的有机污染物，造成饮用水中阴离子合成洗涤剂含量超标。餐（饮）具中检出阴离子合成洗涤剂的原因可能是由于餐（饮）具消毒单位使用的洗涤剂不合格或使用量过大，或未经足够量清水冲洗，最终残留在餐（饮）具中。</w:t>
      </w:r>
    </w:p>
    <w:p w14:paraId="1AF6F21C">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十、菌落总数</w:t>
      </w:r>
    </w:p>
    <w:p w14:paraId="58C047CB">
      <w:pPr>
        <w:pStyle w:val="2"/>
        <w:numPr>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菌落总数是指在被检样品的单位质量（g）、容积（mL）或表面积（cm2）内，所含能在严格规定的条件下（需氧情况培养基及其 pH、培养温度与时间、计数方法等）培养所生成的微生物菌落的数量，以菌落形成单位（CFU）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bookmarkStart w:id="0" w:name="_GoBack"/>
      <w:bookmarkEnd w:id="0"/>
    </w:p>
    <w:p w14:paraId="641C2A1F">
      <w:pPr>
        <w:pStyle w:val="2"/>
        <w:rPr>
          <w:rFonts w:hint="eastAsia"/>
          <w:lang w:val="en-US" w:eastAsia="zh-CN"/>
        </w:rPr>
      </w:pPr>
    </w:p>
    <w:p w14:paraId="6B0AE096">
      <w:pPr>
        <w:pStyle w:val="2"/>
        <w:numPr>
          <w:ilvl w:val="0"/>
          <w:numId w:val="0"/>
        </w:numPr>
        <w:rPr>
          <w:rFonts w:hint="default" w:ascii="仿宋" w:hAnsi="仿宋" w:eastAsia="仿宋" w:cs="仿宋"/>
          <w:kern w:val="2"/>
          <w:sz w:val="32"/>
          <w:szCs w:val="32"/>
          <w:lang w:val="en-US" w:eastAsia="zh-CN" w:bidi="ar-SA"/>
        </w:rPr>
      </w:pPr>
    </w:p>
    <w:p w14:paraId="78F9C5BB">
      <w:pPr>
        <w:numPr>
          <w:ilvl w:val="0"/>
          <w:numId w:val="0"/>
        </w:numPr>
        <w:rPr>
          <w:rFonts w:hint="default" w:asciiTheme="minorEastAsia" w:hAnsiTheme="minorEastAsia" w:eastAsiaTheme="minorEastAsia" w:cstheme="minorEastAsia"/>
          <w:sz w:val="32"/>
          <w:szCs w:val="32"/>
          <w:lang w:val="en-US" w:eastAsia="zh-CN"/>
        </w:rPr>
      </w:pPr>
    </w:p>
    <w:sectPr>
      <w:pgSz w:w="11906" w:h="16838"/>
      <w:pgMar w:top="1984" w:right="1474"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ZWEyZTllMzYxZmQxZGZhZWZhZTVjMTBjMWQ5M2MifQ=="/>
  </w:docVars>
  <w:rsids>
    <w:rsidRoot w:val="00FD5D87"/>
    <w:rsid w:val="000E11B9"/>
    <w:rsid w:val="000E3D58"/>
    <w:rsid w:val="003337F0"/>
    <w:rsid w:val="00482B25"/>
    <w:rsid w:val="00597BE5"/>
    <w:rsid w:val="00652391"/>
    <w:rsid w:val="006F1AC3"/>
    <w:rsid w:val="007C015E"/>
    <w:rsid w:val="00837988"/>
    <w:rsid w:val="00C6147A"/>
    <w:rsid w:val="00D32A12"/>
    <w:rsid w:val="00DC1BE9"/>
    <w:rsid w:val="00FD5D87"/>
    <w:rsid w:val="06B44C7F"/>
    <w:rsid w:val="0B944C67"/>
    <w:rsid w:val="0F02189A"/>
    <w:rsid w:val="0F6C5B76"/>
    <w:rsid w:val="105F10C2"/>
    <w:rsid w:val="11A61283"/>
    <w:rsid w:val="14142EC9"/>
    <w:rsid w:val="14160708"/>
    <w:rsid w:val="14FE278E"/>
    <w:rsid w:val="18A420D5"/>
    <w:rsid w:val="1CFC1675"/>
    <w:rsid w:val="28DF1F3F"/>
    <w:rsid w:val="2BFA29CF"/>
    <w:rsid w:val="2F992B46"/>
    <w:rsid w:val="391C4EC1"/>
    <w:rsid w:val="3ABD6286"/>
    <w:rsid w:val="3BB67586"/>
    <w:rsid w:val="41E12811"/>
    <w:rsid w:val="44924744"/>
    <w:rsid w:val="4DBD060A"/>
    <w:rsid w:val="548668F6"/>
    <w:rsid w:val="5856369B"/>
    <w:rsid w:val="634A171A"/>
    <w:rsid w:val="72EA59A9"/>
    <w:rsid w:val="7AE20FD0"/>
    <w:rsid w:val="7D2C75D3"/>
    <w:rsid w:val="7DEA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983</Words>
  <Characters>1008</Characters>
  <Lines>4</Lines>
  <Paragraphs>1</Paragraphs>
  <TotalTime>9</TotalTime>
  <ScaleCrop>false</ScaleCrop>
  <LinksUpToDate>false</LinksUpToDate>
  <CharactersWithSpaces>1016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2021-11-23T01:31:00Z</dcterms:created>
  <dc:creator>Windows User</dc:creator>
  <cp:lastModifiedBy>WPS_1455559589</cp:lastModifiedBy>
  <dcterms:modified xsi:type="dcterms:W3CDTF">2025-07-03T08:33:47Z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671827831ABA4692B6F9FCF122B263B1_13</vt:lpwstr>
  </property>
  <property fmtid="{D5CDD505-2E9C-101B-9397-08002B2CF9AE}" pid="4" name="KSOTemplateDocerSaveRecord">
    <vt:lpwstr>eyJoZGlkIjoiMTNjZWEyZTllMzYxZmQxZGZhZWZhZTVjMTBjMWQ5M2MiLCJ1c2VySWQiOiIxNDU1NTU5NTg5In0=</vt:lpwstr>
  </property>
</Properties>
</file>