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jc w:val="center"/>
        <w:rPr>
          <w:color w:val="000000" w:themeColor="text1"/>
          <w:sz w:val="44"/>
          <w:highlight w:val="none"/>
          <w14:textFill>
            <w14:solidFill>
              <w14:schemeClr w14:val="tx1"/>
            </w14:solidFill>
          </w14:textFill>
        </w:rPr>
      </w:pPr>
    </w:p>
    <w:p>
      <w:pPr>
        <w:ind w:firstLine="0" w:firstLineChars="0"/>
        <w:jc w:val="center"/>
        <w:rPr>
          <w:color w:val="000000" w:themeColor="text1"/>
          <w:sz w:val="44"/>
          <w:highlight w:val="none"/>
          <w14:textFill>
            <w14:solidFill>
              <w14:schemeClr w14:val="tx1"/>
            </w14:solidFill>
          </w14:textFill>
        </w:rPr>
      </w:pPr>
    </w:p>
    <w:p>
      <w:pPr>
        <w:tabs>
          <w:tab w:val="left" w:pos="3699"/>
        </w:tabs>
        <w:ind w:firstLine="0" w:firstLineChars="0"/>
        <w:jc w:val="left"/>
        <w:rPr>
          <w:rFonts w:hint="eastAsia" w:eastAsia="宋体"/>
          <w:color w:val="000000" w:themeColor="text1"/>
          <w:sz w:val="44"/>
          <w:highlight w:val="none"/>
          <w:lang w:eastAsia="zh-CN"/>
          <w14:textFill>
            <w14:solidFill>
              <w14:schemeClr w14:val="tx1"/>
            </w14:solidFill>
          </w14:textFill>
        </w:rPr>
      </w:pPr>
      <w:r>
        <w:rPr>
          <w:rFonts w:hint="eastAsia"/>
          <w:color w:val="000000" w:themeColor="text1"/>
          <w:sz w:val="44"/>
          <w:highlight w:val="none"/>
          <w:lang w:eastAsia="zh-CN"/>
          <w14:textFill>
            <w14:solidFill>
              <w14:schemeClr w14:val="tx1"/>
            </w14:solidFill>
          </w14:textFill>
        </w:rPr>
        <w:tab/>
      </w:r>
      <w:bookmarkStart w:id="82" w:name="_GoBack"/>
      <w:bookmarkEnd w:id="82"/>
    </w:p>
    <w:p>
      <w:pPr>
        <w:ind w:firstLine="0" w:firstLineChars="0"/>
        <w:jc w:val="center"/>
        <w:rPr>
          <w:b/>
          <w:color w:val="000000" w:themeColor="text1"/>
          <w:sz w:val="56"/>
          <w:highlight w:val="none"/>
          <w14:textFill>
            <w14:solidFill>
              <w14:schemeClr w14:val="tx1"/>
            </w14:solidFill>
          </w14:textFill>
        </w:rPr>
      </w:pPr>
    </w:p>
    <w:p>
      <w:pPr>
        <w:ind w:firstLine="0" w:firstLineChars="0"/>
        <w:jc w:val="center"/>
        <w:rPr>
          <w:rFonts w:hint="eastAsia"/>
          <w:b/>
          <w:color w:val="000000" w:themeColor="text1"/>
          <w:sz w:val="56"/>
          <w:highlight w:val="none"/>
          <w:lang w:eastAsia="zh-CN"/>
          <w14:textFill>
            <w14:solidFill>
              <w14:schemeClr w14:val="tx1"/>
            </w14:solidFill>
          </w14:textFill>
        </w:rPr>
      </w:pPr>
      <w:r>
        <w:rPr>
          <w:rFonts w:hint="eastAsia"/>
          <w:b/>
          <w:color w:val="000000" w:themeColor="text1"/>
          <w:sz w:val="56"/>
          <w:highlight w:val="none"/>
          <w:lang w:eastAsia="zh-CN"/>
          <w14:textFill>
            <w14:solidFill>
              <w14:schemeClr w14:val="tx1"/>
            </w14:solidFill>
          </w14:textFill>
        </w:rPr>
        <w:t>兴宁市畜禽养殖禁养区划分修订方案</w:t>
      </w:r>
    </w:p>
    <w:p>
      <w:pPr>
        <w:ind w:firstLine="0" w:firstLineChars="0"/>
        <w:jc w:val="center"/>
        <w:rPr>
          <w:rFonts w:hint="eastAsia"/>
          <w:b/>
          <w:color w:val="000000" w:themeColor="text1"/>
          <w:sz w:val="56"/>
          <w:highlight w:val="none"/>
          <w:lang w:eastAsia="zh-CN"/>
          <w14:textFill>
            <w14:solidFill>
              <w14:schemeClr w14:val="tx1"/>
            </w14:solidFill>
          </w14:textFill>
        </w:rPr>
      </w:pPr>
      <w:r>
        <w:rPr>
          <w:rFonts w:hint="eastAsia"/>
          <w:b/>
          <w:color w:val="000000" w:themeColor="text1"/>
          <w:sz w:val="56"/>
          <w:highlight w:val="none"/>
          <w:lang w:eastAsia="zh-CN"/>
          <w14:textFill>
            <w14:solidFill>
              <w14:schemeClr w14:val="tx1"/>
            </w14:solidFill>
          </w14:textFill>
        </w:rPr>
        <w:t>（试行）</w:t>
      </w:r>
    </w:p>
    <w:p>
      <w:pPr>
        <w:ind w:firstLine="0" w:firstLineChars="0"/>
        <w:jc w:val="center"/>
        <w:rPr>
          <w:b/>
          <w:color w:val="000000" w:themeColor="text1"/>
          <w:sz w:val="56"/>
          <w:highlight w:val="none"/>
          <w14:textFill>
            <w14:solidFill>
              <w14:schemeClr w14:val="tx1"/>
            </w14:solidFill>
          </w14:textFill>
        </w:rPr>
      </w:pPr>
      <w:r>
        <w:rPr>
          <w:rFonts w:hint="eastAsia"/>
          <w:b/>
          <w:color w:val="000000" w:themeColor="text1"/>
          <w:sz w:val="56"/>
          <w:highlight w:val="none"/>
          <w:lang w:val="en-US" w:eastAsia="zh-CN"/>
          <w14:textFill>
            <w14:solidFill>
              <w14:schemeClr w14:val="tx1"/>
            </w14:solidFill>
          </w14:textFill>
        </w:rPr>
        <w:t xml:space="preserve">  </w:t>
      </w:r>
      <w:r>
        <w:rPr>
          <w:rFonts w:hint="eastAsia"/>
          <w:b/>
          <w:color w:val="000000" w:themeColor="text1"/>
          <w:sz w:val="56"/>
          <w:highlight w:val="none"/>
          <w14:textFill>
            <w14:solidFill>
              <w14:schemeClr w14:val="tx1"/>
            </w14:solidFill>
          </w14:textFill>
        </w:rPr>
        <w:t xml:space="preserve"> </w:t>
      </w:r>
    </w:p>
    <w:p>
      <w:pPr>
        <w:ind w:firstLine="0" w:firstLineChars="0"/>
        <w:jc w:val="center"/>
        <w:rPr>
          <w:b/>
          <w:color w:val="000000" w:themeColor="text1"/>
          <w:sz w:val="56"/>
          <w:highlight w:val="none"/>
          <w14:textFill>
            <w14:solidFill>
              <w14:schemeClr w14:val="tx1"/>
            </w14:solidFill>
          </w14:textFill>
        </w:rPr>
      </w:pPr>
      <w:r>
        <w:rPr>
          <w:rFonts w:hint="eastAsia"/>
          <w:b/>
          <w:color w:val="000000" w:themeColor="text1"/>
          <w:sz w:val="21"/>
          <w:szCs w:val="21"/>
          <w:highlight w:val="none"/>
          <w:lang w:val="en-US" w:eastAsia="zh-CN"/>
          <w14:textFill>
            <w14:solidFill>
              <w14:schemeClr w14:val="tx1"/>
            </w14:solidFill>
          </w14:textFill>
        </w:rPr>
        <w:t xml:space="preserve"> </w:t>
      </w:r>
    </w:p>
    <w:p>
      <w:pPr>
        <w:ind w:firstLine="0" w:firstLineChars="0"/>
        <w:jc w:val="center"/>
        <w:rPr>
          <w:color w:val="000000" w:themeColor="text1"/>
          <w:sz w:val="44"/>
          <w:highlight w:val="none"/>
          <w14:textFill>
            <w14:solidFill>
              <w14:schemeClr w14:val="tx1"/>
            </w14:solidFill>
          </w14:textFill>
        </w:rPr>
      </w:pPr>
    </w:p>
    <w:p>
      <w:pPr>
        <w:ind w:firstLine="420" w:firstLineChars="0"/>
        <w:jc w:val="center"/>
        <w:rPr>
          <w:color w:val="000000" w:themeColor="text1"/>
          <w:sz w:val="44"/>
          <w:highlight w:val="none"/>
          <w14:textFill>
            <w14:solidFill>
              <w14:schemeClr w14:val="tx1"/>
            </w14:solidFill>
          </w14:textFill>
        </w:rPr>
      </w:pPr>
    </w:p>
    <w:p>
      <w:pPr>
        <w:ind w:firstLine="0" w:firstLineChars="0"/>
        <w:jc w:val="center"/>
        <w:rPr>
          <w:color w:val="000000" w:themeColor="text1"/>
          <w:sz w:val="44"/>
          <w:highlight w:val="none"/>
          <w14:textFill>
            <w14:solidFill>
              <w14:schemeClr w14:val="tx1"/>
            </w14:solidFill>
          </w14:textFill>
        </w:rPr>
      </w:pPr>
    </w:p>
    <w:p>
      <w:pPr>
        <w:ind w:firstLine="0" w:firstLineChars="0"/>
        <w:jc w:val="center"/>
        <w:rPr>
          <w:color w:val="000000" w:themeColor="text1"/>
          <w:sz w:val="44"/>
          <w:highlight w:val="none"/>
          <w14:textFill>
            <w14:solidFill>
              <w14:schemeClr w14:val="tx1"/>
            </w14:solidFill>
          </w14:textFill>
        </w:rPr>
      </w:pPr>
    </w:p>
    <w:p>
      <w:pPr>
        <w:ind w:firstLine="0" w:firstLineChars="0"/>
        <w:jc w:val="center"/>
        <w:rPr>
          <w:color w:val="000000" w:themeColor="text1"/>
          <w:sz w:val="44"/>
          <w:highlight w:val="none"/>
          <w14:textFill>
            <w14:solidFill>
              <w14:schemeClr w14:val="tx1"/>
            </w14:solidFill>
          </w14:textFill>
        </w:rPr>
      </w:pPr>
    </w:p>
    <w:p>
      <w:pPr>
        <w:ind w:firstLine="0" w:firstLineChars="0"/>
        <w:jc w:val="center"/>
        <w:rPr>
          <w:color w:val="000000" w:themeColor="text1"/>
          <w:sz w:val="44"/>
          <w:highlight w:val="none"/>
          <w14:textFill>
            <w14:solidFill>
              <w14:schemeClr w14:val="tx1"/>
            </w14:solidFill>
          </w14:textFill>
        </w:rPr>
      </w:pPr>
    </w:p>
    <w:p>
      <w:pPr>
        <w:ind w:firstLine="0" w:firstLineChars="0"/>
        <w:jc w:val="center"/>
        <w:rPr>
          <w:color w:val="000000" w:themeColor="text1"/>
          <w:sz w:val="44"/>
          <w:highlight w:val="none"/>
          <w14:textFill>
            <w14:solidFill>
              <w14:schemeClr w14:val="tx1"/>
            </w14:solidFill>
          </w14:textFill>
        </w:rPr>
      </w:pPr>
    </w:p>
    <w:p>
      <w:pPr>
        <w:ind w:firstLine="0" w:firstLineChars="0"/>
        <w:jc w:val="center"/>
        <w:rPr>
          <w:color w:val="000000" w:themeColor="text1"/>
          <w:sz w:val="44"/>
          <w:highlight w:val="none"/>
          <w14:textFill>
            <w14:solidFill>
              <w14:schemeClr w14:val="tx1"/>
            </w14:solidFill>
          </w14:textFill>
        </w:rPr>
      </w:pPr>
    </w:p>
    <w:p>
      <w:pPr>
        <w:ind w:firstLine="0" w:firstLineChars="0"/>
        <w:jc w:val="center"/>
        <w:rPr>
          <w:rFonts w:hint="eastAsia" w:eastAsia="宋体"/>
          <w:color w:val="000000" w:themeColor="text1"/>
          <w:sz w:val="40"/>
          <w:highlight w:val="none"/>
          <w:lang w:eastAsia="zh-CN"/>
          <w14:textFill>
            <w14:solidFill>
              <w14:schemeClr w14:val="tx1"/>
            </w14:solidFill>
          </w14:textFill>
        </w:rPr>
      </w:pPr>
      <w:r>
        <w:rPr>
          <w:rFonts w:hint="eastAsia"/>
          <w:color w:val="000000" w:themeColor="text1"/>
          <w:sz w:val="40"/>
          <w:highlight w:val="none"/>
          <w:lang w:eastAsia="zh-CN"/>
          <w14:textFill>
            <w14:solidFill>
              <w14:schemeClr w14:val="tx1"/>
            </w14:solidFill>
          </w14:textFill>
        </w:rPr>
        <w:t>兴宁市人民政府办公室</w:t>
      </w:r>
    </w:p>
    <w:p>
      <w:pPr>
        <w:keepNext w:val="0"/>
        <w:keepLines w:val="0"/>
        <w:pageBreakBefore w:val="0"/>
        <w:widowControl/>
        <w:kinsoku/>
        <w:wordWrap/>
        <w:overflowPunct/>
        <w:topLinePunct w:val="0"/>
        <w:autoSpaceDE/>
        <w:autoSpaceDN/>
        <w:bidi w:val="0"/>
        <w:adjustRightInd/>
        <w:snapToGrid/>
        <w:spacing w:before="313" w:beforeLines="100"/>
        <w:ind w:firstLine="0" w:firstLineChars="0"/>
        <w:jc w:val="center"/>
        <w:textAlignment w:val="auto"/>
        <w:rPr>
          <w:color w:val="000000" w:themeColor="text1"/>
          <w:sz w:val="40"/>
          <w:highlight w:val="none"/>
          <w14:textFill>
            <w14:solidFill>
              <w14:schemeClr w14:val="tx1"/>
            </w14:solidFill>
          </w14:textFill>
        </w:rPr>
        <w:sectPr>
          <w:headerReference r:id="rId5" w:type="first"/>
          <w:footerReference r:id="rId8" w:type="first"/>
          <w:headerReference r:id="rId3" w:type="default"/>
          <w:footerReference r:id="rId6" w:type="default"/>
          <w:headerReference r:id="rId4" w:type="even"/>
          <w:footerReference r:id="rId7" w:type="even"/>
          <w:pgSz w:w="11906" w:h="16838"/>
          <w:pgMar w:top="1418" w:right="1418" w:bottom="1418" w:left="1418" w:header="851" w:footer="992" w:gutter="0"/>
          <w:cols w:space="425" w:num="1"/>
          <w:docGrid w:type="lines" w:linePitch="312" w:charSpace="0"/>
        </w:sectPr>
      </w:pPr>
      <w:r>
        <w:rPr>
          <w:rFonts w:hint="eastAsia"/>
          <w:color w:val="000000" w:themeColor="text1"/>
          <w:sz w:val="40"/>
          <w:highlight w:val="none"/>
          <w14:textFill>
            <w14:solidFill>
              <w14:schemeClr w14:val="tx1"/>
            </w14:solidFill>
          </w14:textFill>
        </w:rPr>
        <w:t>二零</w:t>
      </w:r>
      <w:r>
        <w:rPr>
          <w:rFonts w:hint="eastAsia"/>
          <w:color w:val="000000" w:themeColor="text1"/>
          <w:sz w:val="40"/>
          <w:highlight w:val="none"/>
          <w:lang w:eastAsia="zh-CN"/>
          <w14:textFill>
            <w14:solidFill>
              <w14:schemeClr w14:val="tx1"/>
            </w14:solidFill>
          </w14:textFill>
        </w:rPr>
        <w:t>二零</w:t>
      </w:r>
      <w:r>
        <w:rPr>
          <w:rFonts w:hint="eastAsia"/>
          <w:color w:val="000000" w:themeColor="text1"/>
          <w:sz w:val="40"/>
          <w:highlight w:val="none"/>
          <w14:textFill>
            <w14:solidFill>
              <w14:schemeClr w14:val="tx1"/>
            </w14:solidFill>
          </w14:textFill>
        </w:rPr>
        <w:t>年</w:t>
      </w:r>
      <w:r>
        <w:rPr>
          <w:rFonts w:hint="eastAsia"/>
          <w:color w:val="000000" w:themeColor="text1"/>
          <w:sz w:val="40"/>
          <w:highlight w:val="none"/>
          <w:lang w:eastAsia="zh-CN"/>
          <w14:textFill>
            <w14:solidFill>
              <w14:schemeClr w14:val="tx1"/>
            </w14:solidFill>
          </w14:textFill>
        </w:rPr>
        <w:t>二</w:t>
      </w:r>
      <w:r>
        <w:rPr>
          <w:rFonts w:hint="eastAsia"/>
          <w:color w:val="000000" w:themeColor="text1"/>
          <w:sz w:val="40"/>
          <w:highlight w:val="none"/>
          <w14:textFill>
            <w14:solidFill>
              <w14:schemeClr w14:val="tx1"/>
            </w14:solidFill>
          </w14:textFill>
        </w:rPr>
        <w:t>月</w:t>
      </w:r>
    </w:p>
    <w:p>
      <w:pPr>
        <w:ind w:firstLine="0" w:firstLineChars="0"/>
        <w:jc w:val="center"/>
        <w:rPr>
          <w:color w:val="000000" w:themeColor="text1"/>
          <w:sz w:val="40"/>
          <w:highlight w:val="none"/>
          <w14:textFill>
            <w14:solidFill>
              <w14:schemeClr w14:val="tx1"/>
            </w14:solidFill>
          </w14:textFill>
        </w:rPr>
      </w:pPr>
      <w:r>
        <w:rPr>
          <w:rFonts w:hint="eastAsia"/>
          <w:color w:val="000000" w:themeColor="text1"/>
          <w:sz w:val="40"/>
          <w:highlight w:val="none"/>
          <w14:textFill>
            <w14:solidFill>
              <w14:schemeClr w14:val="tx1"/>
            </w14:solidFill>
          </w14:textFill>
        </w:rPr>
        <w:t>目录</w:t>
      </w:r>
    </w:p>
    <w:p>
      <w:pPr>
        <w:pStyle w:val="23"/>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TOC \o "1-2" \h \z \u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_Toc11479 </w:instrText>
      </w:r>
      <w:r>
        <w:rPr>
          <w:color w:val="000000" w:themeColor="text1"/>
          <w:highlight w:val="none"/>
          <w14:textFill>
            <w14:solidFill>
              <w14:schemeClr w14:val="tx1"/>
            </w14:solidFill>
          </w14:textFill>
        </w:rPr>
        <w:fldChar w:fldCharType="separate"/>
      </w:r>
      <w:r>
        <w:rPr>
          <w:rFonts w:hint="default"/>
          <w:color w:val="000000" w:themeColor="text1"/>
          <w14:textFill>
            <w14:solidFill>
              <w14:schemeClr w14:val="tx1"/>
            </w14:solidFill>
          </w14:textFill>
        </w:rPr>
        <w:t xml:space="preserve">1 </w:t>
      </w:r>
      <w:r>
        <w:rPr>
          <w:rFonts w:hint="eastAsia"/>
          <w:color w:val="000000" w:themeColor="text1"/>
          <w:highlight w:val="none"/>
          <w14:textFill>
            <w14:solidFill>
              <w14:schemeClr w14:val="tx1"/>
            </w14:solidFill>
          </w14:textFill>
        </w:rPr>
        <w:t>指导思想</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_Toc11479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3"/>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_Toc5450 </w:instrText>
      </w:r>
      <w:r>
        <w:rPr>
          <w:color w:val="000000" w:themeColor="text1"/>
          <w:highlight w:val="none"/>
          <w14:textFill>
            <w14:solidFill>
              <w14:schemeClr w14:val="tx1"/>
            </w14:solidFill>
          </w14:textFill>
        </w:rPr>
        <w:fldChar w:fldCharType="separate"/>
      </w:r>
      <w:r>
        <w:rPr>
          <w:rFonts w:hint="default"/>
          <w:color w:val="000000" w:themeColor="text1"/>
          <w14:textFill>
            <w14:solidFill>
              <w14:schemeClr w14:val="tx1"/>
            </w14:solidFill>
          </w14:textFill>
        </w:rPr>
        <w:t xml:space="preserve">2 </w:t>
      </w:r>
      <w:r>
        <w:rPr>
          <w:rFonts w:hint="eastAsia"/>
          <w:color w:val="000000" w:themeColor="text1"/>
          <w:highlight w:val="none"/>
          <w14:textFill>
            <w14:solidFill>
              <w14:schemeClr w14:val="tx1"/>
            </w14:solidFill>
          </w14:textFill>
        </w:rPr>
        <w:t>划分原则与要求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_Toc5450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_Toc13260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2.1 </w:t>
      </w:r>
      <w:r>
        <w:rPr>
          <w:rFonts w:hint="eastAsia"/>
          <w:color w:val="000000" w:themeColor="text1"/>
          <w:highlight w:val="none"/>
          <w14:textFill>
            <w14:solidFill>
              <w14:schemeClr w14:val="tx1"/>
            </w14:solidFill>
          </w14:textFill>
        </w:rPr>
        <w:t>划分原则</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_Toc13260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_Toc23207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2.2 </w:t>
      </w:r>
      <w:r>
        <w:rPr>
          <w:rFonts w:hint="eastAsia"/>
          <w:color w:val="000000" w:themeColor="text1"/>
          <w:highlight w:val="none"/>
          <w14:textFill>
            <w14:solidFill>
              <w14:schemeClr w14:val="tx1"/>
            </w14:solidFill>
          </w14:textFill>
        </w:rPr>
        <w:t>基本要求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_Toc23207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3"/>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_Toc287 </w:instrText>
      </w:r>
      <w:r>
        <w:rPr>
          <w:color w:val="000000" w:themeColor="text1"/>
          <w:highlight w:val="none"/>
          <w14:textFill>
            <w14:solidFill>
              <w14:schemeClr w14:val="tx1"/>
            </w14:solidFill>
          </w14:textFill>
        </w:rPr>
        <w:fldChar w:fldCharType="separate"/>
      </w:r>
      <w:r>
        <w:rPr>
          <w:rFonts w:hint="default"/>
          <w:color w:val="000000" w:themeColor="text1"/>
          <w14:textFill>
            <w14:solidFill>
              <w14:schemeClr w14:val="tx1"/>
            </w14:solidFill>
          </w14:textFill>
        </w:rPr>
        <w:t xml:space="preserve">3 </w:t>
      </w:r>
      <w:r>
        <w:rPr>
          <w:rFonts w:hint="eastAsia"/>
          <w:color w:val="000000" w:themeColor="text1"/>
          <w:highlight w:val="none"/>
          <w14:textFill>
            <w14:solidFill>
              <w14:schemeClr w14:val="tx1"/>
            </w14:solidFill>
          </w14:textFill>
        </w:rPr>
        <w:t>本方案中有关用语的含义</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_Toc287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6</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3"/>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_Toc5648 </w:instrText>
      </w:r>
      <w:r>
        <w:rPr>
          <w:color w:val="000000" w:themeColor="text1"/>
          <w:highlight w:val="none"/>
          <w14:textFill>
            <w14:solidFill>
              <w14:schemeClr w14:val="tx1"/>
            </w14:solidFill>
          </w14:textFill>
        </w:rPr>
        <w:fldChar w:fldCharType="separate"/>
      </w:r>
      <w:r>
        <w:rPr>
          <w:rFonts w:hint="default"/>
          <w:color w:val="000000" w:themeColor="text1"/>
          <w14:textFill>
            <w14:solidFill>
              <w14:schemeClr w14:val="tx1"/>
            </w14:solidFill>
          </w14:textFill>
        </w:rPr>
        <w:t xml:space="preserve">4 </w:t>
      </w:r>
      <w:r>
        <w:rPr>
          <w:rFonts w:hint="eastAsia"/>
          <w:color w:val="000000" w:themeColor="text1"/>
          <w:highlight w:val="none"/>
          <w:lang w:eastAsia="zh-CN"/>
          <w14:textFill>
            <w14:solidFill>
              <w14:schemeClr w14:val="tx1"/>
            </w14:solidFill>
          </w14:textFill>
        </w:rPr>
        <w:t>编制</w:t>
      </w:r>
      <w:r>
        <w:rPr>
          <w:rFonts w:hint="eastAsia"/>
          <w:color w:val="000000" w:themeColor="text1"/>
          <w:highlight w:val="none"/>
          <w14:textFill>
            <w14:solidFill>
              <w14:schemeClr w14:val="tx1"/>
            </w14:solidFill>
          </w14:textFill>
        </w:rPr>
        <w:t>依据</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_Toc5648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7</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3"/>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_Toc29153 </w:instrText>
      </w:r>
      <w:r>
        <w:rPr>
          <w:color w:val="000000" w:themeColor="text1"/>
          <w:highlight w:val="none"/>
          <w14:textFill>
            <w14:solidFill>
              <w14:schemeClr w14:val="tx1"/>
            </w14:solidFill>
          </w14:textFill>
        </w:rPr>
        <w:fldChar w:fldCharType="separate"/>
      </w:r>
      <w:r>
        <w:rPr>
          <w:rFonts w:hint="default"/>
          <w:color w:val="000000" w:themeColor="text1"/>
          <w14:textFill>
            <w14:solidFill>
              <w14:schemeClr w14:val="tx1"/>
            </w14:solidFill>
          </w14:textFill>
        </w:rPr>
        <w:t xml:space="preserve">5 </w:t>
      </w:r>
      <w:r>
        <w:rPr>
          <w:rFonts w:hint="eastAsia"/>
          <w:color w:val="000000" w:themeColor="text1"/>
          <w:highlight w:val="none"/>
          <w14:textFill>
            <w14:solidFill>
              <w14:schemeClr w14:val="tx1"/>
            </w14:solidFill>
          </w14:textFill>
        </w:rPr>
        <w:t>划分的法律法规依据</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_Toc29153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8</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3"/>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_Toc13168 </w:instrText>
      </w:r>
      <w:r>
        <w:rPr>
          <w:color w:val="000000" w:themeColor="text1"/>
          <w:highlight w:val="none"/>
          <w14:textFill>
            <w14:solidFill>
              <w14:schemeClr w14:val="tx1"/>
            </w14:solidFill>
          </w14:textFill>
        </w:rPr>
        <w:fldChar w:fldCharType="separate"/>
      </w:r>
      <w:r>
        <w:rPr>
          <w:rFonts w:hint="default"/>
          <w:color w:val="000000" w:themeColor="text1"/>
          <w14:textFill>
            <w14:solidFill>
              <w14:schemeClr w14:val="tx1"/>
            </w14:solidFill>
          </w14:textFill>
        </w:rPr>
        <w:t xml:space="preserve">6 </w:t>
      </w:r>
      <w:r>
        <w:rPr>
          <w:rFonts w:hint="eastAsia"/>
          <w:color w:val="000000" w:themeColor="text1"/>
          <w:highlight w:val="none"/>
          <w14:textFill>
            <w14:solidFill>
              <w14:schemeClr w14:val="tx1"/>
            </w14:solidFill>
          </w14:textFill>
        </w:rPr>
        <w:t>区域概况</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_Toc13168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10</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_Toc16621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6.1 </w:t>
      </w:r>
      <w:r>
        <w:rPr>
          <w:rFonts w:hint="eastAsia"/>
          <w:color w:val="000000" w:themeColor="text1"/>
          <w:highlight w:val="none"/>
          <w14:textFill>
            <w14:solidFill>
              <w14:schemeClr w14:val="tx1"/>
            </w14:solidFill>
          </w14:textFill>
        </w:rPr>
        <w:t>自然环境与资源</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_Toc16621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10</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_Toc28268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6.2 </w:t>
      </w:r>
      <w:r>
        <w:rPr>
          <w:rFonts w:hint="eastAsia"/>
          <w:color w:val="000000" w:themeColor="text1"/>
          <w:highlight w:val="none"/>
          <w14:textFill>
            <w14:solidFill>
              <w14:schemeClr w14:val="tx1"/>
            </w14:solidFill>
          </w14:textFill>
        </w:rPr>
        <w:t>经济社会概况</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_Toc28268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11</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_Toc16059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6.3 </w:t>
      </w:r>
      <w:r>
        <w:rPr>
          <w:color w:val="000000" w:themeColor="text1"/>
          <w:highlight w:val="none"/>
          <w14:textFill>
            <w14:solidFill>
              <w14:schemeClr w14:val="tx1"/>
            </w14:solidFill>
          </w14:textFill>
        </w:rPr>
        <w:t>生态环境保护状况</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_Toc16059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14</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_Toc29533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6.4 </w:t>
      </w:r>
      <w:r>
        <w:rPr>
          <w:rFonts w:hint="eastAsia"/>
          <w:color w:val="000000" w:themeColor="text1"/>
          <w:highlight w:val="none"/>
          <w14:textFill>
            <w14:solidFill>
              <w14:schemeClr w14:val="tx1"/>
            </w14:solidFill>
          </w14:textFill>
        </w:rPr>
        <w:t>主要生态问题</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_Toc29533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24</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3"/>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_Toc5371 </w:instrText>
      </w:r>
      <w:r>
        <w:rPr>
          <w:color w:val="000000" w:themeColor="text1"/>
          <w:highlight w:val="none"/>
          <w14:textFill>
            <w14:solidFill>
              <w14:schemeClr w14:val="tx1"/>
            </w14:solidFill>
          </w14:textFill>
        </w:rPr>
        <w:fldChar w:fldCharType="separate"/>
      </w:r>
      <w:r>
        <w:rPr>
          <w:rFonts w:hint="default"/>
          <w:color w:val="000000" w:themeColor="text1"/>
          <w14:textFill>
            <w14:solidFill>
              <w14:schemeClr w14:val="tx1"/>
            </w14:solidFill>
          </w14:textFill>
        </w:rPr>
        <w:t xml:space="preserve">7 </w:t>
      </w:r>
      <w:r>
        <w:rPr>
          <w:rFonts w:hint="eastAsia"/>
          <w:color w:val="000000" w:themeColor="text1"/>
          <w:highlight w:val="none"/>
          <w14:textFill>
            <w14:solidFill>
              <w14:schemeClr w14:val="tx1"/>
            </w14:solidFill>
          </w14:textFill>
        </w:rPr>
        <w:t>划分类型</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_Toc5371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26</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3"/>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_Toc8451 </w:instrText>
      </w:r>
      <w:r>
        <w:rPr>
          <w:color w:val="000000" w:themeColor="text1"/>
          <w:highlight w:val="none"/>
          <w14:textFill>
            <w14:solidFill>
              <w14:schemeClr w14:val="tx1"/>
            </w14:solidFill>
          </w14:textFill>
        </w:rPr>
        <w:fldChar w:fldCharType="separate"/>
      </w:r>
      <w:r>
        <w:rPr>
          <w:rFonts w:hint="default"/>
          <w:color w:val="000000" w:themeColor="text1"/>
          <w14:textFill>
            <w14:solidFill>
              <w14:schemeClr w14:val="tx1"/>
            </w14:solidFill>
          </w14:textFill>
        </w:rPr>
        <w:t xml:space="preserve">8 </w:t>
      </w:r>
      <w:r>
        <w:rPr>
          <w:rFonts w:hint="eastAsia"/>
          <w:color w:val="000000" w:themeColor="text1"/>
          <w:highlight w:val="none"/>
          <w14:textFill>
            <w14:solidFill>
              <w14:schemeClr w14:val="tx1"/>
            </w14:solidFill>
          </w14:textFill>
        </w:rPr>
        <w:t>工作流程</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_Toc8451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27</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_Toc23544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8.1 </w:t>
      </w:r>
      <w:r>
        <w:rPr>
          <w:rFonts w:hint="eastAsia"/>
          <w:color w:val="000000" w:themeColor="text1"/>
          <w:highlight w:val="none"/>
          <w14:textFill>
            <w14:solidFill>
              <w14:schemeClr w14:val="tx1"/>
            </w14:solidFill>
          </w14:textFill>
        </w:rPr>
        <w:t>摸清</w:t>
      </w:r>
      <w:r>
        <w:rPr>
          <w:rFonts w:hint="eastAsia" w:ascii="宋体" w:hAnsi="宋体" w:cs="宋体"/>
          <w:color w:val="000000" w:themeColor="text1"/>
          <w:highlight w:val="none"/>
          <w14:textFill>
            <w14:solidFill>
              <w14:schemeClr w14:val="tx1"/>
            </w14:solidFill>
          </w14:textFill>
        </w:rPr>
        <w:t>底</w:t>
      </w:r>
      <w:r>
        <w:rPr>
          <w:rFonts w:hint="eastAsia" w:ascii="Z@R2FE.tmp" w:hAnsi="Z@R2FE.tmp" w:eastAsia="Z@R2FE.tmp" w:cs="Z@R2FE.tmp"/>
          <w:color w:val="000000" w:themeColor="text1"/>
          <w:highlight w:val="none"/>
          <w14:textFill>
            <w14:solidFill>
              <w14:schemeClr w14:val="tx1"/>
            </w14:solidFill>
          </w14:textFill>
        </w:rPr>
        <w:t>数</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_Toc23544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27</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_Toc14557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8.2 </w:t>
      </w:r>
      <w:r>
        <w:rPr>
          <w:rFonts w:hint="eastAsia"/>
          <w:color w:val="000000" w:themeColor="text1"/>
          <w:highlight w:val="none"/>
          <w14:textFill>
            <w14:solidFill>
              <w14:schemeClr w14:val="tx1"/>
            </w14:solidFill>
          </w14:textFill>
        </w:rPr>
        <w:t>核定边界</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_Toc14557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27</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_Toc14349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8.3 </w:t>
      </w:r>
      <w:r>
        <w:rPr>
          <w:rFonts w:hint="eastAsia"/>
          <w:color w:val="000000" w:themeColor="text1"/>
          <w:highlight w:val="none"/>
          <w14:textFill>
            <w14:solidFill>
              <w14:schemeClr w14:val="tx1"/>
            </w14:solidFill>
          </w14:textFill>
        </w:rPr>
        <w:t>征求意见</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_Toc14349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27</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_Toc31573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8.4 </w:t>
      </w:r>
      <w:r>
        <w:rPr>
          <w:rFonts w:hint="eastAsia"/>
          <w:color w:val="000000" w:themeColor="text1"/>
          <w:highlight w:val="none"/>
          <w14:textFill>
            <w14:solidFill>
              <w14:schemeClr w14:val="tx1"/>
            </w14:solidFill>
          </w14:textFill>
        </w:rPr>
        <w:t>报批公布</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_Toc31573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27</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_Toc10154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8.5 </w:t>
      </w:r>
      <w:r>
        <w:rPr>
          <w:rFonts w:hint="eastAsia"/>
          <w:color w:val="000000" w:themeColor="text1"/>
          <w:highlight w:val="none"/>
          <w14:textFill>
            <w14:solidFill>
              <w14:schemeClr w14:val="tx1"/>
            </w14:solidFill>
          </w14:textFill>
        </w:rPr>
        <w:t>其他</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_Toc10154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27</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3"/>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_Toc22036 </w:instrText>
      </w:r>
      <w:r>
        <w:rPr>
          <w:color w:val="000000" w:themeColor="text1"/>
          <w:highlight w:val="none"/>
          <w14:textFill>
            <w14:solidFill>
              <w14:schemeClr w14:val="tx1"/>
            </w14:solidFill>
          </w14:textFill>
        </w:rPr>
        <w:fldChar w:fldCharType="separate"/>
      </w:r>
      <w:r>
        <w:rPr>
          <w:rFonts w:hint="default"/>
          <w:color w:val="000000" w:themeColor="text1"/>
          <w14:textFill>
            <w14:solidFill>
              <w14:schemeClr w14:val="tx1"/>
            </w14:solidFill>
          </w14:textFill>
        </w:rPr>
        <w:t xml:space="preserve">9 </w:t>
      </w:r>
      <w:r>
        <w:rPr>
          <w:rFonts w:hint="eastAsia"/>
          <w:color w:val="000000" w:themeColor="text1"/>
          <w:highlight w:val="none"/>
          <w14:textFill>
            <w14:solidFill>
              <w14:schemeClr w14:val="tx1"/>
            </w14:solidFill>
          </w14:textFill>
        </w:rPr>
        <w:t>划分范围</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_Toc22036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30</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_Toc11977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9.1 </w:t>
      </w:r>
      <w:r>
        <w:rPr>
          <w:rFonts w:hint="eastAsia"/>
          <w:color w:val="000000" w:themeColor="text1"/>
          <w:highlight w:val="none"/>
          <w14:textFill>
            <w14:solidFill>
              <w14:schemeClr w14:val="tx1"/>
            </w14:solidFill>
          </w14:textFill>
        </w:rPr>
        <w:t>禁止养殖区</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_Toc11977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30</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3"/>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_Toc15937 </w:instrText>
      </w:r>
      <w:r>
        <w:rPr>
          <w:color w:val="000000" w:themeColor="text1"/>
          <w:highlight w:val="none"/>
          <w14:textFill>
            <w14:solidFill>
              <w14:schemeClr w14:val="tx1"/>
            </w14:solidFill>
          </w14:textFill>
        </w:rPr>
        <w:fldChar w:fldCharType="separate"/>
      </w:r>
      <w:r>
        <w:rPr>
          <w:rFonts w:hint="default"/>
          <w:color w:val="000000" w:themeColor="text1"/>
          <w14:textFill>
            <w14:solidFill>
              <w14:schemeClr w14:val="tx1"/>
            </w14:solidFill>
          </w14:textFill>
        </w:rPr>
        <w:t xml:space="preserve">10 </w:t>
      </w:r>
      <w:r>
        <w:rPr>
          <w:rFonts w:hint="eastAsia"/>
          <w:color w:val="000000" w:themeColor="text1"/>
          <w:highlight w:val="none"/>
          <w14:textFill>
            <w14:solidFill>
              <w14:schemeClr w14:val="tx1"/>
            </w14:solidFill>
          </w14:textFill>
        </w:rPr>
        <w:t>划分合理性分析</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_Toc15937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36</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_Toc12992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10.1 </w:t>
      </w:r>
      <w:r>
        <w:rPr>
          <w:rFonts w:hint="eastAsia"/>
          <w:color w:val="000000" w:themeColor="text1"/>
          <w:highlight w:val="none"/>
          <w14:textFill>
            <w14:solidFill>
              <w14:schemeClr w14:val="tx1"/>
            </w14:solidFill>
          </w14:textFill>
        </w:rPr>
        <w:t>与主体功能区规划协调性分析</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_Toc12992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36</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_Toc23933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10.2 </w:t>
      </w:r>
      <w:r>
        <w:rPr>
          <w:rFonts w:hint="eastAsia"/>
          <w:color w:val="000000" w:themeColor="text1"/>
          <w:highlight w:val="none"/>
          <w14:textFill>
            <w14:solidFill>
              <w14:schemeClr w14:val="tx1"/>
            </w14:solidFill>
          </w14:textFill>
        </w:rPr>
        <w:t>与生态功能区规划协调性分析</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_Toc23933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36</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_Toc12745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10.3 </w:t>
      </w:r>
      <w:r>
        <w:rPr>
          <w:color w:val="000000" w:themeColor="text1"/>
          <w:highlight w:val="none"/>
          <w14:textFill>
            <w14:solidFill>
              <w14:schemeClr w14:val="tx1"/>
            </w14:solidFill>
          </w14:textFill>
        </w:rPr>
        <w:t>与土地利用规划协调性分析</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_Toc12745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37</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_Toc12235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10.4 </w:t>
      </w:r>
      <w:r>
        <w:rPr>
          <w:color w:val="000000" w:themeColor="text1"/>
          <w:highlight w:val="none"/>
          <w14:textFill>
            <w14:solidFill>
              <w14:schemeClr w14:val="tx1"/>
            </w14:solidFill>
          </w14:textFill>
        </w:rPr>
        <w:t>与</w:t>
      </w:r>
      <w:r>
        <w:rPr>
          <w:rFonts w:hint="eastAsia"/>
          <w:color w:val="000000" w:themeColor="text1"/>
          <w:highlight w:val="none"/>
          <w14:textFill>
            <w14:solidFill>
              <w14:schemeClr w14:val="tx1"/>
            </w14:solidFill>
          </w14:textFill>
        </w:rPr>
        <w:t>城市总体</w:t>
      </w:r>
      <w:r>
        <w:rPr>
          <w:color w:val="000000" w:themeColor="text1"/>
          <w:highlight w:val="none"/>
          <w14:textFill>
            <w14:solidFill>
              <w14:schemeClr w14:val="tx1"/>
            </w14:solidFill>
          </w14:textFill>
        </w:rPr>
        <w:t>规划协调性分析</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_Toc12235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38</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_Toc7106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10.5 </w:t>
      </w:r>
      <w:r>
        <w:rPr>
          <w:color w:val="000000" w:themeColor="text1"/>
          <w:highlight w:val="none"/>
          <w14:textFill>
            <w14:solidFill>
              <w14:schemeClr w14:val="tx1"/>
            </w14:solidFill>
          </w14:textFill>
        </w:rPr>
        <w:t>与</w:t>
      </w:r>
      <w:r>
        <w:rPr>
          <w:rFonts w:hint="eastAsia"/>
          <w:color w:val="000000" w:themeColor="text1"/>
          <w:highlight w:val="none"/>
          <w14:textFill>
            <w14:solidFill>
              <w14:schemeClr w14:val="tx1"/>
            </w14:solidFill>
          </w14:textFill>
        </w:rPr>
        <w:t>林地保护</w:t>
      </w:r>
      <w:r>
        <w:rPr>
          <w:color w:val="000000" w:themeColor="text1"/>
          <w:highlight w:val="none"/>
          <w14:textFill>
            <w14:solidFill>
              <w14:schemeClr w14:val="tx1"/>
            </w14:solidFill>
          </w14:textFill>
        </w:rPr>
        <w:t>规划协调性分析</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_Toc7106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38</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7"/>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_Toc25044 </w:instrText>
      </w:r>
      <w:r>
        <w:rPr>
          <w:color w:val="000000" w:themeColor="text1"/>
          <w:highlight w:val="none"/>
          <w14:textFill>
            <w14:solidFill>
              <w14:schemeClr w14:val="tx1"/>
            </w14:solidFill>
          </w14:textFill>
        </w:rPr>
        <w:fldChar w:fldCharType="separate"/>
      </w:r>
      <w:r>
        <w:rPr>
          <w:color w:val="000000" w:themeColor="text1"/>
          <w14:textFill>
            <w14:solidFill>
              <w14:schemeClr w14:val="tx1"/>
            </w14:solidFill>
          </w14:textFill>
        </w:rPr>
        <w:t xml:space="preserve">10.6 </w:t>
      </w:r>
      <w:r>
        <w:rPr>
          <w:color w:val="000000" w:themeColor="text1"/>
          <w:highlight w:val="none"/>
          <w14:textFill>
            <w14:solidFill>
              <w14:schemeClr w14:val="tx1"/>
            </w14:solidFill>
          </w14:textFill>
        </w:rPr>
        <w:t>与</w:t>
      </w:r>
      <w:r>
        <w:rPr>
          <w:rFonts w:hint="eastAsia"/>
          <w:color w:val="000000" w:themeColor="text1"/>
          <w:highlight w:val="none"/>
          <w14:textFill>
            <w14:solidFill>
              <w14:schemeClr w14:val="tx1"/>
            </w14:solidFill>
          </w14:textFill>
        </w:rPr>
        <w:t>经济社会发展</w:t>
      </w:r>
      <w:r>
        <w:rPr>
          <w:color w:val="000000" w:themeColor="text1"/>
          <w:highlight w:val="none"/>
          <w14:textFill>
            <w14:solidFill>
              <w14:schemeClr w14:val="tx1"/>
            </w14:solidFill>
          </w14:textFill>
        </w:rPr>
        <w:t>规划协调性分析</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_Toc25044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39</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3"/>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_Toc32239 </w:instrText>
      </w:r>
      <w:r>
        <w:rPr>
          <w:color w:val="000000" w:themeColor="text1"/>
          <w:highlight w:val="none"/>
          <w14:textFill>
            <w14:solidFill>
              <w14:schemeClr w14:val="tx1"/>
            </w14:solidFill>
          </w14:textFill>
        </w:rPr>
        <w:fldChar w:fldCharType="separate"/>
      </w:r>
      <w:r>
        <w:rPr>
          <w:rFonts w:hint="default"/>
          <w:color w:val="000000" w:themeColor="text1"/>
          <w14:textFill>
            <w14:solidFill>
              <w14:schemeClr w14:val="tx1"/>
            </w14:solidFill>
          </w14:textFill>
        </w:rPr>
        <w:t xml:space="preserve">11 </w:t>
      </w:r>
      <w:r>
        <w:rPr>
          <w:rFonts w:hint="eastAsia"/>
          <w:color w:val="000000" w:themeColor="text1"/>
          <w:highlight w:val="none"/>
          <w14:textFill>
            <w14:solidFill>
              <w14:schemeClr w14:val="tx1"/>
            </w14:solidFill>
          </w14:textFill>
        </w:rPr>
        <w:t>管理要求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_Toc32239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40</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3"/>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_Toc31262 </w:instrText>
      </w:r>
      <w:r>
        <w:rPr>
          <w:color w:val="000000" w:themeColor="text1"/>
          <w:highlight w:val="none"/>
          <w14:textFill>
            <w14:solidFill>
              <w14:schemeClr w14:val="tx1"/>
            </w14:solidFill>
          </w14:textFill>
        </w:rPr>
        <w:fldChar w:fldCharType="separate"/>
      </w:r>
      <w:r>
        <w:rPr>
          <w:rFonts w:hint="default"/>
          <w:color w:val="000000" w:themeColor="text1"/>
          <w14:textFill>
            <w14:solidFill>
              <w14:schemeClr w14:val="tx1"/>
            </w14:solidFill>
          </w14:textFill>
        </w:rPr>
        <w:t xml:space="preserve">12 </w:t>
      </w:r>
      <w:r>
        <w:rPr>
          <w:rFonts w:hint="eastAsia"/>
          <w:color w:val="000000" w:themeColor="text1"/>
          <w:highlight w:val="none"/>
          <w14:textFill>
            <w14:solidFill>
              <w14:schemeClr w14:val="tx1"/>
            </w14:solidFill>
          </w14:textFill>
        </w:rPr>
        <w:t>工作要求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_Toc31262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42</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23"/>
        <w:tabs>
          <w:tab w:val="right" w:leader="dot" w:pos="9070"/>
        </w:tabs>
        <w:rPr>
          <w:color w:val="000000" w:themeColor="text1"/>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_Toc450 </w:instrText>
      </w:r>
      <w:r>
        <w:rPr>
          <w:color w:val="000000" w:themeColor="text1"/>
          <w:highlight w:val="none"/>
          <w14:textFill>
            <w14:solidFill>
              <w14:schemeClr w14:val="tx1"/>
            </w14:solidFill>
          </w14:textFill>
        </w:rPr>
        <w:fldChar w:fldCharType="separate"/>
      </w:r>
      <w:r>
        <w:rPr>
          <w:rFonts w:hint="default"/>
          <w:color w:val="000000" w:themeColor="text1"/>
          <w14:textFill>
            <w14:solidFill>
              <w14:schemeClr w14:val="tx1"/>
            </w14:solidFill>
          </w14:textFill>
        </w:rPr>
        <w:t xml:space="preserve">13 </w:t>
      </w:r>
      <w:r>
        <w:rPr>
          <w:rFonts w:hint="eastAsia"/>
          <w:color w:val="000000" w:themeColor="text1"/>
          <w:highlight w:val="none"/>
          <w14:textFill>
            <w14:solidFill>
              <w14:schemeClr w14:val="tx1"/>
            </w14:solidFill>
          </w14:textFill>
        </w:rPr>
        <w:t>保障措施</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_Toc450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44</w:t>
      </w:r>
      <w:r>
        <w:rPr>
          <w:color w:val="000000" w:themeColor="text1"/>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ind w:left="0" w:leftChars="0" w:firstLine="0" w:firstLineChars="0"/>
        <w:rPr>
          <w:b/>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fldChar w:fldCharType="end"/>
      </w:r>
      <w:r>
        <w:rPr>
          <w:rFonts w:hint="eastAsia"/>
          <w:b/>
          <w:color w:val="000000" w:themeColor="text1"/>
          <w:highlight w:val="none"/>
          <w14:textFill>
            <w14:solidFill>
              <w14:schemeClr w14:val="tx1"/>
            </w14:solidFill>
          </w14:textFill>
        </w:rPr>
        <w:t>附表</w:t>
      </w:r>
    </w:p>
    <w:p>
      <w:pPr>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附表1   兴宁市畜禽养殖禁养区登记表</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附表</w:t>
      </w:r>
      <w:r>
        <w:rPr>
          <w:rFonts w:hint="eastAsia"/>
          <w:color w:val="000000" w:themeColor="text1"/>
          <w:highlight w:val="none"/>
          <w:lang w:val="en-US" w:eastAsia="zh-CN"/>
          <w14:textFill>
            <w14:solidFill>
              <w14:schemeClr w14:val="tx1"/>
            </w14:solidFill>
          </w14:textFill>
        </w:rPr>
        <w:t>2</w:t>
      </w:r>
      <w:r>
        <w:rPr>
          <w:rFonts w:hint="eastAsia"/>
          <w:color w:val="000000" w:themeColor="text1"/>
          <w:highlight w:val="none"/>
          <w14:textFill>
            <w14:solidFill>
              <w14:schemeClr w14:val="tx1"/>
            </w14:solidFill>
          </w14:textFill>
        </w:rPr>
        <w:t xml:space="preserve">  城镇居民区和文化教育研究区禁止养殖区——医疗区</w:t>
      </w:r>
    </w:p>
    <w:p>
      <w:pPr>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14:textFill>
            <w14:solidFill>
              <w14:schemeClr w14:val="tx1"/>
            </w14:solidFill>
          </w14:textFill>
        </w:rPr>
        <w:t>附表</w:t>
      </w:r>
      <w:r>
        <w:rPr>
          <w:rFonts w:hint="eastAsia"/>
          <w:color w:val="000000" w:themeColor="text1"/>
          <w:highlight w:val="none"/>
          <w:lang w:val="en-US" w:eastAsia="zh-CN"/>
          <w14:textFill>
            <w14:solidFill>
              <w14:schemeClr w14:val="tx1"/>
            </w14:solidFill>
          </w14:textFill>
        </w:rPr>
        <w:t>3</w:t>
      </w:r>
      <w:r>
        <w:rPr>
          <w:rFonts w:hint="eastAsia"/>
          <w:color w:val="000000" w:themeColor="text1"/>
          <w:highlight w:val="none"/>
          <w14:textFill>
            <w14:solidFill>
              <w14:schemeClr w14:val="tx1"/>
            </w14:solidFill>
          </w14:textFill>
        </w:rPr>
        <w:t xml:space="preserve">   城镇居民区和文化教育研究区禁止养殖区——学校</w:t>
      </w:r>
    </w:p>
    <w:p>
      <w:pPr>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附表4   文物保护单位和古民居禁止养殖区</w:t>
      </w:r>
    </w:p>
    <w:p>
      <w:pPr>
        <w:ind w:left="0" w:leftChars="0" w:firstLine="0" w:firstLineChars="0"/>
        <w:rPr>
          <w:b/>
          <w:color w:val="000000" w:themeColor="text1"/>
          <w:highlight w:val="none"/>
          <w14:textFill>
            <w14:solidFill>
              <w14:schemeClr w14:val="tx1"/>
            </w14:solidFill>
          </w14:textFill>
        </w:rPr>
      </w:pPr>
      <w:r>
        <w:rPr>
          <w:rFonts w:hint="eastAsia"/>
          <w:b/>
          <w:color w:val="000000" w:themeColor="text1"/>
          <w:highlight w:val="none"/>
          <w14:textFill>
            <w14:solidFill>
              <w14:schemeClr w14:val="tx1"/>
            </w14:solidFill>
          </w14:textFill>
        </w:rPr>
        <w:t>附图：</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color w:val="000000" w:themeColor="text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附图</w:t>
      </w:r>
      <w:r>
        <w:rPr>
          <w:rFonts w:hint="eastAsia"/>
          <w:color w:val="000000" w:themeColor="text1"/>
          <w:highlight w:val="none"/>
          <w:lang w:val="en-US" w:eastAsia="zh-CN"/>
          <w14:textFill>
            <w14:solidFill>
              <w14:schemeClr w14:val="tx1"/>
            </w14:solidFill>
          </w14:textFill>
        </w:rPr>
        <w:t>1：</w:t>
      </w:r>
      <w:r>
        <w:rPr>
          <w:rFonts w:hint="eastAsia"/>
          <w:color w:val="000000" w:themeColor="text1"/>
          <w:highlight w:val="none"/>
          <w:lang w:eastAsia="zh-CN"/>
          <w14:textFill>
            <w14:solidFill>
              <w14:schemeClr w14:val="tx1"/>
            </w14:solidFill>
          </w14:textFill>
        </w:rPr>
        <w:t>兴宁市畜禽养殖禁养区划分修订方案</w:t>
      </w:r>
      <w:r>
        <w:rPr>
          <w:rFonts w:hint="eastAsia"/>
          <w:color w:val="000000" w:themeColor="text1"/>
          <w:highlight w:val="none"/>
          <w14:textFill>
            <w14:solidFill>
              <w14:schemeClr w14:val="tx1"/>
            </w14:solidFill>
          </w14:textFill>
        </w:rPr>
        <w:t>成果图</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附图</w:t>
      </w:r>
      <w:r>
        <w:rPr>
          <w:rFonts w:hint="eastAsia"/>
          <w:color w:val="000000" w:themeColor="text1"/>
          <w:highlight w:val="none"/>
          <w:lang w:val="en-US" w:eastAsia="zh-CN"/>
          <w14:textFill>
            <w14:solidFill>
              <w14:schemeClr w14:val="tx1"/>
            </w14:solidFill>
          </w14:textFill>
        </w:rPr>
        <w:t>2：</w:t>
      </w:r>
      <w:r>
        <w:rPr>
          <w:rFonts w:hint="eastAsia"/>
          <w:color w:val="000000" w:themeColor="text1"/>
          <w:spacing w:val="-6"/>
          <w:highlight w:val="none"/>
          <w:lang w:eastAsia="zh-CN"/>
          <w14:textFill>
            <w14:solidFill>
              <w14:schemeClr w14:val="tx1"/>
            </w14:solidFill>
          </w14:textFill>
        </w:rPr>
        <w:t>兴宁市畜禽养殖禁养区划分修订方案</w:t>
      </w:r>
      <w:r>
        <w:rPr>
          <w:rFonts w:hint="eastAsia"/>
          <w:color w:val="000000" w:themeColor="text1"/>
          <w:spacing w:val="-6"/>
          <w:highlight w:val="none"/>
          <w14:textFill>
            <w14:solidFill>
              <w14:schemeClr w14:val="tx1"/>
            </w14:solidFill>
          </w14:textFill>
        </w:rPr>
        <w:t>成果——兴宁市饮用水源保护区分布图</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附图</w:t>
      </w:r>
      <w:r>
        <w:rPr>
          <w:rFonts w:hint="eastAsia"/>
          <w:color w:val="000000" w:themeColor="text1"/>
          <w:highlight w:val="none"/>
          <w:lang w:val="en-US" w:eastAsia="zh-CN"/>
          <w14:textFill>
            <w14:solidFill>
              <w14:schemeClr w14:val="tx1"/>
            </w14:solidFill>
          </w14:textFill>
        </w:rPr>
        <w:t>3</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兴宁市畜禽养殖禁养区划分修订方案</w:t>
      </w:r>
      <w:r>
        <w:rPr>
          <w:rFonts w:hint="eastAsia"/>
          <w:color w:val="000000" w:themeColor="text1"/>
          <w:highlight w:val="none"/>
          <w14:textFill>
            <w14:solidFill>
              <w14:schemeClr w14:val="tx1"/>
            </w14:solidFill>
          </w14:textFill>
        </w:rPr>
        <w:t>成果——兴宁市自然保护区分布图</w:t>
      </w:r>
    </w:p>
    <w:p>
      <w:pPr>
        <w:keepNext w:val="0"/>
        <w:keepLines w:val="0"/>
        <w:pageBreakBefore w:val="0"/>
        <w:widowControl/>
        <w:kinsoku/>
        <w:wordWrap/>
        <w:overflowPunct/>
        <w:topLinePunct w:val="0"/>
        <w:autoSpaceDE/>
        <w:autoSpaceDN/>
        <w:bidi w:val="0"/>
        <w:adjustRightInd/>
        <w:snapToGrid/>
        <w:spacing w:line="440" w:lineRule="exact"/>
        <w:textAlignment w:val="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附图</w:t>
      </w:r>
      <w:r>
        <w:rPr>
          <w:rFonts w:hint="eastAsia"/>
          <w:color w:val="000000" w:themeColor="text1"/>
          <w:highlight w:val="none"/>
          <w:lang w:val="en-US" w:eastAsia="zh-CN"/>
          <w14:textFill>
            <w14:solidFill>
              <w14:schemeClr w14:val="tx1"/>
            </w14:solidFill>
          </w14:textFill>
        </w:rPr>
        <w:t>4</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兴宁市畜禽养殖禁养区划分修订方案</w:t>
      </w:r>
      <w:r>
        <w:rPr>
          <w:rFonts w:hint="eastAsia"/>
          <w:color w:val="000000" w:themeColor="text1"/>
          <w:highlight w:val="none"/>
          <w14:textFill>
            <w14:solidFill>
              <w14:schemeClr w14:val="tx1"/>
            </w14:solidFill>
          </w14:textFill>
        </w:rPr>
        <w:t>成果——兴宁市城市建成区分布图</w:t>
      </w:r>
    </w:p>
    <w:p>
      <w:pPr>
        <w:keepNext w:val="0"/>
        <w:keepLines w:val="0"/>
        <w:pageBreakBefore w:val="0"/>
        <w:widowControl/>
        <w:kinsoku/>
        <w:wordWrap/>
        <w:overflowPunct/>
        <w:topLinePunct w:val="0"/>
        <w:autoSpaceDE/>
        <w:autoSpaceDN/>
        <w:bidi w:val="0"/>
        <w:adjustRightInd/>
        <w:snapToGrid/>
        <w:spacing w:line="440" w:lineRule="exact"/>
        <w:textAlignment w:val="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附图</w:t>
      </w:r>
      <w:r>
        <w:rPr>
          <w:rFonts w:hint="eastAsia"/>
          <w:color w:val="000000" w:themeColor="text1"/>
          <w:highlight w:val="none"/>
          <w:lang w:val="en-US" w:eastAsia="zh-CN"/>
          <w14:textFill>
            <w14:solidFill>
              <w14:schemeClr w14:val="tx1"/>
            </w14:solidFill>
          </w14:textFill>
        </w:rPr>
        <w:t>5</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兴宁市畜禽养殖禁养区划分修订方案</w:t>
      </w:r>
      <w:r>
        <w:rPr>
          <w:rFonts w:hint="eastAsia"/>
          <w:color w:val="000000" w:themeColor="text1"/>
          <w:highlight w:val="none"/>
          <w14:textFill>
            <w14:solidFill>
              <w14:schemeClr w14:val="tx1"/>
            </w14:solidFill>
          </w14:textFill>
        </w:rPr>
        <w:t>成果——兴宁市工业园区分布图</w:t>
      </w:r>
    </w:p>
    <w:p>
      <w:pPr>
        <w:keepNext w:val="0"/>
        <w:keepLines w:val="0"/>
        <w:pageBreakBefore w:val="0"/>
        <w:widowControl/>
        <w:kinsoku/>
        <w:wordWrap/>
        <w:overflowPunct/>
        <w:topLinePunct w:val="0"/>
        <w:autoSpaceDE/>
        <w:autoSpaceDN/>
        <w:bidi w:val="0"/>
        <w:adjustRightInd/>
        <w:snapToGrid/>
        <w:spacing w:line="440" w:lineRule="exact"/>
        <w:textAlignment w:val="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附图</w:t>
      </w:r>
      <w:r>
        <w:rPr>
          <w:rFonts w:hint="eastAsia"/>
          <w:color w:val="000000" w:themeColor="text1"/>
          <w:highlight w:val="none"/>
          <w:lang w:val="en-US" w:eastAsia="zh-CN"/>
          <w14:textFill>
            <w14:solidFill>
              <w14:schemeClr w14:val="tx1"/>
            </w14:solidFill>
          </w14:textFill>
        </w:rPr>
        <w:t>6</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兴宁市畜禽养殖禁养区划分修订方案</w:t>
      </w:r>
      <w:r>
        <w:rPr>
          <w:rFonts w:hint="eastAsia"/>
          <w:color w:val="000000" w:themeColor="text1"/>
          <w:highlight w:val="none"/>
          <w14:textFill>
            <w14:solidFill>
              <w14:schemeClr w14:val="tx1"/>
            </w14:solidFill>
          </w14:textFill>
        </w:rPr>
        <w:t>成果—兴宁市基本农田分布图</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附图</w:t>
      </w:r>
      <w:r>
        <w:rPr>
          <w:rFonts w:hint="eastAsia"/>
          <w:color w:val="000000" w:themeColor="text1"/>
          <w:highlight w:val="none"/>
          <w:lang w:val="en-US" w:eastAsia="zh-CN"/>
          <w14:textFill>
            <w14:solidFill>
              <w14:schemeClr w14:val="tx1"/>
            </w14:solidFill>
          </w14:textFill>
        </w:rPr>
        <w:t>7</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兴宁市畜禽养殖禁养区划分修订方案</w:t>
      </w:r>
      <w:r>
        <w:rPr>
          <w:rFonts w:hint="eastAsia"/>
          <w:color w:val="000000" w:themeColor="text1"/>
          <w:highlight w:val="none"/>
          <w14:textFill>
            <w14:solidFill>
              <w14:schemeClr w14:val="tx1"/>
            </w14:solidFill>
          </w14:textFill>
        </w:rPr>
        <w:t>成果——兴宁市森林公园分布图</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附图</w:t>
      </w:r>
      <w:r>
        <w:rPr>
          <w:rFonts w:hint="eastAsia"/>
          <w:color w:val="000000" w:themeColor="text1"/>
          <w:highlight w:val="none"/>
          <w:lang w:val="en-US" w:eastAsia="zh-CN"/>
          <w14:textFill>
            <w14:solidFill>
              <w14:schemeClr w14:val="tx1"/>
            </w14:solidFill>
          </w14:textFill>
        </w:rPr>
        <w:t>8</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兴宁市畜禽养殖禁养区划分修订方案</w:t>
      </w:r>
      <w:r>
        <w:rPr>
          <w:rFonts w:hint="eastAsia"/>
          <w:color w:val="000000" w:themeColor="text1"/>
          <w:highlight w:val="none"/>
          <w14:textFill>
            <w14:solidFill>
              <w14:schemeClr w14:val="tx1"/>
            </w14:solidFill>
          </w14:textFill>
        </w:rPr>
        <w:t>成果——兴宁市</w:t>
      </w:r>
      <w:r>
        <w:rPr>
          <w:rFonts w:hint="eastAsia"/>
          <w:color w:val="000000" w:themeColor="text1"/>
          <w:highlight w:val="none"/>
          <w:lang w:eastAsia="zh-CN"/>
          <w14:textFill>
            <w14:solidFill>
              <w14:schemeClr w14:val="tx1"/>
            </w14:solidFill>
          </w14:textFill>
        </w:rPr>
        <w:t>湿地</w:t>
      </w:r>
      <w:r>
        <w:rPr>
          <w:rFonts w:hint="eastAsia"/>
          <w:color w:val="000000" w:themeColor="text1"/>
          <w:highlight w:val="none"/>
          <w14:textFill>
            <w14:solidFill>
              <w14:schemeClr w14:val="tx1"/>
            </w14:solidFill>
          </w14:textFill>
        </w:rPr>
        <w:t>公园分布图</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eastAsia="宋体"/>
          <w:color w:val="000000" w:themeColor="text1"/>
          <w:highlight w:val="none"/>
          <w:lang w:val="en-US"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附图</w:t>
      </w:r>
      <w:r>
        <w:rPr>
          <w:rFonts w:hint="eastAsia"/>
          <w:color w:val="000000" w:themeColor="text1"/>
          <w:highlight w:val="none"/>
          <w:lang w:val="en-US" w:eastAsia="zh-CN"/>
          <w14:textFill>
            <w14:solidFill>
              <w14:schemeClr w14:val="tx1"/>
            </w14:solidFill>
          </w14:textFill>
        </w:rPr>
        <w:t>9：</w:t>
      </w:r>
      <w:r>
        <w:rPr>
          <w:rFonts w:hint="eastAsia"/>
          <w:color w:val="000000" w:themeColor="text1"/>
          <w:highlight w:val="none"/>
          <w:lang w:eastAsia="zh-CN"/>
          <w14:textFill>
            <w14:solidFill>
              <w14:schemeClr w14:val="tx1"/>
            </w14:solidFill>
          </w14:textFill>
        </w:rPr>
        <w:t>兴宁市畜禽养殖禁养区划分修订方案</w:t>
      </w:r>
      <w:r>
        <w:rPr>
          <w:rFonts w:hint="eastAsia"/>
          <w:color w:val="000000" w:themeColor="text1"/>
          <w:highlight w:val="none"/>
          <w14:textFill>
            <w14:solidFill>
              <w14:schemeClr w14:val="tx1"/>
            </w14:solidFill>
          </w14:textFill>
        </w:rPr>
        <w:t>成果——兴宁市</w:t>
      </w:r>
      <w:r>
        <w:rPr>
          <w:rFonts w:hint="eastAsia"/>
          <w:color w:val="000000" w:themeColor="text1"/>
          <w:highlight w:val="none"/>
          <w:lang w:eastAsia="zh-CN"/>
          <w14:textFill>
            <w14:solidFill>
              <w14:schemeClr w14:val="tx1"/>
            </w14:solidFill>
          </w14:textFill>
        </w:rPr>
        <w:t>主要道路</w:t>
      </w:r>
      <w:r>
        <w:rPr>
          <w:rFonts w:hint="eastAsia"/>
          <w:color w:val="000000" w:themeColor="text1"/>
          <w:highlight w:val="none"/>
          <w14:textFill>
            <w14:solidFill>
              <w14:schemeClr w14:val="tx1"/>
            </w14:solidFill>
          </w14:textFill>
        </w:rPr>
        <w:t>分布图</w:t>
      </w:r>
    </w:p>
    <w:p>
      <w:pPr>
        <w:keepNext w:val="0"/>
        <w:keepLines w:val="0"/>
        <w:pageBreakBefore w:val="0"/>
        <w:widowControl/>
        <w:kinsoku/>
        <w:wordWrap/>
        <w:overflowPunct/>
        <w:topLinePunct w:val="0"/>
        <w:autoSpaceDE/>
        <w:autoSpaceDN/>
        <w:bidi w:val="0"/>
        <w:adjustRightInd/>
        <w:snapToGrid/>
        <w:spacing w:line="440" w:lineRule="exact"/>
        <w:textAlignment w:val="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附图</w:t>
      </w:r>
      <w:r>
        <w:rPr>
          <w:rFonts w:hint="eastAsia"/>
          <w:color w:val="000000" w:themeColor="text1"/>
          <w:highlight w:val="none"/>
          <w:lang w:val="en-US" w:eastAsia="zh-CN"/>
          <w14:textFill>
            <w14:solidFill>
              <w14:schemeClr w14:val="tx1"/>
            </w14:solidFill>
          </w14:textFill>
        </w:rPr>
        <w:t>10</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兴宁市畜禽养殖禁养区划分修订方案</w:t>
      </w:r>
      <w:r>
        <w:rPr>
          <w:rFonts w:hint="eastAsia"/>
          <w:color w:val="000000" w:themeColor="text1"/>
          <w:highlight w:val="none"/>
          <w14:textFill>
            <w14:solidFill>
              <w14:schemeClr w14:val="tx1"/>
            </w14:solidFill>
          </w14:textFill>
        </w:rPr>
        <w:t>成果——兴宁市医院分布图</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附图</w:t>
      </w:r>
      <w:r>
        <w:rPr>
          <w:rFonts w:hint="eastAsia"/>
          <w:color w:val="000000" w:themeColor="text1"/>
          <w:highlight w:val="none"/>
          <w:lang w:val="en-US" w:eastAsia="zh-CN"/>
          <w14:textFill>
            <w14:solidFill>
              <w14:schemeClr w14:val="tx1"/>
            </w14:solidFill>
          </w14:textFill>
        </w:rPr>
        <w:t>11</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兴宁市畜禽养殖禁养区划分修订方案</w:t>
      </w:r>
      <w:r>
        <w:rPr>
          <w:rFonts w:hint="eastAsia"/>
          <w:color w:val="000000" w:themeColor="text1"/>
          <w:highlight w:val="none"/>
          <w14:textFill>
            <w14:solidFill>
              <w14:schemeClr w14:val="tx1"/>
            </w14:solidFill>
          </w14:textFill>
        </w:rPr>
        <w:t>成果——兴宁市学校分布图</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附图</w:t>
      </w:r>
      <w:r>
        <w:rPr>
          <w:rFonts w:hint="eastAsia"/>
          <w:color w:val="000000" w:themeColor="text1"/>
          <w:highlight w:val="none"/>
          <w:lang w:val="en-US" w:eastAsia="zh-CN"/>
          <w14:textFill>
            <w14:solidFill>
              <w14:schemeClr w14:val="tx1"/>
            </w14:solidFill>
          </w14:textFill>
        </w:rPr>
        <w:t>12</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兴宁市畜禽养殖禁养区划分修订方案</w:t>
      </w:r>
      <w:r>
        <w:rPr>
          <w:rFonts w:hint="eastAsia"/>
          <w:color w:val="000000" w:themeColor="text1"/>
          <w:highlight w:val="none"/>
          <w14:textFill>
            <w14:solidFill>
              <w14:schemeClr w14:val="tx1"/>
            </w14:solidFill>
          </w14:textFill>
        </w:rPr>
        <w:t>成果——兴宁市</w:t>
      </w:r>
      <w:r>
        <w:rPr>
          <w:rFonts w:hint="eastAsia"/>
          <w:color w:val="000000" w:themeColor="text1"/>
          <w:highlight w:val="none"/>
          <w:lang w:val="en-US" w:eastAsia="zh-CN"/>
          <w14:textFill>
            <w14:solidFill>
              <w14:schemeClr w14:val="tx1"/>
            </w14:solidFill>
          </w14:textFill>
        </w:rPr>
        <w:t>文物保护单位</w:t>
      </w:r>
      <w:r>
        <w:rPr>
          <w:rFonts w:hint="eastAsia"/>
          <w:color w:val="000000" w:themeColor="text1"/>
          <w:highlight w:val="none"/>
          <w14:textFill>
            <w14:solidFill>
              <w14:schemeClr w14:val="tx1"/>
            </w14:solidFill>
          </w14:textFill>
        </w:rPr>
        <w:t>分布图</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color w:val="000000" w:themeColor="text1"/>
          <w:highlight w:val="none"/>
          <w14:textFill>
            <w14:solidFill>
              <w14:schemeClr w14:val="tx1"/>
            </w14:solidFill>
          </w14:textFill>
        </w:rPr>
        <w:sectPr>
          <w:headerReference r:id="rId9" w:type="default"/>
          <w:footerReference r:id="rId10" w:type="default"/>
          <w:pgSz w:w="11906" w:h="16838"/>
          <w:pgMar w:top="1418" w:right="1418" w:bottom="1418" w:left="1418" w:header="851" w:footer="992" w:gutter="0"/>
          <w:pgNumType w:fmt="upperRoman" w:start="1"/>
          <w:cols w:space="425" w:num="1"/>
          <w:docGrid w:type="lines" w:linePitch="312" w:charSpace="0"/>
        </w:sectPr>
      </w:pPr>
    </w:p>
    <w:p>
      <w:pPr>
        <w:ind w:firstLine="0" w:firstLineChars="0"/>
        <w:jc w:val="center"/>
        <w:rPr>
          <w:rFonts w:hint="eastAsia" w:ascii="宋体" w:hAnsi="宋体" w:eastAsia="宋体" w:cs="Microsoft JhengHei"/>
          <w:b/>
          <w:bCs/>
          <w:color w:val="000000" w:themeColor="text1"/>
          <w:spacing w:val="1"/>
          <w:sz w:val="52"/>
          <w:szCs w:val="52"/>
          <w:highlight w:val="none"/>
          <w:lang w:eastAsia="zh-CN"/>
          <w14:textFill>
            <w14:solidFill>
              <w14:schemeClr w14:val="tx1"/>
            </w14:solidFill>
          </w14:textFill>
        </w:rPr>
      </w:pPr>
      <w:r>
        <w:rPr>
          <w:rFonts w:hint="eastAsia" w:ascii="宋体" w:hAnsi="宋体" w:cs="Microsoft JhengHei"/>
          <w:b/>
          <w:bCs/>
          <w:color w:val="000000" w:themeColor="text1"/>
          <w:spacing w:val="1"/>
          <w:sz w:val="52"/>
          <w:szCs w:val="52"/>
          <w:highlight w:val="none"/>
          <w:lang w:eastAsia="zh-CN"/>
          <w14:textFill>
            <w14:solidFill>
              <w14:schemeClr w14:val="tx1"/>
            </w14:solidFill>
          </w14:textFill>
        </w:rPr>
        <w:t>兴宁市畜禽养殖禁养区划分修订方案</w:t>
      </w:r>
    </w:p>
    <w:p>
      <w:pPr>
        <w:rPr>
          <w:color w:val="000000" w:themeColor="text1"/>
          <w:highlight w:val="none"/>
          <w14:textFill>
            <w14:solidFill>
              <w14:schemeClr w14:val="tx1"/>
            </w14:solidFill>
          </w14:textFill>
        </w:rPr>
      </w:pPr>
    </w:p>
    <w:p>
      <w:pPr>
        <w:rPr>
          <w:rFonts w:ascii="宋体" w:hAnsi="宋体" w:cs="宋体"/>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为进一步加强全市畜禽养殖业污染防治，合理规划畜禽养殖场所空间布局和结构布局，促进畜牧业持续健康发展，有效保护和改善生态环境，保障人体健康，全面构建和谐社会，根据《中华人民共和国环境保护法》、《中华人民共和国畜牧法》、《中华人民共和国水污染防治法》</w:t>
      </w:r>
      <w:r>
        <w:rPr>
          <w:rFonts w:hint="eastAsia"/>
          <w:color w:val="000000" w:themeColor="text1"/>
          <w:highlight w:val="none"/>
          <w:lang w:eastAsia="zh-CN"/>
          <w14:textFill>
            <w14:solidFill>
              <w14:schemeClr w14:val="tx1"/>
            </w14:solidFill>
          </w14:textFill>
        </w:rPr>
        <w:t>、</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水污染防治行动计划</w:t>
      </w:r>
      <w:r>
        <w:rPr>
          <w:rFonts w:hint="eastAsia"/>
          <w:color w:val="000000" w:themeColor="text1"/>
          <w:highlight w:val="none"/>
          <w14:textFill>
            <w14:solidFill>
              <w14:schemeClr w14:val="tx1"/>
            </w14:solidFill>
          </w14:textFill>
        </w:rPr>
        <w:t>》、</w:t>
      </w:r>
      <w:r>
        <w:rPr>
          <w:rFonts w:hint="eastAsia" w:hAnsi="宋体"/>
          <w:color w:val="000000" w:themeColor="text1"/>
          <w:highlight w:val="none"/>
          <w14:textFill>
            <w14:solidFill>
              <w14:schemeClr w14:val="tx1"/>
            </w14:solidFill>
          </w14:textFill>
        </w:rPr>
        <w:t>《中华人民共和国大气污染防治法》、</w:t>
      </w:r>
      <w:r>
        <w:rPr>
          <w:rFonts w:hint="eastAsia"/>
          <w:color w:val="000000" w:themeColor="text1"/>
          <w:highlight w:val="none"/>
          <w14:textFill>
            <w14:solidFill>
              <w14:schemeClr w14:val="tx1"/>
            </w14:solidFill>
          </w14:textFill>
        </w:rPr>
        <w:t>《中华人民共和国动物防疫法》、《畜禽规模养殖污染防治条例》、《广东省环境保护条例》等有关法律、法规规定，坚持畜禽养殖“预防为主、防治结合，统筹规划、合理布局、综合利用、以奖促治”基本原则，</w:t>
      </w:r>
      <w:r>
        <w:rPr>
          <w:rFonts w:ascii="宋体" w:hAnsi="宋体" w:cs="宋体"/>
          <w:color w:val="000000" w:themeColor="text1"/>
          <w:highlight w:val="none"/>
          <w14:textFill>
            <w14:solidFill>
              <w14:schemeClr w14:val="tx1"/>
            </w14:solidFill>
          </w14:textFill>
        </w:rPr>
        <w:t>根据《畜禽养殖禁养区划定技术指南》开展工作</w:t>
      </w:r>
      <w:r>
        <w:rPr>
          <w:rFonts w:hint="eastAsia" w:ascii="宋体" w:hAnsi="宋体" w:cs="宋体"/>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参照</w:t>
      </w:r>
      <w:r>
        <w:rPr>
          <w:rFonts w:hint="eastAsia"/>
          <w:color w:val="000000" w:themeColor="text1"/>
          <w:highlight w:val="none"/>
          <w14:textFill>
            <w14:solidFill>
              <w14:schemeClr w14:val="tx1"/>
            </w14:solidFill>
          </w14:textFill>
        </w:rPr>
        <w:t>兴宁市畜禽养殖禁养区划分方案兴市府办〔2010〕58号文修订编制，现制定</w:t>
      </w:r>
      <w:r>
        <w:rPr>
          <w:rFonts w:hint="eastAsia"/>
          <w:color w:val="000000" w:themeColor="text1"/>
          <w:highlight w:val="none"/>
          <w:lang w:eastAsia="zh-CN"/>
          <w14:textFill>
            <w14:solidFill>
              <w14:schemeClr w14:val="tx1"/>
            </w14:solidFill>
          </w14:textFill>
        </w:rPr>
        <w:t>兴宁市畜禽养殖禁养区划分修订方案</w:t>
      </w:r>
      <w:r>
        <w:rPr>
          <w:rFonts w:hint="eastAsia"/>
          <w:color w:val="000000" w:themeColor="text1"/>
          <w:highlight w:val="none"/>
          <w14:textFill>
            <w14:solidFill>
              <w14:schemeClr w14:val="tx1"/>
            </w14:solidFill>
          </w14:textFill>
        </w:rPr>
        <w:t>。本方案适用于兴宁市所辖行政区内所有畜禽养殖区养殖污染防治管理。</w:t>
      </w:r>
    </w:p>
    <w:p>
      <w:pPr>
        <w:rPr>
          <w:rFonts w:hint="eastAsia"/>
          <w:color w:val="000000" w:themeColor="text1"/>
          <w:highlight w:val="yellow"/>
          <w14:textFill>
            <w14:solidFill>
              <w14:schemeClr w14:val="tx1"/>
            </w14:solidFill>
          </w14:textFill>
        </w:rPr>
      </w:pPr>
      <w:r>
        <w:rPr>
          <w:rFonts w:hint="eastAsia"/>
          <w:color w:val="000000" w:themeColor="text1"/>
          <w:highlight w:val="none"/>
          <w:lang w:eastAsia="zh-CN"/>
          <w14:textFill>
            <w14:solidFill>
              <w14:schemeClr w14:val="tx1"/>
            </w14:solidFill>
          </w14:textFill>
        </w:rPr>
        <w:t>兴宁</w:t>
      </w:r>
      <w:r>
        <w:rPr>
          <w:rFonts w:hint="eastAsia"/>
          <w:color w:val="000000" w:themeColor="text1"/>
          <w:highlight w:val="none"/>
          <w14:textFill>
            <w14:solidFill>
              <w14:schemeClr w14:val="tx1"/>
            </w14:solidFill>
          </w14:textFill>
        </w:rPr>
        <w:t>市行政辖区内</w:t>
      </w:r>
      <w:r>
        <w:rPr>
          <w:rFonts w:hint="eastAsia"/>
          <w:color w:val="000000" w:themeColor="text1"/>
          <w:highlight w:val="none"/>
          <w:lang w:eastAsia="zh-CN"/>
          <w14:textFill>
            <w14:solidFill>
              <w14:schemeClr w14:val="tx1"/>
            </w14:solidFill>
          </w14:textFill>
        </w:rPr>
        <w:t>法律、法规规定禁止养殖的区域</w:t>
      </w:r>
      <w:r>
        <w:rPr>
          <w:rFonts w:hint="eastAsia"/>
          <w:color w:val="000000" w:themeColor="text1"/>
          <w:highlight w:val="none"/>
          <w14:textFill>
            <w14:solidFill>
              <w14:schemeClr w14:val="tx1"/>
            </w14:solidFill>
          </w14:textFill>
        </w:rPr>
        <w:t>划分为畜禽养殖禁养区。</w:t>
      </w:r>
    </w:p>
    <w:p>
      <w:pPr>
        <w:spacing w:line="240" w:lineRule="auto"/>
        <w:ind w:firstLine="0" w:firstLineChars="0"/>
        <w:jc w:val="left"/>
        <w:rPr>
          <w:color w:val="000000" w:themeColor="text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 xml:space="preserve">    </w:t>
      </w:r>
      <w:r>
        <w:rPr>
          <w:color w:val="000000" w:themeColor="text1"/>
          <w:highlight w:val="none"/>
          <w14:textFill>
            <w14:solidFill>
              <w14:schemeClr w14:val="tx1"/>
            </w14:solidFill>
          </w14:textFill>
        </w:rPr>
        <w:br w:type="page"/>
      </w:r>
    </w:p>
    <w:p>
      <w:pPr>
        <w:pStyle w:val="2"/>
        <w:rPr>
          <w:color w:val="000000" w:themeColor="text1"/>
          <w:highlight w:val="none"/>
          <w14:textFill>
            <w14:solidFill>
              <w14:schemeClr w14:val="tx1"/>
            </w14:solidFill>
          </w14:textFill>
        </w:rPr>
      </w:pPr>
      <w:bookmarkStart w:id="0" w:name="_Toc11479"/>
      <w:r>
        <w:rPr>
          <w:rFonts w:hint="eastAsia"/>
          <w:color w:val="000000" w:themeColor="text1"/>
          <w:highlight w:val="none"/>
          <w14:textFill>
            <w14:solidFill>
              <w14:schemeClr w14:val="tx1"/>
            </w14:solidFill>
          </w14:textFill>
        </w:rPr>
        <w:t>指导思想</w:t>
      </w:r>
      <w:bookmarkEnd w:id="0"/>
    </w:p>
    <w:p>
      <w:pPr>
        <w:rPr>
          <w:color w:val="000000" w:themeColor="text1"/>
          <w:spacing w:val="-1"/>
          <w:highlight w:val="none"/>
          <w14:textFill>
            <w14:solidFill>
              <w14:schemeClr w14:val="tx1"/>
            </w14:solidFill>
          </w14:textFill>
        </w:rPr>
      </w:pPr>
      <w:r>
        <w:rPr>
          <w:rFonts w:hint="eastAsia"/>
          <w:color w:val="000000" w:themeColor="text1"/>
          <w:highlight w:val="none"/>
          <w14:textFill>
            <w14:solidFill>
              <w14:schemeClr w14:val="tx1"/>
            </w14:solidFill>
          </w14:textFill>
        </w:rPr>
        <w:t>深入贯彻习近平新时代中国特色社会主义思想和党的十九大精神，深入贯彻</w:t>
      </w:r>
      <w:r>
        <w:rPr>
          <w:rFonts w:hint="eastAsia"/>
          <w:color w:val="000000" w:themeColor="text1"/>
          <w:highlight w:val="none"/>
          <w:lang w:eastAsia="zh-CN"/>
          <w14:textFill>
            <w14:solidFill>
              <w14:schemeClr w14:val="tx1"/>
            </w14:solidFill>
          </w14:textFill>
        </w:rPr>
        <w:t>落实</w:t>
      </w:r>
      <w:r>
        <w:rPr>
          <w:rFonts w:hint="eastAsia"/>
          <w:color w:val="000000" w:themeColor="text1"/>
          <w:highlight w:val="none"/>
          <w14:textFill>
            <w14:solidFill>
              <w14:schemeClr w14:val="tx1"/>
            </w14:solidFill>
          </w14:textFill>
        </w:rPr>
        <w:t>习近平生态文明思想，</w:t>
      </w:r>
      <w:r>
        <w:rPr>
          <w:color w:val="000000" w:themeColor="text1"/>
          <w:highlight w:val="none"/>
          <w14:textFill>
            <w14:solidFill>
              <w14:schemeClr w14:val="tx1"/>
            </w14:solidFill>
          </w14:textFill>
        </w:rPr>
        <w:t>全面落实</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创新、协调、绿色、开放、共享</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的发展理念，按照</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总量控制、合理布局、防治结合、减少污染</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的要求，实施</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生态优先、绿色发展</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战略，以国家和地方环境保护法律、法规为依据，结合兴宁市畜牧业绿色发展规划，积极开展畜禽养殖污染综合防治，改善生态环境质量，保障人民群众身体健康，促进畜牧业与生态环境建设全面</w:t>
      </w:r>
      <w:r>
        <w:rPr>
          <w:color w:val="000000" w:themeColor="text1"/>
          <w:spacing w:val="-1"/>
          <w:highlight w:val="none"/>
          <w14:textFill>
            <w14:solidFill>
              <w14:schemeClr w14:val="tx1"/>
            </w14:solidFill>
          </w14:textFill>
        </w:rPr>
        <w:t>协调发展。</w:t>
      </w:r>
    </w:p>
    <w:p>
      <w:pPr>
        <w:bidi w:val="0"/>
        <w:ind w:firstLine="480" w:firstLineChars="200"/>
        <w:jc w:val="left"/>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按照全面建设小康社会、率先基本实现社会主义现代化的根本要求，以建设和谐兴宁、绿色兴宁，实现富裕安康为目标；因地制宜，分类指导，推进区域协调，发展循环经济，调整和优化产业结构；加强生态保护，改善环境质量，保障人民群众身心健康；统筹人与自然和谐发展，促进经济、社会与环境全面、协调、可持续发展。</w:t>
      </w:r>
    </w:p>
    <w:p>
      <w:pPr>
        <w:bidi w:val="0"/>
        <w:ind w:firstLine="480" w:firstLineChars="200"/>
        <w:jc w:val="left"/>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依法科学划定禁养区，进一步严格规范畜禽养殖禁养区划定和管理，促进生猪生产平稳健康绿色发展。落实各镇、村的监管责任。推行现代化高效规模养殖场，全力推进畜禽养殖废弃物资源化利用工作，规模化养殖场全部配套建设粪污处理设施，开展畜禽养殖污染专项排查整改行动。</w:t>
      </w:r>
    </w:p>
    <w:p>
      <w:pPr>
        <w:bidi w:val="0"/>
        <w:ind w:firstLine="480" w:firstLineChars="200"/>
        <w:jc w:val="left"/>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加快推进畜牧业供给侧结构性改革，大力发展标准化规模养殖，推进生猪产业转型升级，转变养殖方式，优化养殖结构，综合利用养殖废弃物，逐步形成产业兴旺、资源节约、循环利用、环境友好的生猪生产发展新格局。</w:t>
      </w:r>
    </w:p>
    <w:p>
      <w:pPr>
        <w:rPr>
          <w:color w:val="000000" w:themeColor="text1"/>
          <w:highlight w:val="none"/>
          <w14:textFill>
            <w14:solidFill>
              <w14:schemeClr w14:val="tx1"/>
            </w14:solidFill>
          </w14:textFill>
        </w:rPr>
      </w:pPr>
      <w:r>
        <w:rPr>
          <w:rFonts w:hint="eastAsia"/>
          <w:color w:val="000000" w:themeColor="text1"/>
          <w:lang w:val="en-US" w:eastAsia="zh-CN"/>
          <w14:textFill>
            <w14:solidFill>
              <w14:schemeClr w14:val="tx1"/>
            </w14:solidFill>
          </w14:textFill>
        </w:rPr>
        <w:t>按照保供给保生态并重的原则，统筹合理利用土地资源，积极发展设施配套、技术先进、管理规范、生产高效、产出安全、循环利用、环境友好的生猪产业、积极调整优化生猪产业结构布局，推进生猪产业高质量发展，淘汰生猪产业落后产能，稳步推进畜禽养殖废弃物资源化利</w:t>
      </w:r>
      <w:r>
        <w:rPr>
          <w:rFonts w:hint="eastAsia" w:ascii="宋体" w:hAnsi="宋体" w:eastAsia="宋体" w:cs="宋体"/>
          <w:color w:val="000000" w:themeColor="text1"/>
          <w:lang w:val="en-US" w:eastAsia="zh-CN"/>
          <w14:textFill>
            <w14:solidFill>
              <w14:schemeClr w14:val="tx1"/>
            </w14:solidFill>
          </w14:textFill>
        </w:rPr>
        <w:t>用，采取有力措施稳定生猪稳产保供目标任务，确保猪肉供应和市场价格基本稳定。猪肉是我国大多数居民最主要肉类食品，保障供应事关民生，事关大局。从财政金融用地等方面加大对养殖户的政策支持力度，有效调动养殖积极性。</w:t>
      </w:r>
    </w:p>
    <w:p>
      <w:pPr>
        <w:spacing w:line="240" w:lineRule="auto"/>
        <w:ind w:firstLine="0" w:firstLineChars="0"/>
        <w:jc w:val="left"/>
        <w:rPr>
          <w:rFonts w:cstheme="majorBidi"/>
          <w:b/>
          <w:bCs/>
          <w:color w:val="000000" w:themeColor="text1"/>
          <w:kern w:val="32"/>
          <w:sz w:val="36"/>
          <w:szCs w:val="32"/>
          <w:highlight w:val="none"/>
          <w14:textFill>
            <w14:solidFill>
              <w14:schemeClr w14:val="tx1"/>
            </w14:solidFill>
          </w14:textFill>
        </w:rPr>
      </w:pPr>
      <w:r>
        <w:rPr>
          <w:color w:val="000000" w:themeColor="text1"/>
          <w:highlight w:val="none"/>
          <w14:textFill>
            <w14:solidFill>
              <w14:schemeClr w14:val="tx1"/>
            </w14:solidFill>
          </w14:textFill>
        </w:rPr>
        <w:br w:type="page"/>
      </w:r>
    </w:p>
    <w:p>
      <w:pPr>
        <w:pStyle w:val="2"/>
        <w:rPr>
          <w:color w:val="000000" w:themeColor="text1"/>
          <w:highlight w:val="none"/>
          <w14:textFill>
            <w14:solidFill>
              <w14:schemeClr w14:val="tx1"/>
            </w14:solidFill>
          </w14:textFill>
        </w:rPr>
      </w:pPr>
      <w:bookmarkStart w:id="1" w:name="_Toc5450"/>
      <w:r>
        <w:rPr>
          <w:rFonts w:hint="eastAsia"/>
          <w:color w:val="000000" w:themeColor="text1"/>
          <w:highlight w:val="none"/>
          <w14:textFill>
            <w14:solidFill>
              <w14:schemeClr w14:val="tx1"/>
            </w14:solidFill>
          </w14:textFill>
        </w:rPr>
        <w:t>划分原则与要求</w:t>
      </w:r>
      <w:bookmarkEnd w:id="1"/>
    </w:p>
    <w:p>
      <w:pPr>
        <w:pStyle w:val="3"/>
        <w:keepNext/>
        <w:keepLines w:val="0"/>
        <w:pageBreakBefore w:val="0"/>
        <w:widowControl/>
        <w:kinsoku/>
        <w:wordWrap/>
        <w:overflowPunct/>
        <w:topLinePunct w:val="0"/>
        <w:autoSpaceDE/>
        <w:autoSpaceDN/>
        <w:bidi w:val="0"/>
        <w:adjustRightInd/>
        <w:snapToGrid/>
        <w:spacing w:before="156" w:after="0" w:afterLines="0"/>
        <w:ind w:left="578" w:hanging="578"/>
        <w:textAlignment w:val="auto"/>
        <w:rPr>
          <w:color w:val="000000" w:themeColor="text1"/>
          <w:highlight w:val="none"/>
          <w14:textFill>
            <w14:solidFill>
              <w14:schemeClr w14:val="tx1"/>
            </w14:solidFill>
          </w14:textFill>
        </w:rPr>
      </w:pPr>
      <w:bookmarkStart w:id="2" w:name="_Toc13260"/>
      <w:r>
        <w:rPr>
          <w:rFonts w:hint="eastAsia"/>
          <w:color w:val="000000" w:themeColor="text1"/>
          <w:highlight w:val="none"/>
          <w14:textFill>
            <w14:solidFill>
              <w14:schemeClr w14:val="tx1"/>
            </w14:solidFill>
          </w14:textFill>
        </w:rPr>
        <w:t>划分原则</w:t>
      </w:r>
      <w:bookmarkEnd w:id="2"/>
    </w:p>
    <w:p>
      <w:pPr>
        <w:keepNext w:val="0"/>
        <w:keepLines w:val="0"/>
        <w:pageBreakBefore w:val="0"/>
        <w:widowControl/>
        <w:kinsoku/>
        <w:wordWrap/>
        <w:overflowPunct/>
        <w:topLinePunct w:val="0"/>
        <w:autoSpaceDE/>
        <w:autoSpaceDN/>
        <w:bidi w:val="0"/>
        <w:adjustRightInd/>
        <w:snapToGrid/>
        <w:spacing w:line="440" w:lineRule="exact"/>
        <w:textAlignment w:val="auto"/>
        <w:rPr>
          <w:color w:val="000000" w:themeColor="text1"/>
          <w:highlight w:val="yellow"/>
          <w14:textFill>
            <w14:solidFill>
              <w14:schemeClr w14:val="tx1"/>
            </w14:solidFill>
          </w14:textFill>
        </w:rPr>
      </w:pPr>
      <w:r>
        <w:rPr>
          <w:rFonts w:hint="eastAsia"/>
          <w:strike w:val="0"/>
          <w:dstrike w:val="0"/>
          <w:color w:val="000000" w:themeColor="text1"/>
          <w:highlight w:val="none"/>
          <w:lang w:eastAsia="zh-CN"/>
          <w14:textFill>
            <w14:solidFill>
              <w14:schemeClr w14:val="tx1"/>
            </w14:solidFill>
          </w14:textFill>
        </w:rPr>
        <w:t>随着畜牧业的快速发展，养殖污染等问题日益突出，制约了畜牧业的可持续发展和生态环境建设</w:t>
      </w:r>
      <w:r>
        <w:rPr>
          <w:color w:val="000000" w:themeColor="text1"/>
          <w:highlight w:val="none"/>
          <w14:textFill>
            <w14:solidFill>
              <w14:schemeClr w14:val="tx1"/>
            </w14:solidFill>
          </w14:textFill>
        </w:rPr>
        <w:t>。为兼顾畜牧发展与环境治理，贯彻落实《畜禽规模养殖污染防治条例》，推动落实畜禽养殖区域划定工作任务，有效防治畜禽养殖对环境造成的污染，进一步规范畜禽养殖业环境管理，合理布局畜禽养殖场所的空间和结构，促进畜牧业持续健康发展，保护和改善生态环境，确保兴宁市畜禽养殖业与环境保护的协调发展并促进产业优化和升级。根据</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关于进一步规范畜禽养殖禁养区划定和管理促进生猪生产发展</w:t>
      </w:r>
      <w:r>
        <w:rPr>
          <w:rFonts w:hint="eastAsia"/>
          <w:color w:val="000000" w:themeColor="text1"/>
          <w:highlight w:val="none"/>
          <w14:textFill>
            <w14:solidFill>
              <w14:schemeClr w14:val="tx1"/>
            </w14:solidFill>
          </w14:textFill>
        </w:rPr>
        <w:t>的通知》（</w:t>
      </w:r>
      <w:r>
        <w:rPr>
          <w:rFonts w:hint="eastAsia"/>
          <w:color w:val="000000" w:themeColor="text1"/>
          <w:highlight w:val="none"/>
          <w:lang w:eastAsia="zh-CN"/>
          <w14:textFill>
            <w14:solidFill>
              <w14:schemeClr w14:val="tx1"/>
            </w14:solidFill>
          </w14:textFill>
        </w:rPr>
        <w:t>环办土壤</w:t>
      </w:r>
      <w:r>
        <w:rPr>
          <w:rFonts w:hint="eastAsia"/>
          <w:color w:val="000000" w:themeColor="text1"/>
          <w:highlight w:val="none"/>
          <w14:textFill>
            <w14:solidFill>
              <w14:schemeClr w14:val="tx1"/>
            </w14:solidFill>
          </w14:textFill>
        </w:rPr>
        <w:t>[201</w:t>
      </w:r>
      <w:r>
        <w:rPr>
          <w:rFonts w:hint="eastAsia"/>
          <w:color w:val="000000" w:themeColor="text1"/>
          <w:highlight w:val="none"/>
          <w:lang w:val="en-US" w:eastAsia="zh-CN"/>
          <w14:textFill>
            <w14:solidFill>
              <w14:schemeClr w14:val="tx1"/>
            </w14:solidFill>
          </w14:textFill>
        </w:rPr>
        <w:t>9</w:t>
      </w:r>
      <w:r>
        <w:rPr>
          <w:rFonts w:hint="eastAsia"/>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55</w:t>
      </w:r>
      <w:r>
        <w:rPr>
          <w:rFonts w:hint="eastAsia"/>
          <w:color w:val="000000" w:themeColor="text1"/>
          <w:highlight w:val="none"/>
          <w14:textFill>
            <w14:solidFill>
              <w14:schemeClr w14:val="tx1"/>
            </w14:solidFill>
          </w14:textFill>
        </w:rPr>
        <w:t>号）和广东省环境保护厅、农业厅《关于印发&lt;广东省畜禽养殖水污染防治方案&gt;的通知》（粤农[2017]222号）</w:t>
      </w:r>
      <w:r>
        <w:rPr>
          <w:color w:val="000000" w:themeColor="text1"/>
          <w:highlight w:val="none"/>
          <w14:textFill>
            <w14:solidFill>
              <w14:schemeClr w14:val="tx1"/>
            </w14:solidFill>
          </w14:textFill>
        </w:rPr>
        <w:t>的相关要求，</w:t>
      </w:r>
      <w:r>
        <w:rPr>
          <w:rFonts w:hint="eastAsia"/>
          <w:color w:val="000000" w:themeColor="text1"/>
          <w:highlight w:val="none"/>
          <w:lang w:eastAsia="zh-CN"/>
          <w14:textFill>
            <w14:solidFill>
              <w14:schemeClr w14:val="tx1"/>
            </w14:solidFill>
          </w14:textFill>
        </w:rPr>
        <w:t>参照</w:t>
      </w:r>
      <w:r>
        <w:rPr>
          <w:rFonts w:hint="eastAsia"/>
          <w:color w:val="000000" w:themeColor="text1"/>
          <w:highlight w:val="none"/>
          <w14:textFill>
            <w14:solidFill>
              <w14:schemeClr w14:val="tx1"/>
            </w14:solidFill>
          </w14:textFill>
        </w:rPr>
        <w:t>兴宁市畜禽养殖禁养区划分方案兴市府办〔2010〕58号文修订编制，</w:t>
      </w:r>
      <w:r>
        <w:rPr>
          <w:color w:val="000000" w:themeColor="text1"/>
          <w:highlight w:val="none"/>
          <w14:textFill>
            <w14:solidFill>
              <w14:schemeClr w14:val="tx1"/>
            </w14:solidFill>
          </w14:textFill>
        </w:rPr>
        <w:t>结合兴宁市实际，依据下列</w:t>
      </w:r>
      <w:r>
        <w:rPr>
          <w:rFonts w:hint="eastAsia"/>
          <w:color w:val="000000" w:themeColor="text1"/>
          <w:highlight w:val="none"/>
          <w:lang w:eastAsia="zh-CN"/>
          <w14:textFill>
            <w14:solidFill>
              <w14:schemeClr w14:val="tx1"/>
            </w14:solidFill>
          </w14:textFill>
        </w:rPr>
        <w:t>七</w:t>
      </w:r>
      <w:r>
        <w:rPr>
          <w:color w:val="000000" w:themeColor="text1"/>
          <w:highlight w:val="none"/>
          <w14:textFill>
            <w14:solidFill>
              <w14:schemeClr w14:val="tx1"/>
            </w14:solidFill>
          </w14:textFill>
        </w:rPr>
        <w:t>项原则进行本划分方案的编制。</w:t>
      </w:r>
    </w:p>
    <w:p>
      <w:pPr>
        <w:keepNext w:val="0"/>
        <w:keepLines w:val="0"/>
        <w:pageBreakBefore w:val="0"/>
        <w:widowControl/>
        <w:kinsoku/>
        <w:wordWrap/>
        <w:overflowPunct/>
        <w:topLinePunct w:val="0"/>
        <w:autoSpaceDE/>
        <w:autoSpaceDN/>
        <w:bidi w:val="0"/>
        <w:adjustRightInd/>
        <w:snapToGrid/>
        <w:spacing w:line="440" w:lineRule="exact"/>
        <w:textAlignment w:val="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（一）依法保护生态环境</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生态优先</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的原则；</w:t>
      </w:r>
    </w:p>
    <w:p>
      <w:pPr>
        <w:keepNext w:val="0"/>
        <w:keepLines w:val="0"/>
        <w:pageBreakBefore w:val="0"/>
        <w:widowControl/>
        <w:kinsoku/>
        <w:wordWrap/>
        <w:overflowPunct/>
        <w:topLinePunct w:val="0"/>
        <w:autoSpaceDE/>
        <w:autoSpaceDN/>
        <w:bidi w:val="0"/>
        <w:adjustRightInd/>
        <w:snapToGrid/>
        <w:spacing w:line="440" w:lineRule="exact"/>
        <w:textAlignment w:val="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（二）生态环境保护与畜牧业持续发展相协调一致的原则</w:t>
      </w:r>
      <w:r>
        <w:rPr>
          <w:rFonts w:hint="eastAsia"/>
          <w:color w:val="000000" w:themeColor="text1"/>
          <w:highlight w:val="none"/>
          <w14:textFill>
            <w14:solidFill>
              <w14:schemeClr w14:val="tx1"/>
            </w14:solidFill>
          </w14:textFill>
        </w:rPr>
        <w:t>，坚持养殖业与生态环境保护持续、健康、协调发展</w:t>
      </w:r>
      <w:r>
        <w:rPr>
          <w:color w:val="000000" w:themeColor="text1"/>
          <w:highlight w:val="none"/>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line="440" w:lineRule="exact"/>
        <w:textAlignment w:val="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（三）畜禽养殖规模与环境资源承载能力相适应的原则</w:t>
      </w:r>
      <w:r>
        <w:rPr>
          <w:rFonts w:hint="eastAsia"/>
          <w:color w:val="000000" w:themeColor="text1"/>
          <w:highlight w:val="none"/>
          <w14:textFill>
            <w14:solidFill>
              <w14:schemeClr w14:val="tx1"/>
            </w14:solidFill>
          </w14:textFill>
        </w:rPr>
        <w:t>，坚持种养结合、生态循环原则</w:t>
      </w:r>
      <w:r>
        <w:rPr>
          <w:color w:val="000000" w:themeColor="text1"/>
          <w:highlight w:val="none"/>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line="440" w:lineRule="exact"/>
        <w:textAlignment w:val="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（四）符合土地利用总体规划、城乡总体规划和畜牧业绿色发展规划的原则；</w:t>
      </w:r>
    </w:p>
    <w:p>
      <w:pPr>
        <w:keepNext w:val="0"/>
        <w:keepLines w:val="0"/>
        <w:pageBreakBefore w:val="0"/>
        <w:widowControl/>
        <w:kinsoku/>
        <w:wordWrap/>
        <w:overflowPunct/>
        <w:topLinePunct w:val="0"/>
        <w:autoSpaceDE/>
        <w:autoSpaceDN/>
        <w:bidi w:val="0"/>
        <w:adjustRightInd/>
        <w:snapToGrid/>
        <w:spacing w:line="440" w:lineRule="exact"/>
        <w:textAlignment w:val="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（五）维护群众合法权益，有效改善生态环境质量</w:t>
      </w:r>
      <w:r>
        <w:rPr>
          <w:rFonts w:hint="eastAsia"/>
          <w:color w:val="000000" w:themeColor="text1"/>
          <w:highlight w:val="none"/>
          <w14:textFill>
            <w14:solidFill>
              <w14:schemeClr w14:val="tx1"/>
            </w14:solidFill>
          </w14:textFill>
        </w:rPr>
        <w:t>，坚持养殖小区建设与新农村建设相结合原则</w:t>
      </w:r>
      <w:r>
        <w:rPr>
          <w:color w:val="000000" w:themeColor="text1"/>
          <w:highlight w:val="none"/>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line="440" w:lineRule="exact"/>
        <w:textAlignment w:val="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（六）突出重点和可操作性的原则</w:t>
      </w:r>
      <w:r>
        <w:rPr>
          <w:rFonts w:hint="eastAsia"/>
          <w:color w:val="000000" w:themeColor="text1"/>
          <w:highlight w:val="none"/>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line="440" w:lineRule="exact"/>
        <w:textAlignment w:val="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（七）</w:t>
      </w:r>
      <w:r>
        <w:rPr>
          <w:rFonts w:hint="eastAsia" w:hAnsi="宋体"/>
          <w:color w:val="000000" w:themeColor="text1"/>
          <w:highlight w:val="none"/>
          <w14:textFill>
            <w14:solidFill>
              <w14:schemeClr w14:val="tx1"/>
            </w14:solidFill>
          </w14:textFill>
        </w:rPr>
        <w:t>符合动物防疫条件的原则。</w:t>
      </w:r>
    </w:p>
    <w:p>
      <w:pPr>
        <w:pStyle w:val="3"/>
        <w:keepNext/>
        <w:keepLines w:val="0"/>
        <w:pageBreakBefore w:val="0"/>
        <w:widowControl/>
        <w:kinsoku/>
        <w:wordWrap/>
        <w:overflowPunct/>
        <w:topLinePunct w:val="0"/>
        <w:autoSpaceDE/>
        <w:autoSpaceDN/>
        <w:bidi w:val="0"/>
        <w:adjustRightInd/>
        <w:snapToGrid/>
        <w:spacing w:before="156" w:after="0" w:afterLines="0"/>
        <w:ind w:left="578" w:hanging="578"/>
        <w:textAlignment w:val="auto"/>
        <w:rPr>
          <w:color w:val="000000" w:themeColor="text1"/>
          <w:highlight w:val="none"/>
          <w14:textFill>
            <w14:solidFill>
              <w14:schemeClr w14:val="tx1"/>
            </w14:solidFill>
          </w14:textFill>
        </w:rPr>
      </w:pPr>
      <w:bookmarkStart w:id="3" w:name="_Toc23207"/>
      <w:r>
        <w:rPr>
          <w:rFonts w:hint="eastAsia"/>
          <w:color w:val="000000" w:themeColor="text1"/>
          <w:highlight w:val="none"/>
          <w14:textFill>
            <w14:solidFill>
              <w14:schemeClr w14:val="tx1"/>
            </w14:solidFill>
          </w14:textFill>
        </w:rPr>
        <w:t>基本要求</w:t>
      </w:r>
      <w:bookmarkEnd w:id="3"/>
    </w:p>
    <w:p>
      <w:pPr>
        <w:keepNext w:val="0"/>
        <w:keepLines w:val="0"/>
        <w:pageBreakBefore w:val="0"/>
        <w:widowControl/>
        <w:kinsoku/>
        <w:wordWrap/>
        <w:overflowPunct/>
        <w:topLinePunct w:val="0"/>
        <w:autoSpaceDE/>
        <w:autoSpaceDN/>
        <w:bidi w:val="0"/>
        <w:adjustRightInd/>
        <w:snapToGrid/>
        <w:spacing w:line="440" w:lineRule="exact"/>
        <w:textAlignment w:val="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以</w:t>
      </w:r>
      <w:r>
        <w:rPr>
          <w:rFonts w:hint="eastAsia"/>
          <w:color w:val="000000" w:themeColor="text1"/>
          <w:highlight w:val="none"/>
          <w:lang w:eastAsia="zh-CN"/>
          <w14:textFill>
            <w14:solidFill>
              <w14:schemeClr w14:val="tx1"/>
            </w14:solidFill>
          </w14:textFill>
        </w:rPr>
        <w:t>优化畜</w:t>
      </w:r>
      <w:r>
        <w:rPr>
          <w:rFonts w:hint="eastAsia"/>
          <w:color w:val="000000" w:themeColor="text1"/>
          <w:highlight w:val="none"/>
          <w14:textFill>
            <w14:solidFill>
              <w14:schemeClr w14:val="tx1"/>
            </w14:solidFill>
          </w14:textFill>
        </w:rPr>
        <w:t>禽养殖产业布局、控制农业面源污染、保障生态环境安全为目的，以统筹兼顾、科学可行、依法合规、以人为本为基本原则，根据《全国主体功能区划》《全国生态功能区划（修编版）》，综合考虑各区域主体功能定位及生态功能重要性前提下，以饮用水水源保护区、自然保护区的核心区和缓冲区、城镇居民区、文化教育科学研究区等区域为重点，科学合理划定禁养区范围，切实加强环境监管，促进环境保护和畜牧业协调发展。</w:t>
      </w:r>
    </w:p>
    <w:p>
      <w:pPr>
        <w:pStyle w:val="2"/>
        <w:rPr>
          <w:color w:val="000000" w:themeColor="text1"/>
          <w:highlight w:val="none"/>
          <w14:textFill>
            <w14:solidFill>
              <w14:schemeClr w14:val="tx1"/>
            </w14:solidFill>
          </w14:textFill>
        </w:rPr>
      </w:pPr>
      <w:bookmarkStart w:id="4" w:name="_Toc287"/>
      <w:r>
        <w:rPr>
          <w:rFonts w:hint="eastAsia"/>
          <w:color w:val="000000" w:themeColor="text1"/>
          <w:highlight w:val="none"/>
          <w14:textFill>
            <w14:solidFill>
              <w14:schemeClr w14:val="tx1"/>
            </w14:solidFill>
          </w14:textFill>
        </w:rPr>
        <w:t>本方案中有关用语的含义</w:t>
      </w:r>
      <w:bookmarkEnd w:id="4"/>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一、本方案所称“畜禽”，是指在人工饲养条件下能正常繁殖三代以上的、以经济利用为目的的家养陆生动物，包括猪、牛、羊、兔、犬、鸡、鸭、鹅、鸽等动物。</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二、本方案所称“畜禽养殖”，是指从事畜禽人工饲养的活动。</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三、本方案所称“畜禽废渣”，是指畜禽养殖活动中产生的粪便、畜禽舍垫料、废饲料及散落的毛羽等固体废物。</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四、本方案所称“</w:t>
      </w:r>
      <w:r>
        <w:rPr>
          <w:rFonts w:hint="eastAsia" w:hAnsi="宋体"/>
          <w:color w:val="000000" w:themeColor="text1"/>
          <w:highlight w:val="none"/>
          <w14:textFill>
            <w14:solidFill>
              <w14:schemeClr w14:val="tx1"/>
            </w14:solidFill>
          </w14:textFill>
        </w:rPr>
        <w:t>畜禽规模养殖场</w:t>
      </w:r>
      <w:r>
        <w:rPr>
          <w:rFonts w:hint="eastAsia"/>
          <w:color w:val="000000" w:themeColor="text1"/>
          <w:highlight w:val="none"/>
          <w14:textFill>
            <w14:solidFill>
              <w14:schemeClr w14:val="tx1"/>
            </w14:solidFill>
          </w14:textFill>
        </w:rPr>
        <w:t>”</w:t>
      </w:r>
    </w:p>
    <w:p>
      <w:pPr>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畜禽规模养殖场：根据广东省农业厅和广东省环境保护厅《关于通报全省畜禽禁养区清理整治进度的函（粤农函[2017]953号）》，畜禽规模养殖场的标准为：生猪≥500头（出栏）、奶牛≥ 100头（存栏）、肉牛≥ 100头（出栏）、蛋鸡≥ 10000羽（存栏）、肉鸡≥ 50000羽（出栏）；</w:t>
      </w:r>
    </w:p>
    <w:p>
      <w:pPr>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其他动物品种按《畜禽养殖业污染物排放标准（DB/613-2009）》相关规定进行折算。</w:t>
      </w:r>
    </w:p>
    <w:p>
      <w:pPr>
        <w:numPr>
          <w:ilvl w:val="0"/>
          <w:numId w:val="2"/>
        </w:num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畜禽养殖禁养区指</w:t>
      </w:r>
      <w:r>
        <w:rPr>
          <w:rFonts w:hint="eastAsia"/>
          <w:color w:val="000000" w:themeColor="text1"/>
          <w:highlight w:val="none"/>
          <w:lang w:eastAsia="zh-CN"/>
          <w14:textFill>
            <w14:solidFill>
              <w14:schemeClr w14:val="tx1"/>
            </w14:solidFill>
          </w14:textFill>
        </w:rPr>
        <w:t>兴宁市人民政府</w:t>
      </w:r>
      <w:r>
        <w:rPr>
          <w:rFonts w:hint="eastAsia"/>
          <w:color w:val="000000" w:themeColor="text1"/>
          <w:highlight w:val="none"/>
          <w14:textFill>
            <w14:solidFill>
              <w14:schemeClr w14:val="tx1"/>
            </w14:solidFill>
          </w14:textFill>
        </w:rPr>
        <w:t>依法划定的禁止建设养殖场的区域。</w:t>
      </w:r>
      <w:r>
        <w:rPr>
          <w:color w:val="000000" w:themeColor="text1"/>
          <w:highlight w:val="none"/>
          <w14:textFill>
            <w14:solidFill>
              <w14:schemeClr w14:val="tx1"/>
            </w14:solidFill>
          </w14:textFill>
        </w:rPr>
        <w:t xml:space="preserve"> </w:t>
      </w:r>
    </w:p>
    <w:p>
      <w:pPr>
        <w:rPr>
          <w:color w:val="000000" w:themeColor="text1"/>
          <w:highlight w:val="none"/>
          <w14:textFill>
            <w14:solidFill>
              <w14:schemeClr w14:val="tx1"/>
            </w14:solidFill>
          </w14:textFill>
        </w:rPr>
      </w:pPr>
    </w:p>
    <w:p>
      <w:pPr>
        <w:numPr>
          <w:ilvl w:val="0"/>
          <w:numId w:val="0"/>
        </w:numPr>
        <w:rPr>
          <w:color w:val="000000" w:themeColor="text1"/>
          <w:highlight w:val="none"/>
          <w14:textFill>
            <w14:solidFill>
              <w14:schemeClr w14:val="tx1"/>
            </w14:solidFill>
          </w14:textFill>
        </w:rPr>
      </w:pPr>
    </w:p>
    <w:p>
      <w:pPr>
        <w:numPr>
          <w:ilvl w:val="0"/>
          <w:numId w:val="0"/>
        </w:numPr>
        <w:rPr>
          <w:color w:val="000000" w:themeColor="text1"/>
          <w:highlight w:val="none"/>
          <w14:textFill>
            <w14:solidFill>
              <w14:schemeClr w14:val="tx1"/>
            </w14:solidFill>
          </w14:textFill>
        </w:rPr>
      </w:pPr>
    </w:p>
    <w:p>
      <w:pPr>
        <w:numPr>
          <w:ilvl w:val="0"/>
          <w:numId w:val="0"/>
        </w:numPr>
        <w:rPr>
          <w:color w:val="000000" w:themeColor="text1"/>
          <w:highlight w:val="none"/>
          <w14:textFill>
            <w14:solidFill>
              <w14:schemeClr w14:val="tx1"/>
            </w14:solidFill>
          </w14:textFill>
        </w:rPr>
      </w:pPr>
    </w:p>
    <w:p>
      <w:pPr>
        <w:numPr>
          <w:ilvl w:val="0"/>
          <w:numId w:val="0"/>
        </w:numPr>
        <w:rPr>
          <w:color w:val="000000" w:themeColor="text1"/>
          <w:highlight w:val="none"/>
          <w14:textFill>
            <w14:solidFill>
              <w14:schemeClr w14:val="tx1"/>
            </w14:solidFill>
          </w14:textFill>
        </w:rPr>
      </w:pPr>
    </w:p>
    <w:p>
      <w:pPr>
        <w:numPr>
          <w:ilvl w:val="0"/>
          <w:numId w:val="0"/>
        </w:numPr>
        <w:rPr>
          <w:color w:val="000000" w:themeColor="text1"/>
          <w:highlight w:val="none"/>
          <w14:textFill>
            <w14:solidFill>
              <w14:schemeClr w14:val="tx1"/>
            </w14:solidFill>
          </w14:textFill>
        </w:rPr>
      </w:pPr>
    </w:p>
    <w:p>
      <w:pPr>
        <w:numPr>
          <w:ilvl w:val="0"/>
          <w:numId w:val="0"/>
        </w:numPr>
        <w:rPr>
          <w:color w:val="000000" w:themeColor="text1"/>
          <w:highlight w:val="none"/>
          <w14:textFill>
            <w14:solidFill>
              <w14:schemeClr w14:val="tx1"/>
            </w14:solidFill>
          </w14:textFill>
        </w:rPr>
      </w:pPr>
    </w:p>
    <w:p>
      <w:pPr>
        <w:numPr>
          <w:ilvl w:val="0"/>
          <w:numId w:val="0"/>
        </w:numPr>
        <w:rPr>
          <w:color w:val="000000" w:themeColor="text1"/>
          <w:highlight w:val="none"/>
          <w14:textFill>
            <w14:solidFill>
              <w14:schemeClr w14:val="tx1"/>
            </w14:solidFill>
          </w14:textFill>
        </w:rPr>
      </w:pPr>
    </w:p>
    <w:p>
      <w:pPr>
        <w:numPr>
          <w:ilvl w:val="0"/>
          <w:numId w:val="0"/>
        </w:numPr>
        <w:rPr>
          <w:color w:val="000000" w:themeColor="text1"/>
          <w:highlight w:val="none"/>
          <w14:textFill>
            <w14:solidFill>
              <w14:schemeClr w14:val="tx1"/>
            </w14:solidFill>
          </w14:textFill>
        </w:rPr>
      </w:pPr>
    </w:p>
    <w:p>
      <w:pPr>
        <w:numPr>
          <w:ilvl w:val="0"/>
          <w:numId w:val="0"/>
        </w:numPr>
        <w:rPr>
          <w:color w:val="000000" w:themeColor="text1"/>
          <w:highlight w:val="none"/>
          <w14:textFill>
            <w14:solidFill>
              <w14:schemeClr w14:val="tx1"/>
            </w14:solidFill>
          </w14:textFill>
        </w:rPr>
      </w:pPr>
    </w:p>
    <w:p>
      <w:pPr>
        <w:numPr>
          <w:ilvl w:val="0"/>
          <w:numId w:val="0"/>
        </w:numPr>
        <w:rPr>
          <w:color w:val="000000" w:themeColor="text1"/>
          <w:highlight w:val="none"/>
          <w14:textFill>
            <w14:solidFill>
              <w14:schemeClr w14:val="tx1"/>
            </w14:solidFill>
          </w14:textFill>
        </w:rPr>
      </w:pPr>
    </w:p>
    <w:p>
      <w:pPr>
        <w:numPr>
          <w:ilvl w:val="0"/>
          <w:numId w:val="0"/>
        </w:numPr>
        <w:rPr>
          <w:color w:val="000000" w:themeColor="text1"/>
          <w:highlight w:val="none"/>
          <w14:textFill>
            <w14:solidFill>
              <w14:schemeClr w14:val="tx1"/>
            </w14:solidFill>
          </w14:textFill>
        </w:rPr>
      </w:pPr>
    </w:p>
    <w:p>
      <w:pPr>
        <w:pStyle w:val="2"/>
        <w:rPr>
          <w:color w:val="000000" w:themeColor="text1"/>
          <w:highlight w:val="none"/>
          <w14:textFill>
            <w14:solidFill>
              <w14:schemeClr w14:val="tx1"/>
            </w14:solidFill>
          </w14:textFill>
        </w:rPr>
      </w:pPr>
      <w:bookmarkStart w:id="5" w:name="_Toc5648"/>
      <w:r>
        <w:rPr>
          <w:rFonts w:hint="eastAsia"/>
          <w:color w:val="000000" w:themeColor="text1"/>
          <w:highlight w:val="none"/>
          <w:lang w:eastAsia="zh-CN"/>
          <w14:textFill>
            <w14:solidFill>
              <w14:schemeClr w14:val="tx1"/>
            </w14:solidFill>
          </w14:textFill>
        </w:rPr>
        <w:t>编制</w:t>
      </w:r>
      <w:r>
        <w:rPr>
          <w:rFonts w:hint="eastAsia"/>
          <w:color w:val="000000" w:themeColor="text1"/>
          <w:highlight w:val="none"/>
          <w14:textFill>
            <w14:solidFill>
              <w14:schemeClr w14:val="tx1"/>
            </w14:solidFill>
          </w14:textFill>
        </w:rPr>
        <w:t>依据</w:t>
      </w:r>
      <w:bookmarkEnd w:id="5"/>
    </w:p>
    <w:p>
      <w:pPr>
        <w:pStyle w:val="75"/>
        <w:keepNext w:val="0"/>
        <w:keepLines w:val="0"/>
        <w:pageBreakBefore w:val="0"/>
        <w:widowControl/>
        <w:kinsoku/>
        <w:wordWrap/>
        <w:overflowPunct/>
        <w:topLinePunct w:val="0"/>
        <w:autoSpaceDE/>
        <w:autoSpaceDN/>
        <w:bidi w:val="0"/>
        <w:adjustRightInd/>
        <w:snapToGrid/>
        <w:ind w:left="0" w:leftChars="0" w:firstLine="480" w:firstLineChars="200"/>
        <w:textAlignment w:val="auto"/>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（1）《中华人民共和国环境保护法》</w:t>
      </w:r>
    </w:p>
    <w:p>
      <w:pPr>
        <w:pStyle w:val="75"/>
        <w:keepNext w:val="0"/>
        <w:keepLines w:val="0"/>
        <w:pageBreakBefore w:val="0"/>
        <w:widowControl/>
        <w:kinsoku/>
        <w:wordWrap/>
        <w:overflowPunct/>
        <w:topLinePunct w:val="0"/>
        <w:autoSpaceDE/>
        <w:autoSpaceDN/>
        <w:bidi w:val="0"/>
        <w:adjustRightInd/>
        <w:snapToGrid/>
        <w:ind w:left="0" w:leftChars="0" w:firstLine="480" w:firstLineChars="200"/>
        <w:textAlignment w:val="auto"/>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（2）《中华人民共和国畜牧法》</w:t>
      </w:r>
    </w:p>
    <w:p>
      <w:pPr>
        <w:pStyle w:val="75"/>
        <w:keepNext w:val="0"/>
        <w:keepLines w:val="0"/>
        <w:pageBreakBefore w:val="0"/>
        <w:widowControl/>
        <w:kinsoku/>
        <w:wordWrap/>
        <w:overflowPunct/>
        <w:topLinePunct w:val="0"/>
        <w:autoSpaceDE/>
        <w:autoSpaceDN/>
        <w:bidi w:val="0"/>
        <w:adjustRightInd/>
        <w:snapToGrid/>
        <w:ind w:left="0" w:leftChars="0" w:firstLine="480" w:firstLineChars="200"/>
        <w:textAlignment w:val="auto"/>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（3）《中华人民共和国水污染防治法》</w:t>
      </w:r>
    </w:p>
    <w:p>
      <w:pPr>
        <w:pStyle w:val="75"/>
        <w:keepNext w:val="0"/>
        <w:keepLines w:val="0"/>
        <w:pageBreakBefore w:val="0"/>
        <w:widowControl/>
        <w:kinsoku/>
        <w:wordWrap/>
        <w:overflowPunct/>
        <w:topLinePunct w:val="0"/>
        <w:autoSpaceDE/>
        <w:autoSpaceDN/>
        <w:bidi w:val="0"/>
        <w:adjustRightInd/>
        <w:snapToGrid/>
        <w:ind w:left="0" w:leftChars="0" w:firstLine="480" w:firstLineChars="200"/>
        <w:textAlignment w:val="auto"/>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（4）《中华人民共和国大气污染防治法》</w:t>
      </w:r>
    </w:p>
    <w:p>
      <w:pPr>
        <w:pStyle w:val="75"/>
        <w:keepNext w:val="0"/>
        <w:keepLines w:val="0"/>
        <w:pageBreakBefore w:val="0"/>
        <w:widowControl/>
        <w:kinsoku/>
        <w:wordWrap/>
        <w:overflowPunct/>
        <w:topLinePunct w:val="0"/>
        <w:autoSpaceDE/>
        <w:autoSpaceDN/>
        <w:bidi w:val="0"/>
        <w:adjustRightInd/>
        <w:snapToGrid/>
        <w:ind w:left="0" w:leftChars="0" w:firstLine="480" w:firstLineChars="200"/>
        <w:textAlignment w:val="auto"/>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（5）《畜禽规模养殖污染防治条例》</w:t>
      </w:r>
    </w:p>
    <w:p>
      <w:pPr>
        <w:pStyle w:val="75"/>
        <w:keepNext w:val="0"/>
        <w:keepLines w:val="0"/>
        <w:pageBreakBefore w:val="0"/>
        <w:widowControl/>
        <w:kinsoku/>
        <w:wordWrap/>
        <w:overflowPunct/>
        <w:topLinePunct w:val="0"/>
        <w:autoSpaceDE/>
        <w:autoSpaceDN/>
        <w:bidi w:val="0"/>
        <w:adjustRightInd/>
        <w:snapToGrid/>
        <w:ind w:left="0" w:leftChars="0" w:firstLine="480" w:firstLineChars="200"/>
        <w:textAlignment w:val="auto"/>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（6）《水污染防治行动计划》</w:t>
      </w:r>
    </w:p>
    <w:p>
      <w:pPr>
        <w:pStyle w:val="75"/>
        <w:keepNext w:val="0"/>
        <w:keepLines w:val="0"/>
        <w:pageBreakBefore w:val="0"/>
        <w:widowControl/>
        <w:kinsoku/>
        <w:wordWrap/>
        <w:overflowPunct/>
        <w:topLinePunct w:val="0"/>
        <w:autoSpaceDE/>
        <w:autoSpaceDN/>
        <w:bidi w:val="0"/>
        <w:adjustRightInd/>
        <w:snapToGrid/>
        <w:ind w:left="0" w:leftChars="0" w:firstLine="480" w:firstLineChars="200"/>
        <w:textAlignment w:val="auto"/>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（7）《饮用水水源保护区划分技术规范》（HJ/T 338-2</w:t>
      </w:r>
      <w:r>
        <w:rPr>
          <w:rFonts w:hint="eastAsia"/>
          <w:color w:val="000000" w:themeColor="text1"/>
          <w:highlight w:val="none"/>
          <w:lang w:val="en-US" w:eastAsia="zh-CN"/>
          <w14:textFill>
            <w14:solidFill>
              <w14:schemeClr w14:val="tx1"/>
            </w14:solidFill>
          </w14:textFill>
        </w:rPr>
        <w:t>018</w:t>
      </w:r>
      <w:r>
        <w:rPr>
          <w:rFonts w:hint="eastAsia"/>
          <w:color w:val="000000" w:themeColor="text1"/>
          <w:highlight w:val="none"/>
          <w14:textFill>
            <w14:solidFill>
              <w14:schemeClr w14:val="tx1"/>
            </w14:solidFill>
          </w14:textFill>
        </w:rPr>
        <w:t>）</w:t>
      </w:r>
    </w:p>
    <w:p>
      <w:pPr>
        <w:pStyle w:val="75"/>
        <w:keepNext w:val="0"/>
        <w:keepLines w:val="0"/>
        <w:pageBreakBefore w:val="0"/>
        <w:widowControl/>
        <w:kinsoku/>
        <w:wordWrap/>
        <w:overflowPunct/>
        <w:topLinePunct w:val="0"/>
        <w:autoSpaceDE/>
        <w:autoSpaceDN/>
        <w:bidi w:val="0"/>
        <w:adjustRightInd/>
        <w:snapToGrid/>
        <w:ind w:left="0" w:leftChars="0" w:firstLine="480" w:firstLineChars="200"/>
        <w:textAlignment w:val="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（8）</w:t>
      </w:r>
      <w:r>
        <w:rPr>
          <w:rFonts w:hint="eastAsia"/>
          <w:color w:val="000000" w:themeColor="text1"/>
          <w:highlight w:val="none"/>
          <w:lang w:val="en-US" w:eastAsia="zh-CN"/>
          <w14:textFill>
            <w14:solidFill>
              <w14:schemeClr w14:val="tx1"/>
            </w14:solidFill>
          </w14:textFill>
        </w:rPr>
        <w:t xml:space="preserve"> </w:t>
      </w:r>
      <w:r>
        <w:rPr>
          <w:rFonts w:hint="eastAsia"/>
          <w:color w:val="000000" w:themeColor="text1"/>
          <w:highlight w:val="none"/>
          <w14:textFill>
            <w14:solidFill>
              <w14:schemeClr w14:val="tx1"/>
            </w14:solidFill>
          </w14:textFill>
        </w:rPr>
        <w:t>其他有关法律法规和技术规范</w:t>
      </w:r>
    </w:p>
    <w:p>
      <w:pPr>
        <w:pStyle w:val="75"/>
        <w:ind w:firstLineChars="0"/>
        <w:rPr>
          <w:color w:val="000000" w:themeColor="text1"/>
          <w:highlight w:val="none"/>
          <w14:textFill>
            <w14:solidFill>
              <w14:schemeClr w14:val="tx1"/>
            </w14:solidFill>
          </w14:textFill>
        </w:rPr>
      </w:pPr>
    </w:p>
    <w:p>
      <w:pPr>
        <w:pStyle w:val="75"/>
        <w:ind w:firstLineChars="0"/>
        <w:rPr>
          <w:color w:val="000000" w:themeColor="text1"/>
          <w:highlight w:val="none"/>
          <w14:textFill>
            <w14:solidFill>
              <w14:schemeClr w14:val="tx1"/>
            </w14:solidFill>
          </w14:textFill>
        </w:rPr>
      </w:pPr>
    </w:p>
    <w:p>
      <w:pPr>
        <w:pStyle w:val="75"/>
        <w:ind w:firstLineChars="0"/>
        <w:rPr>
          <w:color w:val="000000" w:themeColor="text1"/>
          <w:highlight w:val="none"/>
          <w14:textFill>
            <w14:solidFill>
              <w14:schemeClr w14:val="tx1"/>
            </w14:solidFill>
          </w14:textFill>
        </w:rPr>
      </w:pPr>
    </w:p>
    <w:p>
      <w:pPr>
        <w:pStyle w:val="75"/>
        <w:ind w:firstLineChars="0"/>
        <w:rPr>
          <w:color w:val="000000" w:themeColor="text1"/>
          <w:highlight w:val="none"/>
          <w14:textFill>
            <w14:solidFill>
              <w14:schemeClr w14:val="tx1"/>
            </w14:solidFill>
          </w14:textFill>
        </w:rPr>
      </w:pPr>
    </w:p>
    <w:p>
      <w:pPr>
        <w:pStyle w:val="75"/>
        <w:ind w:firstLineChars="0"/>
        <w:rPr>
          <w:color w:val="000000" w:themeColor="text1"/>
          <w:highlight w:val="none"/>
          <w14:textFill>
            <w14:solidFill>
              <w14:schemeClr w14:val="tx1"/>
            </w14:solidFill>
          </w14:textFill>
        </w:rPr>
      </w:pPr>
    </w:p>
    <w:p>
      <w:pPr>
        <w:pStyle w:val="75"/>
        <w:ind w:firstLineChars="0"/>
        <w:rPr>
          <w:color w:val="000000" w:themeColor="text1"/>
          <w:highlight w:val="none"/>
          <w14:textFill>
            <w14:solidFill>
              <w14:schemeClr w14:val="tx1"/>
            </w14:solidFill>
          </w14:textFill>
        </w:rPr>
      </w:pPr>
    </w:p>
    <w:p>
      <w:pPr>
        <w:pStyle w:val="75"/>
        <w:ind w:firstLineChars="0"/>
        <w:rPr>
          <w:color w:val="000000" w:themeColor="text1"/>
          <w:highlight w:val="none"/>
          <w14:textFill>
            <w14:solidFill>
              <w14:schemeClr w14:val="tx1"/>
            </w14:solidFill>
          </w14:textFill>
        </w:rPr>
      </w:pPr>
    </w:p>
    <w:p>
      <w:pPr>
        <w:pStyle w:val="75"/>
        <w:ind w:left="0" w:leftChars="0" w:firstLine="0" w:firstLineChars="0"/>
        <w:rPr>
          <w:color w:val="000000" w:themeColor="text1"/>
          <w:highlight w:val="none"/>
          <w14:textFill>
            <w14:solidFill>
              <w14:schemeClr w14:val="tx1"/>
            </w14:solidFill>
          </w14:textFill>
        </w:rPr>
      </w:pPr>
    </w:p>
    <w:p>
      <w:pPr>
        <w:pStyle w:val="75"/>
        <w:ind w:left="0" w:leftChars="0" w:firstLine="0" w:firstLineChars="0"/>
        <w:rPr>
          <w:color w:val="000000" w:themeColor="text1"/>
          <w:highlight w:val="none"/>
          <w14:textFill>
            <w14:solidFill>
              <w14:schemeClr w14:val="tx1"/>
            </w14:solidFill>
          </w14:textFill>
        </w:rPr>
      </w:pPr>
    </w:p>
    <w:p>
      <w:pPr>
        <w:pStyle w:val="75"/>
        <w:ind w:left="0" w:leftChars="0" w:firstLine="0" w:firstLineChars="0"/>
        <w:rPr>
          <w:color w:val="000000" w:themeColor="text1"/>
          <w:highlight w:val="none"/>
          <w14:textFill>
            <w14:solidFill>
              <w14:schemeClr w14:val="tx1"/>
            </w14:solidFill>
          </w14:textFill>
        </w:rPr>
      </w:pPr>
    </w:p>
    <w:p>
      <w:pPr>
        <w:pStyle w:val="75"/>
        <w:ind w:left="0" w:leftChars="0" w:firstLine="0" w:firstLineChars="0"/>
        <w:rPr>
          <w:color w:val="000000" w:themeColor="text1"/>
          <w:highlight w:val="none"/>
          <w14:textFill>
            <w14:solidFill>
              <w14:schemeClr w14:val="tx1"/>
            </w14:solidFill>
          </w14:textFill>
        </w:rPr>
      </w:pPr>
    </w:p>
    <w:p>
      <w:pPr>
        <w:pStyle w:val="75"/>
        <w:ind w:left="0" w:leftChars="0" w:firstLine="0" w:firstLineChars="0"/>
        <w:rPr>
          <w:color w:val="000000" w:themeColor="text1"/>
          <w:highlight w:val="none"/>
          <w14:textFill>
            <w14:solidFill>
              <w14:schemeClr w14:val="tx1"/>
            </w14:solidFill>
          </w14:textFill>
        </w:rPr>
      </w:pPr>
    </w:p>
    <w:p>
      <w:pPr>
        <w:pStyle w:val="75"/>
        <w:ind w:left="0" w:leftChars="0" w:firstLine="0" w:firstLineChars="0"/>
        <w:rPr>
          <w:color w:val="000000" w:themeColor="text1"/>
          <w:highlight w:val="none"/>
          <w14:textFill>
            <w14:solidFill>
              <w14:schemeClr w14:val="tx1"/>
            </w14:solidFill>
          </w14:textFill>
        </w:rPr>
      </w:pPr>
    </w:p>
    <w:p>
      <w:pPr>
        <w:pStyle w:val="75"/>
        <w:ind w:left="0" w:leftChars="0" w:firstLine="0" w:firstLineChars="0"/>
        <w:rPr>
          <w:color w:val="000000" w:themeColor="text1"/>
          <w:highlight w:val="none"/>
          <w14:textFill>
            <w14:solidFill>
              <w14:schemeClr w14:val="tx1"/>
            </w14:solidFill>
          </w14:textFill>
        </w:rPr>
      </w:pPr>
    </w:p>
    <w:p>
      <w:pPr>
        <w:pStyle w:val="75"/>
        <w:ind w:left="0" w:leftChars="0" w:firstLine="0" w:firstLineChars="0"/>
        <w:rPr>
          <w:color w:val="000000" w:themeColor="text1"/>
          <w:highlight w:val="none"/>
          <w14:textFill>
            <w14:solidFill>
              <w14:schemeClr w14:val="tx1"/>
            </w14:solidFill>
          </w14:textFill>
        </w:rPr>
      </w:pPr>
    </w:p>
    <w:p>
      <w:pPr>
        <w:pStyle w:val="75"/>
        <w:ind w:left="0" w:leftChars="0" w:firstLine="0" w:firstLineChars="0"/>
        <w:rPr>
          <w:color w:val="000000" w:themeColor="text1"/>
          <w:highlight w:val="none"/>
          <w14:textFill>
            <w14:solidFill>
              <w14:schemeClr w14:val="tx1"/>
            </w14:solidFill>
          </w14:textFill>
        </w:rPr>
      </w:pPr>
    </w:p>
    <w:p>
      <w:pPr>
        <w:pStyle w:val="75"/>
        <w:ind w:left="0" w:leftChars="0" w:firstLine="0" w:firstLineChars="0"/>
        <w:rPr>
          <w:color w:val="000000" w:themeColor="text1"/>
          <w:highlight w:val="none"/>
          <w14:textFill>
            <w14:solidFill>
              <w14:schemeClr w14:val="tx1"/>
            </w14:solidFill>
          </w14:textFill>
        </w:rPr>
      </w:pPr>
    </w:p>
    <w:p>
      <w:pPr>
        <w:pStyle w:val="75"/>
        <w:ind w:left="0" w:leftChars="0" w:firstLine="0" w:firstLineChars="0"/>
        <w:rPr>
          <w:color w:val="000000" w:themeColor="text1"/>
          <w:highlight w:val="none"/>
          <w14:textFill>
            <w14:solidFill>
              <w14:schemeClr w14:val="tx1"/>
            </w14:solidFill>
          </w14:textFill>
        </w:rPr>
      </w:pPr>
    </w:p>
    <w:p>
      <w:pPr>
        <w:pStyle w:val="2"/>
        <w:rPr>
          <w:color w:val="000000" w:themeColor="text1"/>
          <w:highlight w:val="none"/>
          <w14:textFill>
            <w14:solidFill>
              <w14:schemeClr w14:val="tx1"/>
            </w14:solidFill>
          </w14:textFill>
        </w:rPr>
      </w:pPr>
      <w:bookmarkStart w:id="6" w:name="_Toc29153"/>
      <w:r>
        <w:rPr>
          <w:rFonts w:hint="eastAsia"/>
          <w:color w:val="000000" w:themeColor="text1"/>
          <w:highlight w:val="none"/>
          <w14:textFill>
            <w14:solidFill>
              <w14:schemeClr w14:val="tx1"/>
            </w14:solidFill>
          </w14:textFill>
        </w:rPr>
        <w:t>划分的法律法规依据</w:t>
      </w:r>
      <w:bookmarkEnd w:id="6"/>
    </w:p>
    <w:p>
      <w:pPr>
        <w:pStyle w:val="5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表5.1-1    细化划分依据一览表</w:t>
      </w:r>
    </w:p>
    <w:tbl>
      <w:tblPr>
        <w:tblStyle w:val="34"/>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1"/>
        <w:gridCol w:w="1431"/>
        <w:gridCol w:w="69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ascii="宋体" w:hAnsi="宋体"/>
                <w:color w:val="000000" w:themeColor="text1"/>
                <w:sz w:val="20"/>
                <w:szCs w:val="20"/>
                <w:highlight w:val="none"/>
                <w14:textFill>
                  <w14:solidFill>
                    <w14:schemeClr w14:val="tx1"/>
                  </w14:solidFill>
                </w14:textFill>
              </w:rPr>
            </w:pPr>
            <w:r>
              <w:rPr>
                <w:rFonts w:hint="eastAsia" w:ascii="宋体" w:hAnsi="宋体"/>
                <w:color w:val="000000" w:themeColor="text1"/>
                <w:sz w:val="20"/>
                <w:szCs w:val="20"/>
                <w:highlight w:val="none"/>
                <w14:textFill>
                  <w14:solidFill>
                    <w14:schemeClr w14:val="tx1"/>
                  </w14:solidFill>
                </w14:textFill>
              </w:rPr>
              <w:t>项目</w:t>
            </w:r>
          </w:p>
        </w:tc>
        <w:tc>
          <w:tcPr>
            <w:tcW w:w="1431" w:type="dxa"/>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ascii="宋体" w:hAnsi="宋体"/>
                <w:color w:val="000000" w:themeColor="text1"/>
                <w:sz w:val="20"/>
                <w:szCs w:val="20"/>
                <w:highlight w:val="none"/>
                <w14:textFill>
                  <w14:solidFill>
                    <w14:schemeClr w14:val="tx1"/>
                  </w14:solidFill>
                </w14:textFill>
              </w:rPr>
            </w:pPr>
            <w:r>
              <w:rPr>
                <w:rFonts w:hint="eastAsia" w:ascii="宋体" w:hAnsi="宋体"/>
                <w:color w:val="000000" w:themeColor="text1"/>
                <w:sz w:val="20"/>
                <w:szCs w:val="20"/>
                <w:highlight w:val="none"/>
                <w14:textFill>
                  <w14:solidFill>
                    <w14:schemeClr w14:val="tx1"/>
                  </w14:solidFill>
                </w14:textFill>
              </w:rPr>
              <w:t>划定范围</w:t>
            </w:r>
          </w:p>
        </w:tc>
        <w:tc>
          <w:tcPr>
            <w:tcW w:w="6962" w:type="dxa"/>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划定法律法规依据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4" w:hRule="atLeast"/>
        </w:trPr>
        <w:tc>
          <w:tcPr>
            <w:tcW w:w="781" w:type="dxa"/>
            <w:vMerge w:val="restart"/>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ascii="宋体" w:hAnsi="宋体"/>
                <w:color w:val="000000" w:themeColor="text1"/>
                <w:sz w:val="20"/>
                <w:szCs w:val="20"/>
                <w:highlight w:val="none"/>
                <w14:textFill>
                  <w14:solidFill>
                    <w14:schemeClr w14:val="tx1"/>
                  </w14:solidFill>
                </w14:textFill>
              </w:rPr>
            </w:pPr>
            <w:r>
              <w:rPr>
                <w:rFonts w:hint="eastAsia" w:ascii="宋体" w:hAnsi="宋体"/>
                <w:color w:val="000000" w:themeColor="text1"/>
                <w:sz w:val="20"/>
                <w:szCs w:val="20"/>
                <w:highlight w:val="none"/>
                <w14:textFill>
                  <w14:solidFill>
                    <w14:schemeClr w14:val="tx1"/>
                  </w14:solidFill>
                </w14:textFill>
              </w:rPr>
              <w:t>（一）禁养区范围</w:t>
            </w:r>
          </w:p>
        </w:tc>
        <w:tc>
          <w:tcPr>
            <w:tcW w:w="1431" w:type="dxa"/>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eastAsia" w:ascii="宋体" w:hAnsi="宋体" w:eastAsia="宋体"/>
                <w:color w:val="000000" w:themeColor="text1"/>
                <w:sz w:val="20"/>
                <w:szCs w:val="20"/>
                <w:highlight w:val="none"/>
                <w:lang w:eastAsia="zh-CN"/>
                <w14:textFill>
                  <w14:solidFill>
                    <w14:schemeClr w14:val="tx1"/>
                  </w14:solidFill>
                </w14:textFill>
              </w:rPr>
            </w:pPr>
            <w:r>
              <w:rPr>
                <w:rFonts w:hint="eastAsia" w:ascii="宋体" w:hAnsi="宋体"/>
                <w:color w:val="000000" w:themeColor="text1"/>
                <w:sz w:val="20"/>
                <w:szCs w:val="20"/>
                <w:highlight w:val="none"/>
                <w14:textFill>
                  <w14:solidFill>
                    <w14:schemeClr w14:val="tx1"/>
                  </w14:solidFill>
                </w14:textFill>
              </w:rPr>
              <w:t>1.饮用水源保护区</w:t>
            </w:r>
            <w:r>
              <w:rPr>
                <w:rFonts w:hint="eastAsia" w:ascii="宋体" w:hAnsi="宋体"/>
                <w:color w:val="000000" w:themeColor="text1"/>
                <w:sz w:val="20"/>
                <w:szCs w:val="20"/>
                <w:highlight w:val="none"/>
                <w:lang w:eastAsia="zh-CN"/>
                <w14:textFill>
                  <w14:solidFill>
                    <w14:schemeClr w14:val="tx1"/>
                  </w14:solidFill>
                </w14:textFill>
              </w:rPr>
              <w:t>（一级、二级保护区）</w:t>
            </w:r>
          </w:p>
        </w:tc>
        <w:tc>
          <w:tcPr>
            <w:tcW w:w="6962" w:type="dxa"/>
            <w:vMerge w:val="restart"/>
          </w:tcPr>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依据一：《中华人民共和国畜牧法》</w:t>
            </w:r>
            <w:r>
              <w:rPr>
                <w:rFonts w:hint="eastAsia" w:ascii="宋体" w:hAnsi="宋体" w:eastAsia="宋体" w:cs="宋体"/>
                <w:b w:val="0"/>
                <w:bCs w:val="0"/>
                <w:color w:val="000000" w:themeColor="text1"/>
                <w:sz w:val="20"/>
                <w:szCs w:val="20"/>
                <w:highlight w:val="none"/>
                <w:lang w:eastAsia="zh-CN"/>
                <w14:textFill>
                  <w14:solidFill>
                    <w14:schemeClr w14:val="tx1"/>
                  </w14:solidFill>
                </w14:textFill>
              </w:rPr>
              <w:t>（</w:t>
            </w:r>
            <w:r>
              <w:rPr>
                <w:rFonts w:hint="eastAsia" w:ascii="宋体" w:hAnsi="宋体" w:eastAsia="宋体" w:cs="宋体"/>
                <w:b w:val="0"/>
                <w:bCs w:val="0"/>
                <w:color w:val="000000" w:themeColor="text1"/>
                <w:sz w:val="20"/>
                <w:szCs w:val="20"/>
                <w:highlight w:val="none"/>
                <w:lang w:val="en-US" w:eastAsia="zh-CN"/>
                <w14:textFill>
                  <w14:solidFill>
                    <w14:schemeClr w14:val="tx1"/>
                  </w14:solidFill>
                </w14:textFill>
              </w:rPr>
              <w:t>2015年修正</w:t>
            </w:r>
            <w:r>
              <w:rPr>
                <w:rFonts w:hint="eastAsia" w:ascii="宋体" w:hAnsi="宋体" w:eastAsia="宋体" w:cs="宋体"/>
                <w:b w:val="0"/>
                <w:bCs w:val="0"/>
                <w:color w:val="000000" w:themeColor="text1"/>
                <w:sz w:val="20"/>
                <w:szCs w:val="20"/>
                <w:highlight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第</w:t>
            </w:r>
            <w:r>
              <w:rPr>
                <w:rFonts w:hint="eastAsia" w:ascii="宋体" w:hAnsi="宋体" w:eastAsia="宋体" w:cs="宋体"/>
                <w:color w:val="000000" w:themeColor="text1"/>
                <w:sz w:val="20"/>
                <w:szCs w:val="20"/>
                <w:highlight w:val="none"/>
                <w:lang w:eastAsia="zh-CN"/>
                <w14:textFill>
                  <w14:solidFill>
                    <w14:schemeClr w14:val="tx1"/>
                  </w14:solidFill>
                </w14:textFill>
              </w:rPr>
              <w:t>四十</w:t>
            </w:r>
            <w:r>
              <w:rPr>
                <w:rFonts w:hint="eastAsia" w:ascii="宋体" w:hAnsi="宋体" w:eastAsia="宋体" w:cs="宋体"/>
                <w:color w:val="000000" w:themeColor="text1"/>
                <w:sz w:val="20"/>
                <w:szCs w:val="20"/>
                <w:highlight w:val="none"/>
                <w14:textFill>
                  <w14:solidFill>
                    <w14:schemeClr w14:val="tx1"/>
                  </w14:solidFill>
                </w14:textFill>
              </w:rPr>
              <w:t>条 禁止在下列区域内建设畜禽养殖场、养殖小区：</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（一）生活饮用水的水源保护区，风景名胜区，以及自然保护区的核心区和缓冲区；</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（二）城镇居民区、文化教育科学研究区等人口集中区域；</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（三）法律、法规规定的其他禁养区域</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b w:val="0"/>
                <w:bCs w:val="0"/>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依据二：《畜禽规模养殖污染防治条例》</w:t>
            </w:r>
            <w:r>
              <w:rPr>
                <w:rFonts w:hint="eastAsia" w:ascii="宋体" w:hAnsi="宋体" w:eastAsia="宋体" w:cs="宋体"/>
                <w:b w:val="0"/>
                <w:bCs w:val="0"/>
                <w:color w:val="000000" w:themeColor="text1"/>
                <w:sz w:val="20"/>
                <w:szCs w:val="20"/>
                <w:highlight w:val="none"/>
                <w:lang w:eastAsia="zh-CN"/>
                <w14:textFill>
                  <w14:solidFill>
                    <w14:schemeClr w14:val="tx1"/>
                  </w14:solidFill>
                </w14:textFill>
              </w:rPr>
              <w:t>（</w:t>
            </w:r>
            <w:r>
              <w:rPr>
                <w:rFonts w:hint="eastAsia" w:ascii="宋体" w:hAnsi="宋体" w:eastAsia="宋体" w:cs="宋体"/>
                <w:b w:val="0"/>
                <w:bCs w:val="0"/>
                <w:color w:val="000000" w:themeColor="text1"/>
                <w:sz w:val="20"/>
                <w:szCs w:val="20"/>
                <w:highlight w:val="none"/>
                <w:lang w:val="en-US" w:eastAsia="zh-CN"/>
                <w14:textFill>
                  <w14:solidFill>
                    <w14:schemeClr w14:val="tx1"/>
                  </w14:solidFill>
                </w14:textFill>
              </w:rPr>
              <w:t>国务院令第643号</w:t>
            </w:r>
            <w:r>
              <w:rPr>
                <w:rFonts w:hint="eastAsia" w:ascii="宋体" w:hAnsi="宋体" w:eastAsia="宋体" w:cs="宋体"/>
                <w:b w:val="0"/>
                <w:bCs w:val="0"/>
                <w:color w:val="000000" w:themeColor="text1"/>
                <w:sz w:val="20"/>
                <w:szCs w:val="20"/>
                <w:highlight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第十一条  禁止在下列区域内建设畜禽养殖场、养殖小区；</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（一）饮用水源保护区，风景名胜区；</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（二）自然保护区的核心区和缓冲区；</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（三）城镇居民区、文化教育科学研究区等人口集中区域；</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（四）法律、法规规定的其他禁止养殖区域</w:t>
            </w:r>
            <w:r>
              <w:rPr>
                <w:rFonts w:hint="eastAsia" w:ascii="宋体" w:hAnsi="宋体" w:eastAsia="宋体" w:cs="宋体"/>
                <w:color w:val="000000" w:themeColor="text1"/>
                <w:sz w:val="20"/>
                <w:szCs w:val="20"/>
                <w:highlight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第四十三条 畜禽养殖场、养殖小区的具体规模标准由省级人民政府确定，并报国务院环境保护主管部门和国务院农牧主管部门备案。</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依据</w:t>
            </w:r>
            <w:r>
              <w:rPr>
                <w:rFonts w:hint="eastAsia" w:ascii="宋体" w:hAnsi="宋体" w:eastAsia="宋体" w:cs="宋体"/>
                <w:color w:val="000000" w:themeColor="text1"/>
                <w:sz w:val="20"/>
                <w:szCs w:val="20"/>
                <w:highlight w:val="none"/>
                <w:lang w:eastAsia="zh-CN"/>
                <w14:textFill>
                  <w14:solidFill>
                    <w14:schemeClr w14:val="tx1"/>
                  </w14:solidFill>
                </w14:textFill>
              </w:rPr>
              <w:t>三</w:t>
            </w:r>
            <w:r>
              <w:rPr>
                <w:rFonts w:hint="eastAsia" w:ascii="宋体" w:hAnsi="宋体" w:eastAsia="宋体" w:cs="宋体"/>
                <w:color w:val="000000" w:themeColor="text1"/>
                <w:sz w:val="20"/>
                <w:szCs w:val="20"/>
                <w:highlight w:val="none"/>
                <w14:textFill>
                  <w14:solidFill>
                    <w14:schemeClr w14:val="tx1"/>
                  </w14:solidFill>
                </w14:textFill>
              </w:rPr>
              <w:t>：</w:t>
            </w: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sz w:val="20"/>
                <w:szCs w:val="20"/>
                <w:highlight w:val="none"/>
                <w:lang w:val="en-US" w:eastAsia="zh-CN"/>
                <w14:textFill>
                  <w14:solidFill>
                    <w14:schemeClr w14:val="tx1"/>
                  </w14:solidFill>
                </w14:textFill>
              </w:rPr>
              <w:t>中华人民共和国水污染防治法</w:t>
            </w:r>
            <w:r>
              <w:rPr>
                <w:rFonts w:hint="eastAsia" w:ascii="宋体" w:hAnsi="宋体" w:eastAsia="宋体" w:cs="宋体"/>
                <w:color w:val="000000" w:themeColor="text1"/>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shd w:val="clear" w:color="auto" w:fill="FFFFFF"/>
                <w14:textFill>
                  <w14:solidFill>
                    <w14:schemeClr w14:val="tx1"/>
                  </w14:solidFill>
                </w14:textFill>
              </w:rPr>
            </w:pPr>
            <w:r>
              <w:rPr>
                <w:rFonts w:hint="eastAsia" w:ascii="宋体" w:hAnsi="宋体" w:eastAsia="宋体" w:cs="宋体"/>
                <w:color w:val="000000" w:themeColor="text1"/>
                <w:sz w:val="20"/>
                <w:szCs w:val="20"/>
                <w:highlight w:val="none"/>
                <w:shd w:val="clear" w:color="auto" w:fill="FFFFFF"/>
                <w14:textFill>
                  <w14:solidFill>
                    <w14:schemeClr w14:val="tx1"/>
                  </w14:solidFill>
                </w14:textFill>
              </w:rPr>
              <w:t>第六十五条 禁止在饮用水水源一级保护区内新建、改建、扩建与供水设施和保护水源无关的建设项目;已建成的与供水设施和保护水源无关的建设项目，由县级以上人民政府责令拆除或者关闭。</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shd w:val="clear" w:color="auto" w:fill="FFFFFF"/>
                <w14:textFill>
                  <w14:solidFill>
                    <w14:schemeClr w14:val="tx1"/>
                  </w14:solidFill>
                </w14:textFill>
              </w:rPr>
            </w:pPr>
            <w:r>
              <w:rPr>
                <w:rFonts w:hint="eastAsia" w:ascii="宋体" w:hAnsi="宋体" w:eastAsia="宋体" w:cs="宋体"/>
                <w:color w:val="000000" w:themeColor="text1"/>
                <w:sz w:val="20"/>
                <w:szCs w:val="20"/>
                <w:highlight w:val="none"/>
                <w:shd w:val="clear" w:color="auto" w:fill="FFFFFF"/>
                <w14:textFill>
                  <w14:solidFill>
                    <w14:schemeClr w14:val="tx1"/>
                  </w14:solidFill>
                </w14:textFill>
              </w:rPr>
              <w:t>第六十六条 禁止在饮用水水源二级保护区内新建、改建、扩建排放污染物的建设项目;已建成的排放污染物的建设项目，由县级以上人民政府责令拆除或者关闭。</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依据</w:t>
            </w:r>
            <w:r>
              <w:rPr>
                <w:rFonts w:hint="eastAsia" w:ascii="宋体" w:hAnsi="宋体" w:eastAsia="宋体" w:cs="宋体"/>
                <w:color w:val="000000" w:themeColor="text1"/>
                <w:sz w:val="20"/>
                <w:szCs w:val="20"/>
                <w:highlight w:val="none"/>
                <w:lang w:eastAsia="zh-CN"/>
                <w14:textFill>
                  <w14:solidFill>
                    <w14:schemeClr w14:val="tx1"/>
                  </w14:solidFill>
                </w14:textFill>
              </w:rPr>
              <w:t>四：《</w:t>
            </w:r>
            <w:r>
              <w:rPr>
                <w:rFonts w:hint="eastAsia" w:ascii="宋体" w:hAnsi="宋体" w:eastAsia="宋体" w:cs="宋体"/>
                <w:color w:val="000000" w:themeColor="text1"/>
                <w:sz w:val="20"/>
                <w:szCs w:val="20"/>
                <w:highlight w:val="none"/>
                <w:shd w:val="clear" w:color="auto" w:fill="FFFFFF"/>
                <w:lang w:eastAsia="zh-CN"/>
                <w14:textFill>
                  <w14:solidFill>
                    <w14:schemeClr w14:val="tx1"/>
                  </w14:solidFill>
                </w14:textFill>
              </w:rPr>
              <w:t>广东省环境保护条例</w:t>
            </w:r>
            <w:r>
              <w:rPr>
                <w:rFonts w:hint="eastAsia" w:ascii="宋体" w:hAnsi="宋体" w:eastAsia="宋体" w:cs="宋体"/>
                <w:color w:val="000000" w:themeColor="text1"/>
                <w:sz w:val="20"/>
                <w:szCs w:val="20"/>
                <w:highlight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shd w:val="clear" w:color="auto" w:fill="FFFFFF"/>
                <w:lang w:val="en-US" w:eastAsia="zh-CN"/>
                <w14:textFill>
                  <w14:solidFill>
                    <w14:schemeClr w14:val="tx1"/>
                  </w14:solidFill>
                </w14:textFill>
              </w:rPr>
              <w:t>第四十七条　在依法设立的各级自然保护区、风景名胜区、森林公园、地质</w:t>
            </w:r>
            <w:r>
              <w:rPr>
                <w:rFonts w:hint="eastAsia" w:ascii="宋体" w:hAnsi="宋体" w:eastAsia="宋体" w:cs="宋体"/>
                <w:color w:val="000000" w:themeColor="text1"/>
                <w:sz w:val="20"/>
                <w:szCs w:val="20"/>
                <w:highlight w:val="none"/>
                <w:lang w:val="en-US" w:eastAsia="zh-CN"/>
                <w14:textFill>
                  <w14:solidFill>
                    <w14:schemeClr w14:val="tx1"/>
                  </w14:solidFill>
                </w14:textFill>
              </w:rPr>
              <w:t>公园、重要水源地、湿地公园、重点湿地以及世界文化自然遗产等特殊保护区域，应当依据法律法规规定和相关规划实施强制性保护，不得从事不符合主体功能区定位的各类开发活动，严格控制人为因素破坏自然生态和文化自然遗产原真性、完整性，在进行旅游资源开发时应当同步建设完善污水、垃圾等收集清运设施，保护环境质量。</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第四十九条　除法律、法规规定的禁止养殖区域外，县级以上人民政府有关主管部门可以根据当地环境承载能力和污染物排放总量控制要求，划定畜禽禁养区和限养区，报同级人民政府批准后实施，并向社会公布。</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畜禽禁养区内不得从事畜禽养殖业。</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畜禽养殖场、养殖小区应当根据养殖规模和污染防治需要，建设相应的污染防治配套设施以及综合利用和无害化处理设施并保障其正常运行；未建设污染防治配套设施、自行建设的配套设施不合格，或者未自行建设综合利用和无害化处理设施又未委托他人对畜禽养殖废弃物进行综合利用和无害化处理的，畜禽养殖场、养殖小区不得投入生产或者使用。</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outlineLvl w:val="9"/>
              <w:rPr>
                <w:rFonts w:hint="eastAsia"/>
                <w:color w:val="000000" w:themeColor="text1"/>
                <w:sz w:val="20"/>
                <w:szCs w:val="20"/>
                <w:highlight w:val="none"/>
                <w14:textFill>
                  <w14:solidFill>
                    <w14:schemeClr w14:val="tx1"/>
                  </w14:solidFill>
                </w14:textFill>
              </w:rPr>
            </w:pPr>
            <w:r>
              <w:rPr>
                <w:rFonts w:hint="eastAsia" w:ascii="宋体" w:hAnsi="宋体"/>
                <w:color w:val="000000" w:themeColor="text1"/>
                <w:sz w:val="20"/>
                <w:szCs w:val="20"/>
                <w:highlight w:val="none"/>
                <w:lang w:eastAsia="zh-CN"/>
                <w14:textFill>
                  <w14:solidFill>
                    <w14:schemeClr w14:val="tx1"/>
                  </w14:solidFill>
                </w14:textFill>
              </w:rPr>
              <w:t>依据五：</w:t>
            </w:r>
            <w:r>
              <w:rPr>
                <w:rFonts w:hint="eastAsia"/>
                <w:color w:val="000000" w:themeColor="text1"/>
                <w:sz w:val="20"/>
                <w:szCs w:val="20"/>
                <w:highlight w:val="none"/>
                <w14:textFill>
                  <w14:solidFill>
                    <w14:schemeClr w14:val="tx1"/>
                  </w14:solidFill>
                </w14:textFill>
              </w:rPr>
              <w:t>《中华人民共和国环境保护法》（2015年1月1号）</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color w:val="000000" w:themeColor="text1"/>
                <w:sz w:val="20"/>
                <w:szCs w:val="20"/>
                <w:highlight w:val="none"/>
                <w14:textFill>
                  <w14:solidFill>
                    <w14:schemeClr w14:val="tx1"/>
                  </w14:solidFill>
                </w14:textFill>
              </w:rPr>
            </w:pPr>
            <w:r>
              <w:rPr>
                <w:rFonts w:hint="eastAsia"/>
                <w:color w:val="000000" w:themeColor="text1"/>
                <w:sz w:val="20"/>
                <w:szCs w:val="20"/>
                <w:highlight w:val="none"/>
                <w:lang w:eastAsia="zh-CN"/>
                <w14:textFill>
                  <w14:solidFill>
                    <w14:schemeClr w14:val="tx1"/>
                  </w14:solidFill>
                </w14:textFill>
              </w:rPr>
              <w:t>第四十九条</w:t>
            </w:r>
            <w:r>
              <w:rPr>
                <w:rFonts w:hint="eastAsia"/>
                <w:color w:val="000000" w:themeColor="text1"/>
                <w:sz w:val="20"/>
                <w:szCs w:val="20"/>
                <w:highlight w:val="none"/>
                <w:lang w:val="en-US" w:eastAsia="zh-CN"/>
                <w14:textFill>
                  <w14:solidFill>
                    <w14:schemeClr w14:val="tx1"/>
                  </w14:solidFill>
                </w14:textFill>
              </w:rPr>
              <w:t xml:space="preserve"> </w:t>
            </w:r>
            <w:r>
              <w:rPr>
                <w:rFonts w:hint="eastAsia" w:ascii="宋体" w:hAnsi="宋体" w:eastAsia="宋体" w:cs="宋体"/>
                <w:i w:val="0"/>
                <w:caps w:val="0"/>
                <w:color w:val="000000" w:themeColor="text1"/>
                <w:spacing w:val="0"/>
                <w:sz w:val="20"/>
                <w:szCs w:val="20"/>
                <w:highlight w:val="none"/>
                <w:shd w:val="clear" w:fill="FFFFFF"/>
                <w14:textFill>
                  <w14:solidFill>
                    <w14:schemeClr w14:val="tx1"/>
                  </w14:solidFill>
                </w14:textFill>
              </w:rPr>
              <w:t>畜禽养殖场、养殖小区、定点屠宰企业等的选址、建设和管理应当符合有关法律法规规定。从事畜禽养殖和屠宰的单位和个人应当采取措施，对畜禽粪便、尸体和污水等废弃物进行科学处置，防止污染环境</w:t>
            </w:r>
            <w:r>
              <w:rPr>
                <w:rFonts w:hint="eastAsia" w:cs="宋体"/>
                <w:i w:val="0"/>
                <w:caps w:val="0"/>
                <w:color w:val="000000" w:themeColor="text1"/>
                <w:spacing w:val="0"/>
                <w:sz w:val="20"/>
                <w:szCs w:val="20"/>
                <w:highlight w:val="none"/>
                <w:shd w:val="clear" w:fill="FFFFFF"/>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0" w:hRule="atLeast"/>
        </w:trPr>
        <w:tc>
          <w:tcPr>
            <w:tcW w:w="781" w:type="dxa"/>
            <w:vMerge w:val="continue"/>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eastAsia" w:ascii="宋体" w:hAnsi="宋体"/>
                <w:color w:val="000000" w:themeColor="text1"/>
                <w:sz w:val="20"/>
                <w:szCs w:val="20"/>
                <w:highlight w:val="none"/>
                <w14:textFill>
                  <w14:solidFill>
                    <w14:schemeClr w14:val="tx1"/>
                  </w14:solidFill>
                </w14:textFill>
              </w:rPr>
            </w:pPr>
          </w:p>
        </w:tc>
        <w:tc>
          <w:tcPr>
            <w:tcW w:w="1431" w:type="dxa"/>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eastAsia" w:ascii="宋体" w:hAnsi="宋体" w:eastAsia="宋体"/>
                <w:color w:val="000000" w:themeColor="text1"/>
                <w:sz w:val="20"/>
                <w:szCs w:val="20"/>
                <w:highlight w:val="none"/>
                <w:lang w:eastAsia="zh-CN"/>
                <w14:textFill>
                  <w14:solidFill>
                    <w14:schemeClr w14:val="tx1"/>
                  </w14:solidFill>
                </w14:textFill>
              </w:rPr>
            </w:pPr>
            <w:r>
              <w:rPr>
                <w:rFonts w:hint="eastAsia" w:ascii="宋体" w:hAnsi="宋体"/>
                <w:color w:val="000000" w:themeColor="text1"/>
                <w:sz w:val="20"/>
                <w:szCs w:val="20"/>
                <w:highlight w:val="none"/>
                <w:lang w:val="en-US" w:eastAsia="zh-CN"/>
                <w14:textFill>
                  <w14:solidFill>
                    <w14:schemeClr w14:val="tx1"/>
                  </w14:solidFill>
                </w14:textFill>
              </w:rPr>
              <w:t>2.</w:t>
            </w:r>
            <w:r>
              <w:rPr>
                <w:rFonts w:hint="eastAsia" w:ascii="宋体" w:hAnsi="宋体"/>
                <w:color w:val="000000" w:themeColor="text1"/>
                <w:sz w:val="20"/>
                <w:szCs w:val="20"/>
                <w:highlight w:val="none"/>
                <w14:textFill>
                  <w14:solidFill>
                    <w14:schemeClr w14:val="tx1"/>
                  </w14:solidFill>
                </w14:textFill>
              </w:rPr>
              <w:t>自然保护区的核心区及缓冲区</w:t>
            </w:r>
          </w:p>
        </w:tc>
        <w:tc>
          <w:tcPr>
            <w:tcW w:w="6962" w:type="dxa"/>
            <w:vMerge w:val="continue"/>
          </w:tcPr>
          <w:p>
            <w:pPr>
              <w:keepNext w:val="0"/>
              <w:keepLines w:val="0"/>
              <w:pageBreakBefore w:val="0"/>
              <w:widowControl w:val="0"/>
              <w:kinsoku/>
              <w:wordWrap/>
              <w:overflowPunct/>
              <w:topLinePunct w:val="0"/>
              <w:autoSpaceDE/>
              <w:autoSpaceDN/>
              <w:bidi w:val="0"/>
              <w:adjustRightInd w:val="0"/>
              <w:snapToGrid w:val="0"/>
              <w:spacing w:line="320" w:lineRule="exact"/>
              <w:ind w:left="0" w:leftChars="0" w:firstLine="0" w:firstLineChars="0"/>
              <w:textAlignment w:val="auto"/>
              <w:rPr>
                <w:rFonts w:hint="eastAsia" w:ascii="宋体" w:hAnsi="宋体" w:eastAsia="宋体" w:cs="宋体"/>
                <w:color w:val="000000" w:themeColor="text1"/>
                <w:sz w:val="20"/>
                <w:szCs w:val="20"/>
                <w:highlight w:val="none"/>
                <w:shd w:val="clear" w:color="auto" w:fill="FFFFFF"/>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81" w:type="dxa"/>
            <w:vMerge w:val="continue"/>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eastAsia" w:ascii="宋体" w:hAnsi="宋体"/>
                <w:color w:val="000000" w:themeColor="text1"/>
                <w:sz w:val="20"/>
                <w:szCs w:val="20"/>
                <w:highlight w:val="none"/>
                <w14:textFill>
                  <w14:solidFill>
                    <w14:schemeClr w14:val="tx1"/>
                  </w14:solidFill>
                </w14:textFill>
              </w:rPr>
            </w:pPr>
          </w:p>
        </w:tc>
        <w:tc>
          <w:tcPr>
            <w:tcW w:w="1431" w:type="dxa"/>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eastAsia" w:ascii="宋体" w:hAnsi="宋体"/>
                <w:color w:val="000000" w:themeColor="text1"/>
                <w:sz w:val="20"/>
                <w:szCs w:val="20"/>
                <w:highlight w:val="none"/>
                <w14:textFill>
                  <w14:solidFill>
                    <w14:schemeClr w14:val="tx1"/>
                  </w14:solidFill>
                </w14:textFill>
              </w:rPr>
            </w:pPr>
            <w:r>
              <w:rPr>
                <w:rFonts w:hint="eastAsia" w:ascii="宋体" w:hAnsi="宋体"/>
                <w:color w:val="000000" w:themeColor="text1"/>
                <w:sz w:val="20"/>
                <w:szCs w:val="20"/>
                <w:highlight w:val="none"/>
                <w:lang w:val="en-US" w:eastAsia="zh-CN"/>
                <w14:textFill>
                  <w14:solidFill>
                    <w14:schemeClr w14:val="tx1"/>
                  </w14:solidFill>
                </w14:textFill>
              </w:rPr>
              <w:t>3</w:t>
            </w:r>
            <w:r>
              <w:rPr>
                <w:rFonts w:hint="eastAsia" w:ascii="宋体" w:hAnsi="宋体"/>
                <w:color w:val="000000" w:themeColor="text1"/>
                <w:sz w:val="20"/>
                <w:szCs w:val="20"/>
                <w:highlight w:val="none"/>
                <w14:textFill>
                  <w14:solidFill>
                    <w14:schemeClr w14:val="tx1"/>
                  </w14:solidFill>
                </w14:textFill>
              </w:rPr>
              <w:t>.城镇</w:t>
            </w:r>
            <w:r>
              <w:rPr>
                <w:rFonts w:hint="eastAsia" w:ascii="宋体" w:hAnsi="宋体"/>
                <w:color w:val="000000" w:themeColor="text1"/>
                <w:sz w:val="20"/>
                <w:szCs w:val="20"/>
                <w:highlight w:val="none"/>
                <w:lang w:eastAsia="zh-CN"/>
                <w14:textFill>
                  <w14:solidFill>
                    <w14:schemeClr w14:val="tx1"/>
                  </w14:solidFill>
                </w14:textFill>
              </w:rPr>
              <w:t>建成</w:t>
            </w:r>
            <w:r>
              <w:rPr>
                <w:rFonts w:hint="eastAsia" w:ascii="宋体" w:hAnsi="宋体"/>
                <w:color w:val="000000" w:themeColor="text1"/>
                <w:sz w:val="20"/>
                <w:szCs w:val="20"/>
                <w:highlight w:val="none"/>
                <w14:textFill>
                  <w14:solidFill>
                    <w14:schemeClr w14:val="tx1"/>
                  </w14:solidFill>
                </w14:textFill>
              </w:rPr>
              <w:t>区（包括文化教育科学研究区</w:t>
            </w:r>
            <w:r>
              <w:rPr>
                <w:rFonts w:hint="eastAsia" w:ascii="宋体" w:hAnsi="宋体"/>
                <w:color w:val="000000" w:themeColor="text1"/>
                <w:sz w:val="20"/>
                <w:szCs w:val="20"/>
                <w:highlight w:val="none"/>
                <w:lang w:eastAsia="zh-CN"/>
                <w14:textFill>
                  <w14:solidFill>
                    <w14:schemeClr w14:val="tx1"/>
                  </w14:solidFill>
                </w14:textFill>
              </w:rPr>
              <w:t>、工业区</w:t>
            </w:r>
            <w:r>
              <w:rPr>
                <w:rFonts w:hint="eastAsia" w:ascii="宋体" w:hAnsi="宋体"/>
                <w:color w:val="000000" w:themeColor="text1"/>
                <w:sz w:val="20"/>
                <w:szCs w:val="20"/>
                <w:highlight w:val="none"/>
                <w14:textFill>
                  <w14:solidFill>
                    <w14:schemeClr w14:val="tx1"/>
                  </w14:solidFill>
                </w14:textFill>
              </w:rPr>
              <w:t>等人口集中区域</w:t>
            </w:r>
            <w:r>
              <w:rPr>
                <w:rFonts w:hint="eastAsia" w:ascii="宋体" w:hAnsi="宋体"/>
                <w:color w:val="000000" w:themeColor="text1"/>
                <w:sz w:val="20"/>
                <w:szCs w:val="20"/>
                <w:highlight w:val="none"/>
                <w:lang w:eastAsia="zh-CN"/>
                <w14:textFill>
                  <w14:solidFill>
                    <w14:schemeClr w14:val="tx1"/>
                  </w14:solidFill>
                </w14:textFill>
              </w:rPr>
              <w:t>）</w:t>
            </w:r>
          </w:p>
        </w:tc>
        <w:tc>
          <w:tcPr>
            <w:tcW w:w="6962" w:type="dxa"/>
            <w:vMerge w:val="continue"/>
          </w:tcPr>
          <w:p>
            <w:pPr>
              <w:keepNext w:val="0"/>
              <w:keepLines w:val="0"/>
              <w:pageBreakBefore w:val="0"/>
              <w:widowControl w:val="0"/>
              <w:kinsoku/>
              <w:wordWrap/>
              <w:overflowPunct/>
              <w:topLinePunct w:val="0"/>
              <w:autoSpaceDE/>
              <w:autoSpaceDN/>
              <w:bidi w:val="0"/>
              <w:adjustRightInd w:val="0"/>
              <w:snapToGrid w:val="0"/>
              <w:spacing w:line="320" w:lineRule="exact"/>
              <w:ind w:left="0" w:leftChars="0" w:firstLine="0" w:firstLineChars="0"/>
              <w:textAlignment w:val="auto"/>
              <w:rPr>
                <w:rFonts w:hint="eastAsia" w:ascii="宋体" w:hAnsi="宋体" w:eastAsia="宋体" w:cs="宋体"/>
                <w:color w:val="000000" w:themeColor="text1"/>
                <w:sz w:val="20"/>
                <w:szCs w:val="20"/>
                <w:highlight w:val="none"/>
                <w:shd w:val="clear" w:color="auto" w:fill="FFFFFF"/>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4" w:hRule="atLeast"/>
        </w:trPr>
        <w:tc>
          <w:tcPr>
            <w:tcW w:w="781" w:type="dxa"/>
            <w:vMerge w:val="continue"/>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eastAsia" w:ascii="宋体" w:hAnsi="宋体"/>
                <w:color w:val="000000" w:themeColor="text1"/>
                <w:sz w:val="20"/>
                <w:szCs w:val="20"/>
                <w:highlight w:val="none"/>
                <w14:textFill>
                  <w14:solidFill>
                    <w14:schemeClr w14:val="tx1"/>
                  </w14:solidFill>
                </w14:textFill>
              </w:rPr>
            </w:pPr>
          </w:p>
        </w:tc>
        <w:tc>
          <w:tcPr>
            <w:tcW w:w="1431" w:type="dxa"/>
            <w:vAlign w:val="top"/>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eastAsia" w:ascii="宋体" w:hAnsi="宋体"/>
                <w:color w:val="000000" w:themeColor="text1"/>
                <w:sz w:val="20"/>
                <w:szCs w:val="20"/>
                <w:highlight w:val="none"/>
                <w:lang w:val="en-US" w:eastAsia="zh-CN"/>
                <w14:textFill>
                  <w14:solidFill>
                    <w14:schemeClr w14:val="tx1"/>
                  </w14:solidFill>
                </w14:textFill>
              </w:rPr>
            </w:pPr>
            <w:r>
              <w:rPr>
                <w:rFonts w:hint="eastAsia" w:ascii="宋体" w:hAnsi="宋体"/>
                <w:color w:val="000000" w:themeColor="text1"/>
                <w:sz w:val="20"/>
                <w:szCs w:val="20"/>
                <w:highlight w:val="none"/>
                <w:lang w:val="en-US" w:eastAsia="zh-CN"/>
                <w14:textFill>
                  <w14:solidFill>
                    <w14:schemeClr w14:val="tx1"/>
                  </w14:solidFill>
                </w14:textFill>
              </w:rPr>
              <w:t>4</w:t>
            </w:r>
            <w:r>
              <w:rPr>
                <w:rFonts w:hint="eastAsia" w:ascii="宋体" w:hAnsi="宋体"/>
                <w:color w:val="000000" w:themeColor="text1"/>
                <w:sz w:val="20"/>
                <w:szCs w:val="20"/>
                <w:highlight w:val="none"/>
                <w14:textFill>
                  <w14:solidFill>
                    <w14:schemeClr w14:val="tx1"/>
                  </w14:solidFill>
                </w14:textFill>
              </w:rPr>
              <w:t>.</w:t>
            </w:r>
            <w:r>
              <w:rPr>
                <w:rFonts w:hint="eastAsia" w:ascii="宋体" w:hAnsi="宋体"/>
                <w:color w:val="000000" w:themeColor="text1"/>
                <w:sz w:val="20"/>
                <w:szCs w:val="20"/>
                <w:highlight w:val="none"/>
                <w:lang w:eastAsia="zh-CN"/>
                <w14:textFill>
                  <w14:solidFill>
                    <w14:schemeClr w14:val="tx1"/>
                  </w14:solidFill>
                </w14:textFill>
              </w:rPr>
              <w:t>高速公路两侧三十米，</w:t>
            </w:r>
            <w:r>
              <w:rPr>
                <w:rFonts w:hint="eastAsia" w:ascii="宋体" w:hAnsi="宋体"/>
                <w:color w:val="000000" w:themeColor="text1"/>
                <w:sz w:val="20"/>
                <w:szCs w:val="20"/>
                <w:highlight w:val="none"/>
                <w:lang w:val="en-US" w:eastAsia="zh-CN"/>
                <w14:textFill>
                  <w14:solidFill>
                    <w14:schemeClr w14:val="tx1"/>
                  </w14:solidFill>
                </w14:textFill>
              </w:rPr>
              <w:t>国道两侧二十米，省道两侧十五米；铁路两侧12米</w:t>
            </w:r>
            <w:r>
              <w:rPr>
                <w:rFonts w:hint="eastAsia" w:ascii="宋体" w:hAnsi="宋体"/>
                <w:color w:val="000000" w:themeColor="text1"/>
                <w:sz w:val="20"/>
                <w:szCs w:val="20"/>
                <w:highlight w:val="none"/>
                <w14:textFill>
                  <w14:solidFill>
                    <w14:schemeClr w14:val="tx1"/>
                  </w14:solidFill>
                </w14:textFill>
              </w:rPr>
              <w:t>；</w:t>
            </w:r>
          </w:p>
        </w:tc>
        <w:tc>
          <w:tcPr>
            <w:tcW w:w="6962" w:type="dxa"/>
            <w:vAlign w:val="top"/>
          </w:tcPr>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color w:val="000000" w:themeColor="text1"/>
                <w:sz w:val="20"/>
                <w:szCs w:val="20"/>
                <w:highlight w:val="none"/>
                <w:lang w:eastAsia="zh-CN"/>
                <w14:textFill>
                  <w14:solidFill>
                    <w14:schemeClr w14:val="tx1"/>
                  </w14:solidFill>
                </w14:textFill>
              </w:rPr>
            </w:pPr>
            <w:r>
              <w:rPr>
                <w:rFonts w:hint="eastAsia" w:ascii="宋体" w:hAnsi="宋体"/>
                <w:color w:val="000000" w:themeColor="text1"/>
                <w:sz w:val="20"/>
                <w:szCs w:val="20"/>
                <w:highlight w:val="none"/>
                <w14:textFill>
                  <w14:solidFill>
                    <w14:schemeClr w14:val="tx1"/>
                  </w14:solidFill>
                </w14:textFill>
              </w:rPr>
              <w:t>依据一：《中华人民共和国公路法》</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color w:val="000000" w:themeColor="text1"/>
                <w:sz w:val="20"/>
                <w:szCs w:val="20"/>
                <w:highlight w:val="none"/>
                <w:lang w:val="en-US" w:eastAsia="zh-CN"/>
                <w14:textFill>
                  <w14:solidFill>
                    <w14:schemeClr w14:val="tx1"/>
                  </w14:solidFill>
                </w14:textFill>
              </w:rPr>
            </w:pPr>
            <w:r>
              <w:rPr>
                <w:rFonts w:hint="eastAsia" w:ascii="宋体" w:hAnsi="宋体"/>
                <w:color w:val="000000" w:themeColor="text1"/>
                <w:sz w:val="20"/>
                <w:szCs w:val="20"/>
                <w:highlight w:val="none"/>
                <w:lang w:val="en-US" w:eastAsia="zh-CN"/>
                <w14:textFill>
                  <w14:solidFill>
                    <w14:schemeClr w14:val="tx1"/>
                  </w14:solidFill>
                </w14:textFill>
              </w:rPr>
              <w:t>第四十七条 在公路两侧一定距离内，不得挖砂、采石、取土、倾倒废弃物，不得进行爆破作业及其他危及公路、公路桥梁、公路隧道、公路渡口安全的活动。</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color w:val="000000" w:themeColor="text1"/>
                <w:sz w:val="20"/>
                <w:szCs w:val="20"/>
                <w:highlight w:val="none"/>
                <w:lang w:val="en-US" w:eastAsia="zh-CN"/>
                <w14:textFill>
                  <w14:solidFill>
                    <w14:schemeClr w14:val="tx1"/>
                  </w14:solidFill>
                </w14:textFill>
              </w:rPr>
            </w:pPr>
            <w:r>
              <w:rPr>
                <w:rFonts w:hint="eastAsia" w:ascii="宋体" w:hAnsi="宋体"/>
                <w:color w:val="000000" w:themeColor="text1"/>
                <w:sz w:val="20"/>
                <w:szCs w:val="20"/>
                <w:highlight w:val="none"/>
                <w:lang w:val="en-US" w:eastAsia="zh-CN"/>
                <w14:textFill>
                  <w14:solidFill>
                    <w14:schemeClr w14:val="tx1"/>
                  </w14:solidFill>
                </w14:textFill>
              </w:rPr>
              <w:t>第五十六条 除公路防护、养护需要的以外，禁止在公路两侧的建筑控制区内修建建筑物和地面构筑物。</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color w:val="000000" w:themeColor="text1"/>
                <w:sz w:val="20"/>
                <w:szCs w:val="20"/>
                <w:highlight w:val="none"/>
                <w:lang w:val="en-US" w:eastAsia="zh-CN"/>
                <w14:textFill>
                  <w14:solidFill>
                    <w14:schemeClr w14:val="tx1"/>
                  </w14:solidFill>
                </w14:textFill>
              </w:rPr>
            </w:pPr>
            <w:r>
              <w:rPr>
                <w:rFonts w:hint="eastAsia" w:ascii="宋体" w:hAnsi="宋体"/>
                <w:color w:val="000000" w:themeColor="text1"/>
                <w:sz w:val="20"/>
                <w:szCs w:val="20"/>
                <w:highlight w:val="none"/>
                <w:lang w:val="en-US" w:eastAsia="zh-CN"/>
                <w14:textFill>
                  <w14:solidFill>
                    <w14:schemeClr w14:val="tx1"/>
                  </w14:solidFill>
                </w14:textFill>
              </w:rPr>
              <w:t>依据二：《公路安全保护条例》</w:t>
            </w:r>
          </w:p>
          <w:p>
            <w:pPr>
              <w:keepNext w:val="0"/>
              <w:keepLines w:val="0"/>
              <w:pageBreakBefore w:val="0"/>
              <w:widowControl w:val="0"/>
              <w:numPr>
                <w:ilvl w:val="0"/>
                <w:numId w:val="3"/>
              </w:numPr>
              <w:kinsoku/>
              <w:wordWrap/>
              <w:overflowPunct/>
              <w:topLinePunct w:val="0"/>
              <w:autoSpaceDE/>
              <w:autoSpaceDN/>
              <w:bidi w:val="0"/>
              <w:adjustRightInd w:val="0"/>
              <w:snapToGrid w:val="0"/>
              <w:spacing w:line="320" w:lineRule="exact"/>
              <w:ind w:firstLine="400"/>
              <w:textAlignment w:val="auto"/>
              <w:rPr>
                <w:rFonts w:hint="eastAsia" w:ascii="宋体" w:hAnsi="宋体"/>
                <w:color w:val="000000" w:themeColor="text1"/>
                <w:sz w:val="20"/>
                <w:szCs w:val="20"/>
                <w:highlight w:val="none"/>
                <w14:textFill>
                  <w14:solidFill>
                    <w14:schemeClr w14:val="tx1"/>
                  </w14:solidFill>
                </w14:textFill>
              </w:rPr>
            </w:pPr>
            <w:r>
              <w:rPr>
                <w:rFonts w:hint="eastAsia" w:ascii="宋体" w:hAnsi="宋体"/>
                <w:color w:val="000000" w:themeColor="text1"/>
                <w:sz w:val="20"/>
                <w:szCs w:val="20"/>
                <w:highlight w:val="none"/>
                <w14:textFill>
                  <w14:solidFill>
                    <w14:schemeClr w14:val="tx1"/>
                  </w14:solidFill>
                </w14:textFill>
              </w:rPr>
              <w:t>县级以上地方人民政府应当根据保障公路运行安全和节约用地的原则以及公路发展的需要，组织交通运输、国土资源等部门划定公路建筑控制区的范围。公路建筑控制区的范围，从公路用地外缘起向外的距离标准为：（一）国道不少于20米；（二）省道不少于15米；（三）县道不少于10米；（四）乡道不少于5米。属于高速公路的，公路建筑控制区的范围从公路用地外缘起向外的距离标准不少于30米。</w:t>
            </w:r>
          </w:p>
          <w:p>
            <w:pPr>
              <w:keepNext w:val="0"/>
              <w:keepLines w:val="0"/>
              <w:pageBreakBefore w:val="0"/>
              <w:widowControl w:val="0"/>
              <w:numPr>
                <w:ilvl w:val="0"/>
                <w:numId w:val="0"/>
              </w:numPr>
              <w:kinsoku/>
              <w:wordWrap/>
              <w:overflowPunct/>
              <w:topLinePunct w:val="0"/>
              <w:autoSpaceDE/>
              <w:autoSpaceDN/>
              <w:bidi w:val="0"/>
              <w:adjustRightInd w:val="0"/>
              <w:snapToGrid w:val="0"/>
              <w:spacing w:line="320" w:lineRule="exact"/>
              <w:ind w:firstLine="400" w:firstLineChars="200"/>
              <w:textAlignment w:val="auto"/>
              <w:rPr>
                <w:rFonts w:hint="eastAsia" w:ascii="宋体" w:hAnsi="宋体"/>
                <w:color w:val="000000" w:themeColor="text1"/>
                <w:sz w:val="20"/>
                <w:szCs w:val="20"/>
                <w:highlight w:val="none"/>
                <w14:textFill>
                  <w14:solidFill>
                    <w14:schemeClr w14:val="tx1"/>
                  </w14:solidFill>
                </w14:textFill>
              </w:rPr>
            </w:pPr>
            <w:r>
              <w:rPr>
                <w:rFonts w:hint="eastAsia" w:ascii="宋体" w:hAnsi="宋体"/>
                <w:color w:val="000000" w:themeColor="text1"/>
                <w:sz w:val="20"/>
                <w:szCs w:val="20"/>
                <w:highlight w:val="none"/>
                <w:lang w:eastAsia="zh-CN"/>
                <w14:textFill>
                  <w14:solidFill>
                    <w14:schemeClr w14:val="tx1"/>
                  </w14:solidFill>
                </w14:textFill>
              </w:rPr>
              <w:t>依据三：</w:t>
            </w:r>
            <w:r>
              <w:rPr>
                <w:rFonts w:hint="eastAsia" w:ascii="宋体" w:hAnsi="宋体"/>
                <w:color w:val="000000" w:themeColor="text1"/>
                <w:sz w:val="20"/>
                <w:szCs w:val="20"/>
                <w:highlight w:val="none"/>
                <w14:textFill>
                  <w14:solidFill>
                    <w14:schemeClr w14:val="tx1"/>
                  </w14:solidFill>
                </w14:textFill>
              </w:rPr>
              <w:t xml:space="preserve">《铁路安全管理条例》  </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color w:val="000000" w:themeColor="text1"/>
                <w:sz w:val="20"/>
                <w:szCs w:val="20"/>
                <w:highlight w:val="none"/>
                <w14:textFill>
                  <w14:solidFill>
                    <w14:schemeClr w14:val="tx1"/>
                  </w14:solidFill>
                </w14:textFill>
              </w:rPr>
            </w:pPr>
            <w:r>
              <w:rPr>
                <w:rFonts w:hint="eastAsia" w:ascii="宋体" w:hAnsi="宋体"/>
                <w:color w:val="000000" w:themeColor="text1"/>
                <w:sz w:val="20"/>
                <w:szCs w:val="20"/>
                <w:highlight w:val="none"/>
                <w14:textFill>
                  <w14:solidFill>
                    <w14:schemeClr w14:val="tx1"/>
                  </w14:solidFill>
                </w14:textFill>
              </w:rPr>
              <w:t>第二十七条 铁路线路两侧应当设立铁路线路安全保护区。铁路线路安全保护区的范围，从铁路线路路堤坡脚、路堑坡顶或者铁路桥梁(含铁路、道路两用桥，下同)外侧起向外的距离分别为：</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color w:val="000000" w:themeColor="text1"/>
                <w:sz w:val="20"/>
                <w:szCs w:val="20"/>
                <w:highlight w:val="none"/>
                <w14:textFill>
                  <w14:solidFill>
                    <w14:schemeClr w14:val="tx1"/>
                  </w14:solidFill>
                </w14:textFill>
              </w:rPr>
            </w:pPr>
            <w:r>
              <w:rPr>
                <w:rFonts w:hint="eastAsia" w:ascii="宋体" w:hAnsi="宋体"/>
                <w:color w:val="000000" w:themeColor="text1"/>
                <w:sz w:val="20"/>
                <w:szCs w:val="20"/>
                <w:highlight w:val="none"/>
                <w14:textFill>
                  <w14:solidFill>
                    <w14:schemeClr w14:val="tx1"/>
                  </w14:solidFill>
                </w14:textFill>
              </w:rPr>
              <w:t>(一)城市市区高速铁路为10米，其他铁路为8米；</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color w:val="000000" w:themeColor="text1"/>
                <w:sz w:val="20"/>
                <w:szCs w:val="20"/>
                <w:highlight w:val="none"/>
                <w14:textFill>
                  <w14:solidFill>
                    <w14:schemeClr w14:val="tx1"/>
                  </w14:solidFill>
                </w14:textFill>
              </w:rPr>
            </w:pPr>
            <w:r>
              <w:rPr>
                <w:rFonts w:hint="eastAsia" w:ascii="宋体" w:hAnsi="宋体"/>
                <w:color w:val="000000" w:themeColor="text1"/>
                <w:sz w:val="20"/>
                <w:szCs w:val="20"/>
                <w:highlight w:val="none"/>
                <w14:textFill>
                  <w14:solidFill>
                    <w14:schemeClr w14:val="tx1"/>
                  </w14:solidFill>
                </w14:textFill>
              </w:rPr>
              <w:t>(二)城市郊区居民居住区高速铁路为12米，其他铁路为10米；</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color w:val="000000" w:themeColor="text1"/>
                <w:sz w:val="20"/>
                <w:szCs w:val="20"/>
                <w:highlight w:val="none"/>
                <w14:textFill>
                  <w14:solidFill>
                    <w14:schemeClr w14:val="tx1"/>
                  </w14:solidFill>
                </w14:textFill>
              </w:rPr>
            </w:pPr>
            <w:r>
              <w:rPr>
                <w:rFonts w:hint="eastAsia" w:ascii="宋体" w:hAnsi="宋体"/>
                <w:color w:val="000000" w:themeColor="text1"/>
                <w:sz w:val="20"/>
                <w:szCs w:val="20"/>
                <w:highlight w:val="none"/>
                <w14:textFill>
                  <w14:solidFill>
                    <w14:schemeClr w14:val="tx1"/>
                  </w14:solidFill>
                </w14:textFill>
              </w:rPr>
              <w:t>(三)村镇居民居住区高速铁路为15米，其他铁路为12米；</w:t>
            </w:r>
          </w:p>
          <w:p>
            <w:pPr>
              <w:keepNext w:val="0"/>
              <w:keepLines w:val="0"/>
              <w:pageBreakBefore w:val="0"/>
              <w:widowControl w:val="0"/>
              <w:kinsoku/>
              <w:wordWrap/>
              <w:overflowPunct/>
              <w:topLinePunct w:val="0"/>
              <w:autoSpaceDE/>
              <w:autoSpaceDN/>
              <w:bidi w:val="0"/>
              <w:adjustRightInd w:val="0"/>
              <w:snapToGrid w:val="0"/>
              <w:spacing w:line="320" w:lineRule="exact"/>
              <w:ind w:firstLine="400"/>
              <w:textAlignment w:val="auto"/>
              <w:rPr>
                <w:rFonts w:hint="eastAsia" w:ascii="宋体" w:hAnsi="宋体"/>
                <w:color w:val="000000" w:themeColor="text1"/>
                <w:sz w:val="20"/>
                <w:szCs w:val="20"/>
                <w:highlight w:val="none"/>
                <w14:textFill>
                  <w14:solidFill>
                    <w14:schemeClr w14:val="tx1"/>
                  </w14:solidFill>
                </w14:textFill>
              </w:rPr>
            </w:pPr>
            <w:r>
              <w:rPr>
                <w:rFonts w:hint="eastAsia" w:ascii="宋体" w:hAnsi="宋体"/>
                <w:color w:val="000000" w:themeColor="text1"/>
                <w:sz w:val="20"/>
                <w:szCs w:val="20"/>
                <w:highlight w:val="none"/>
                <w14:textFill>
                  <w14:solidFill>
                    <w14:schemeClr w14:val="tx1"/>
                  </w14:solidFill>
                </w14:textFill>
              </w:rPr>
              <w:t>(四)其他地区高速铁路为20米，其他铁路为15米。</w:t>
            </w:r>
          </w:p>
          <w:p>
            <w:pPr>
              <w:keepNext w:val="0"/>
              <w:keepLines w:val="0"/>
              <w:pageBreakBefore w:val="0"/>
              <w:widowControl w:val="0"/>
              <w:kinsoku/>
              <w:wordWrap/>
              <w:overflowPunct/>
              <w:topLinePunct w:val="0"/>
              <w:autoSpaceDE/>
              <w:autoSpaceDN/>
              <w:bidi w:val="0"/>
              <w:adjustRightInd w:val="0"/>
              <w:snapToGrid w:val="0"/>
              <w:spacing w:line="320" w:lineRule="exact"/>
              <w:ind w:firstLine="400" w:firstLineChars="200"/>
              <w:textAlignment w:val="auto"/>
              <w:rPr>
                <w:rFonts w:hint="eastAsia" w:ascii="宋体" w:hAnsi="宋体" w:eastAsia="宋体" w:cs="宋体"/>
                <w:color w:val="000000" w:themeColor="text1"/>
                <w:sz w:val="20"/>
                <w:szCs w:val="20"/>
                <w:highlight w:val="none"/>
                <w:shd w:val="clear" w:color="auto" w:fill="FFFFFF"/>
                <w14:textFill>
                  <w14:solidFill>
                    <w14:schemeClr w14:val="tx1"/>
                  </w14:solidFill>
                </w14:textFill>
              </w:rPr>
            </w:pPr>
            <w:r>
              <w:rPr>
                <w:rFonts w:hint="eastAsia" w:ascii="宋体" w:hAnsi="宋体"/>
                <w:color w:val="000000" w:themeColor="text1"/>
                <w:sz w:val="20"/>
                <w:szCs w:val="20"/>
                <w:highlight w:val="none"/>
                <w14:textFill>
                  <w14:solidFill>
                    <w14:schemeClr w14:val="tx1"/>
                  </w14:solidFill>
                </w14:textFill>
              </w:rPr>
              <w:t>第二十九条 禁止在铁路线路安全保护区内烧荒、放养牲畜、种植影响铁路线路安全和行车瞭望的树木等植物。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781" w:type="dxa"/>
            <w:vMerge w:val="continue"/>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eastAsia" w:ascii="宋体" w:hAnsi="宋体"/>
                <w:color w:val="000000" w:themeColor="text1"/>
                <w:sz w:val="20"/>
                <w:szCs w:val="20"/>
                <w:highlight w:val="none"/>
                <w14:textFill>
                  <w14:solidFill>
                    <w14:schemeClr w14:val="tx1"/>
                  </w14:solidFill>
                </w14:textFill>
              </w:rPr>
            </w:pPr>
          </w:p>
        </w:tc>
        <w:tc>
          <w:tcPr>
            <w:tcW w:w="1431" w:type="dxa"/>
            <w:vAlign w:val="top"/>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eastAsia" w:ascii="宋体" w:hAnsi="宋体"/>
                <w:color w:val="000000" w:themeColor="text1"/>
                <w:sz w:val="20"/>
                <w:szCs w:val="20"/>
                <w:highlight w:val="none"/>
                <w:lang w:val="en-US" w:eastAsia="zh-CN"/>
                <w14:textFill>
                  <w14:solidFill>
                    <w14:schemeClr w14:val="tx1"/>
                  </w14:solidFill>
                </w14:textFill>
              </w:rPr>
            </w:pPr>
            <w:r>
              <w:rPr>
                <w:rFonts w:hint="eastAsia" w:ascii="宋体" w:hAnsi="宋体"/>
                <w:color w:val="000000" w:themeColor="text1"/>
                <w:sz w:val="20"/>
                <w:szCs w:val="20"/>
                <w:highlight w:val="none"/>
                <w:lang w:val="en-US" w:eastAsia="zh-CN"/>
                <w14:textFill>
                  <w14:solidFill>
                    <w14:schemeClr w14:val="tx1"/>
                  </w14:solidFill>
                </w14:textFill>
              </w:rPr>
              <w:t>5</w:t>
            </w:r>
            <w:r>
              <w:rPr>
                <w:rFonts w:hint="eastAsia" w:ascii="宋体" w:hAnsi="宋体"/>
                <w:color w:val="000000" w:themeColor="text1"/>
                <w:sz w:val="20"/>
                <w:szCs w:val="20"/>
                <w:highlight w:val="none"/>
                <w14:textFill>
                  <w14:solidFill>
                    <w14:schemeClr w14:val="tx1"/>
                  </w14:solidFill>
                </w14:textFill>
              </w:rPr>
              <w:t>.法律、法规规定的其他禁养区域</w:t>
            </w:r>
          </w:p>
        </w:tc>
        <w:tc>
          <w:tcPr>
            <w:tcW w:w="6962" w:type="dxa"/>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outlineLvl w:val="9"/>
              <w:rPr>
                <w:rFonts w:hint="eastAsia" w:ascii="宋体" w:hAnsi="宋体"/>
                <w:color w:val="000000" w:themeColor="text1"/>
                <w:sz w:val="20"/>
                <w:szCs w:val="20"/>
                <w:highlight w:val="none"/>
                <w14:textFill>
                  <w14:solidFill>
                    <w14:schemeClr w14:val="tx1"/>
                  </w14:solidFill>
                </w14:textFill>
              </w:rPr>
            </w:pPr>
            <w:r>
              <w:rPr>
                <w:rFonts w:hint="eastAsia" w:ascii="宋体" w:hAnsi="宋体"/>
                <w:color w:val="000000" w:themeColor="text1"/>
                <w:sz w:val="20"/>
                <w:szCs w:val="20"/>
                <w:highlight w:val="none"/>
                <w14:textFill>
                  <w14:solidFill>
                    <w14:schemeClr w14:val="tx1"/>
                  </w14:solidFill>
                </w14:textFill>
              </w:rPr>
              <w:t>其他有关法律法规和技术规范</w:t>
            </w:r>
          </w:p>
        </w:tc>
      </w:tr>
    </w:tbl>
    <w:p>
      <w:pPr>
        <w:pStyle w:val="75"/>
        <w:ind w:firstLineChars="0"/>
        <w:rPr>
          <w:color w:val="000000" w:themeColor="text1"/>
          <w:highlight w:val="none"/>
          <w14:textFill>
            <w14:solidFill>
              <w14:schemeClr w14:val="tx1"/>
            </w14:solidFill>
          </w14:textFill>
        </w:rPr>
        <w:sectPr>
          <w:footerReference r:id="rId11" w:type="default"/>
          <w:pgSz w:w="11906" w:h="16838"/>
          <w:pgMar w:top="1418" w:right="1418" w:bottom="1418" w:left="1418" w:header="851" w:footer="992" w:gutter="0"/>
          <w:cols w:space="425" w:num="1"/>
          <w:docGrid w:type="lines" w:linePitch="312" w:charSpace="0"/>
        </w:sectPr>
      </w:pPr>
      <w:r>
        <w:rPr>
          <w:rFonts w:ascii="宋体" w:hAnsi="宋体" w:eastAsia="宋体" w:cs="宋体"/>
          <w:color w:val="000000" w:themeColor="text1"/>
          <w:sz w:val="24"/>
          <w:szCs w:val="24"/>
          <w14:textFill>
            <w14:solidFill>
              <w14:schemeClr w14:val="tx1"/>
            </w14:solidFill>
          </w14:textFill>
        </w:rPr>
        <w:t> </w:t>
      </w:r>
    </w:p>
    <w:p>
      <w:pPr>
        <w:pStyle w:val="2"/>
        <w:rPr>
          <w:color w:val="000000" w:themeColor="text1"/>
          <w:highlight w:val="none"/>
          <w14:textFill>
            <w14:solidFill>
              <w14:schemeClr w14:val="tx1"/>
            </w14:solidFill>
          </w14:textFill>
        </w:rPr>
      </w:pPr>
      <w:bookmarkStart w:id="7" w:name="_Toc13168"/>
      <w:r>
        <w:rPr>
          <w:rFonts w:hint="eastAsia"/>
          <w:color w:val="000000" w:themeColor="text1"/>
          <w:highlight w:val="none"/>
          <w14:textFill>
            <w14:solidFill>
              <w14:schemeClr w14:val="tx1"/>
            </w14:solidFill>
          </w14:textFill>
        </w:rPr>
        <w:t>区域概况</w:t>
      </w:r>
      <w:bookmarkEnd w:id="7"/>
    </w:p>
    <w:p>
      <w:pPr>
        <w:pStyle w:val="3"/>
        <w:spacing w:before="163" w:after="163"/>
        <w:rPr>
          <w:color w:val="000000" w:themeColor="text1"/>
          <w:highlight w:val="none"/>
          <w14:textFill>
            <w14:solidFill>
              <w14:schemeClr w14:val="tx1"/>
            </w14:solidFill>
          </w14:textFill>
        </w:rPr>
      </w:pPr>
      <w:bookmarkStart w:id="8" w:name="_Toc16621"/>
      <w:bookmarkStart w:id="9" w:name="_Toc26184"/>
      <w:bookmarkStart w:id="10" w:name="_Toc459110723"/>
      <w:r>
        <w:rPr>
          <w:rFonts w:hint="eastAsia"/>
          <w:color w:val="000000" w:themeColor="text1"/>
          <w:highlight w:val="none"/>
          <w14:textFill>
            <w14:solidFill>
              <w14:schemeClr w14:val="tx1"/>
            </w14:solidFill>
          </w14:textFill>
        </w:rPr>
        <w:t>自然环境与资源</w:t>
      </w:r>
      <w:bookmarkEnd w:id="8"/>
      <w:bookmarkEnd w:id="9"/>
      <w:bookmarkEnd w:id="10"/>
    </w:p>
    <w:p>
      <w:pPr>
        <w:pStyle w:val="5"/>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林业资源</w:t>
      </w: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兴宁市林业资源丰富、生态环境良好，森林覆盖率为6</w:t>
      </w:r>
      <w:r>
        <w:rPr>
          <w:rFonts w:hint="eastAsia"/>
          <w:color w:val="000000" w:themeColor="text1"/>
          <w:highlight w:val="none"/>
          <w:lang w:val="en-US" w:eastAsia="zh-CN"/>
          <w14:textFill>
            <w14:solidFill>
              <w14:schemeClr w14:val="tx1"/>
            </w14:solidFill>
          </w14:textFill>
        </w:rPr>
        <w:t>7</w:t>
      </w:r>
      <w:r>
        <w:rPr>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65</w:t>
      </w:r>
      <w:r>
        <w:rPr>
          <w:color w:val="000000" w:themeColor="text1"/>
          <w:highlight w:val="none"/>
          <w14:textFill>
            <w14:solidFill>
              <w14:schemeClr w14:val="tx1"/>
            </w14:solidFill>
          </w14:textFill>
        </w:rPr>
        <w:t>%，林地绿化率达到</w:t>
      </w:r>
      <w:r>
        <w:rPr>
          <w:rFonts w:hint="eastAsia"/>
          <w:color w:val="000000" w:themeColor="text1"/>
          <w:highlight w:val="none"/>
          <w:lang w:val="en-US" w:eastAsia="zh-CN"/>
          <w14:textFill>
            <w14:solidFill>
              <w14:schemeClr w14:val="tx1"/>
            </w14:solidFill>
          </w14:textFill>
        </w:rPr>
        <w:t>98.8</w:t>
      </w:r>
      <w:r>
        <w:rPr>
          <w:color w:val="000000" w:themeColor="text1"/>
          <w:highlight w:val="none"/>
          <w14:textFill>
            <w14:solidFill>
              <w14:schemeClr w14:val="tx1"/>
            </w14:solidFill>
          </w14:textFill>
        </w:rPr>
        <w:t>%。林地面积</w:t>
      </w:r>
      <w:r>
        <w:rPr>
          <w:rFonts w:hint="eastAsia"/>
          <w:color w:val="000000" w:themeColor="text1"/>
          <w:highlight w:val="none"/>
          <w14:textFill>
            <w14:solidFill>
              <w14:schemeClr w14:val="tx1"/>
            </w14:solidFill>
          </w14:textFill>
        </w:rPr>
        <w:t>136512.1</w:t>
      </w:r>
      <w:r>
        <w:rPr>
          <w:color w:val="000000" w:themeColor="text1"/>
          <w:highlight w:val="none"/>
          <w14:textFill>
            <w14:solidFill>
              <w14:schemeClr w14:val="tx1"/>
            </w14:solidFill>
          </w14:textFill>
        </w:rPr>
        <w:t>公顷，其中，有林地</w:t>
      </w:r>
      <w:r>
        <w:rPr>
          <w:rFonts w:hint="eastAsia"/>
          <w:color w:val="000000" w:themeColor="text1"/>
          <w:highlight w:val="none"/>
          <w14:textFill>
            <w14:solidFill>
              <w14:schemeClr w14:val="tx1"/>
            </w14:solidFill>
          </w14:textFill>
        </w:rPr>
        <w:t>126909.2</w:t>
      </w:r>
      <w:r>
        <w:rPr>
          <w:color w:val="000000" w:themeColor="text1"/>
          <w:highlight w:val="none"/>
          <w14:textFill>
            <w14:solidFill>
              <w14:schemeClr w14:val="tx1"/>
            </w14:solidFill>
          </w14:textFill>
        </w:rPr>
        <w:t>公顷、灌木林地</w:t>
      </w:r>
      <w:r>
        <w:rPr>
          <w:rFonts w:hint="eastAsia"/>
          <w:color w:val="000000" w:themeColor="text1"/>
          <w:highlight w:val="none"/>
          <w14:textFill>
            <w14:solidFill>
              <w14:schemeClr w14:val="tx1"/>
            </w14:solidFill>
          </w14:textFill>
        </w:rPr>
        <w:t>8391.3</w:t>
      </w:r>
      <w:r>
        <w:rPr>
          <w:color w:val="000000" w:themeColor="text1"/>
          <w:highlight w:val="none"/>
          <w14:textFill>
            <w14:solidFill>
              <w14:schemeClr w14:val="tx1"/>
            </w14:solidFill>
          </w14:textFill>
        </w:rPr>
        <w:t>公顷、未成林地</w:t>
      </w:r>
      <w:r>
        <w:rPr>
          <w:rFonts w:hint="eastAsia"/>
          <w:color w:val="000000" w:themeColor="text1"/>
          <w:highlight w:val="none"/>
          <w14:textFill>
            <w14:solidFill>
              <w14:schemeClr w14:val="tx1"/>
            </w14:solidFill>
          </w14:textFill>
        </w:rPr>
        <w:t>322.2</w:t>
      </w:r>
      <w:r>
        <w:rPr>
          <w:color w:val="000000" w:themeColor="text1"/>
          <w:highlight w:val="none"/>
          <w14:textFill>
            <w14:solidFill>
              <w14:schemeClr w14:val="tx1"/>
            </w14:solidFill>
          </w14:textFill>
        </w:rPr>
        <w:t>公顷、无林地</w:t>
      </w:r>
      <w:r>
        <w:rPr>
          <w:rFonts w:hint="eastAsia"/>
          <w:color w:val="000000" w:themeColor="text1"/>
          <w:highlight w:val="none"/>
          <w14:textFill>
            <w14:solidFill>
              <w14:schemeClr w14:val="tx1"/>
            </w14:solidFill>
          </w14:textFill>
        </w:rPr>
        <w:t>883.9</w:t>
      </w:r>
      <w:r>
        <w:rPr>
          <w:color w:val="000000" w:themeColor="text1"/>
          <w:highlight w:val="none"/>
          <w14:textFill>
            <w14:solidFill>
              <w14:schemeClr w14:val="tx1"/>
            </w14:solidFill>
          </w14:textFill>
        </w:rPr>
        <w:t>公顷。其中生态公益林地面积68711.4公顷，商品林地面积</w:t>
      </w:r>
      <w:r>
        <w:rPr>
          <w:rFonts w:hint="eastAsia"/>
          <w:color w:val="000000" w:themeColor="text1"/>
          <w:highlight w:val="none"/>
          <w14:textFill>
            <w14:solidFill>
              <w14:schemeClr w14:val="tx1"/>
            </w14:solidFill>
          </w14:textFill>
        </w:rPr>
        <w:t>67800.7</w:t>
      </w:r>
      <w:r>
        <w:rPr>
          <w:color w:val="000000" w:themeColor="text1"/>
          <w:highlight w:val="none"/>
          <w14:textFill>
            <w14:solidFill>
              <w14:schemeClr w14:val="tx1"/>
            </w14:solidFill>
          </w14:textFill>
        </w:rPr>
        <w:t>公顷，活立木总蓄积量：</w:t>
      </w:r>
      <w:r>
        <w:rPr>
          <w:rFonts w:hint="eastAsia"/>
          <w:color w:val="000000" w:themeColor="text1"/>
          <w:highlight w:val="none"/>
          <w14:textFill>
            <w14:solidFill>
              <w14:schemeClr w14:val="tx1"/>
            </w14:solidFill>
          </w14:textFill>
        </w:rPr>
        <w:t>743.388</w:t>
      </w:r>
      <w:r>
        <w:rPr>
          <w:color w:val="000000" w:themeColor="text1"/>
          <w:highlight w:val="none"/>
          <w14:textFill>
            <w14:solidFill>
              <w14:schemeClr w14:val="tx1"/>
            </w14:solidFill>
          </w14:textFill>
        </w:rPr>
        <w:t>万立方米。丰富的林木资源，为保持良好的生态环境发挥重要作用的同时，也为林产品加工业提供了有利条件。</w:t>
      </w:r>
    </w:p>
    <w:p>
      <w:pPr>
        <w:pStyle w:val="5"/>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文物资源</w:t>
      </w: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省级文物保护单位7处：兴宁学宫、两海会馆、磐安围、文峰塔、善述围、棣华围、兴宁古城墙；市（县）级文物保护单位11处：李和美、长兴围、墨池寺、五里大黄屋、合水革命烈士纪念碑、合水古塔、坭陂进士第、金子甲石拱桥、瑶兴石拱桥、何天炯故居和刘氏宗祠。</w:t>
      </w:r>
    </w:p>
    <w:p>
      <w:pPr>
        <w:pStyle w:val="4"/>
        <w:spacing w:before="163" w:after="163"/>
        <w:rPr>
          <w:color w:val="000000" w:themeColor="text1"/>
          <w:highlight w:val="none"/>
          <w14:textFill>
            <w14:solidFill>
              <w14:schemeClr w14:val="tx1"/>
            </w14:solidFill>
          </w14:textFill>
        </w:rPr>
      </w:pPr>
      <w:bookmarkStart w:id="11" w:name="_Toc446016422"/>
      <w:bookmarkStart w:id="12" w:name="_Toc15974"/>
      <w:r>
        <w:rPr>
          <w:color w:val="000000" w:themeColor="text1"/>
          <w:highlight w:val="none"/>
          <w14:textFill>
            <w14:solidFill>
              <w14:schemeClr w14:val="tx1"/>
            </w14:solidFill>
          </w14:textFill>
        </w:rPr>
        <w:t>水系及水文地质、水环境特征</w:t>
      </w:r>
      <w:bookmarkEnd w:id="11"/>
      <w:bookmarkEnd w:id="12"/>
    </w:p>
    <w:p>
      <w:pPr>
        <w:pStyle w:val="5"/>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河流</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兴宁市境内河流水系发达，主要河流有梅江、宁江、东江。兴宁市境内梅江主要支流有</w:t>
      </w:r>
      <w:r>
        <w:rPr>
          <w:rFonts w:hint="eastAsia"/>
          <w:color w:val="000000" w:themeColor="text1"/>
          <w:highlight w:val="none"/>
          <w:lang w:val="en-US" w:eastAsia="zh-CN"/>
          <w14:textFill>
            <w14:solidFill>
              <w14:schemeClr w14:val="tx1"/>
            </w14:solidFill>
          </w14:textFill>
        </w:rPr>
        <w:t>16</w:t>
      </w:r>
      <w:r>
        <w:rPr>
          <w:rFonts w:hint="eastAsia"/>
          <w:color w:val="000000" w:themeColor="text1"/>
          <w:highlight w:val="none"/>
          <w14:textFill>
            <w14:solidFill>
              <w14:schemeClr w14:val="tx1"/>
            </w14:solidFill>
          </w14:textFill>
        </w:rPr>
        <w:t>条：宁江河、大村河、宋声水、荷树水、宝</w:t>
      </w:r>
      <w:r>
        <w:rPr>
          <w:rFonts w:hint="eastAsia"/>
          <w:color w:val="000000" w:themeColor="text1"/>
          <w:highlight w:val="none"/>
          <w:lang w:eastAsia="zh-CN"/>
          <w14:textFill>
            <w14:solidFill>
              <w14:schemeClr w14:val="tx1"/>
            </w14:solidFill>
          </w14:textFill>
        </w:rPr>
        <w:t>山沥</w:t>
      </w:r>
      <w:r>
        <w:rPr>
          <w:rFonts w:hint="eastAsia"/>
          <w:color w:val="000000" w:themeColor="text1"/>
          <w:highlight w:val="none"/>
          <w14:textFill>
            <w14:solidFill>
              <w14:schemeClr w14:val="tx1"/>
            </w14:solidFill>
          </w14:textFill>
        </w:rPr>
        <w:t>、布头水、官水、径心水、叶华水</w:t>
      </w:r>
      <w:r>
        <w:rPr>
          <w:rFonts w:hint="eastAsia"/>
          <w:color w:val="000000" w:themeColor="text1"/>
          <w:highlight w:val="none"/>
          <w:lang w:eastAsia="zh-CN"/>
          <w14:textFill>
            <w14:solidFill>
              <w14:schemeClr w14:val="tx1"/>
            </w14:solidFill>
          </w14:textFill>
        </w:rPr>
        <w:t>、井溪沥、下堡水、叶华水、大坑沥、马章河、坪宫水、陂蓬沥</w:t>
      </w:r>
      <w:r>
        <w:rPr>
          <w:rFonts w:hint="eastAsia"/>
          <w:color w:val="000000" w:themeColor="text1"/>
          <w:highlight w:val="none"/>
          <w14:textFill>
            <w14:solidFill>
              <w14:schemeClr w14:val="tx1"/>
            </w14:solidFill>
          </w14:textFill>
        </w:rPr>
        <w:t>。宁江是韩江</w:t>
      </w:r>
      <w:r>
        <w:rPr>
          <w:rFonts w:hint="eastAsia"/>
          <w:color w:val="000000" w:themeColor="text1"/>
          <w:highlight w:val="none"/>
          <w:lang w:eastAsia="zh-CN"/>
          <w14:textFill>
            <w14:solidFill>
              <w14:schemeClr w14:val="tx1"/>
            </w14:solidFill>
          </w14:textFill>
        </w:rPr>
        <w:t>二</w:t>
      </w:r>
      <w:r>
        <w:rPr>
          <w:rFonts w:hint="eastAsia"/>
          <w:color w:val="000000" w:themeColor="text1"/>
          <w:highlight w:val="none"/>
          <w14:textFill>
            <w14:solidFill>
              <w14:schemeClr w14:val="tx1"/>
            </w14:solidFill>
          </w14:textFill>
        </w:rPr>
        <w:t>级支流，发源于兴宁罗浮阳天嶂，流经罗岗、坪洋，于合水汇黄陂河，于龙田汇石马河，经过兴宁市宁江河，在水口流入梅江。宁江</w:t>
      </w:r>
      <w:r>
        <w:rPr>
          <w:rFonts w:hint="eastAsia"/>
          <w:color w:val="000000" w:themeColor="text1"/>
          <w:highlight w:val="none"/>
          <w:lang w:eastAsia="zh-CN"/>
          <w14:textFill>
            <w14:solidFill>
              <w14:schemeClr w14:val="tx1"/>
            </w14:solidFill>
          </w14:textFill>
        </w:rPr>
        <w:t>流域内有</w:t>
      </w:r>
      <w:r>
        <w:rPr>
          <w:rFonts w:hint="eastAsia"/>
          <w:color w:val="000000" w:themeColor="text1"/>
          <w:highlight w:val="none"/>
          <w:lang w:val="en-US" w:eastAsia="zh-CN"/>
          <w14:textFill>
            <w14:solidFill>
              <w14:schemeClr w14:val="tx1"/>
            </w14:solidFill>
          </w14:textFill>
        </w:rPr>
        <w:t>33条山溪河流汇入，其中包括</w:t>
      </w:r>
      <w:r>
        <w:rPr>
          <w:rFonts w:hint="eastAsia"/>
          <w:color w:val="000000" w:themeColor="text1"/>
          <w:highlight w:val="none"/>
          <w14:textFill>
            <w14:solidFill>
              <w14:schemeClr w14:val="tx1"/>
            </w14:solidFill>
          </w14:textFill>
        </w:rPr>
        <w:t>石马河、朱坑河、凉溪河、麻岭河、曾坑河、兴江河、笃陂河、和山河、</w:t>
      </w:r>
      <w:r>
        <w:rPr>
          <w:rFonts w:hint="eastAsia"/>
          <w:color w:val="000000" w:themeColor="text1"/>
          <w:highlight w:val="none"/>
          <w:lang w:eastAsia="zh-CN"/>
          <w14:textFill>
            <w14:solidFill>
              <w14:schemeClr w14:val="tx1"/>
            </w14:solidFill>
          </w14:textFill>
        </w:rPr>
        <w:t>官</w:t>
      </w:r>
      <w:r>
        <w:rPr>
          <w:rFonts w:hint="eastAsia"/>
          <w:color w:val="000000" w:themeColor="text1"/>
          <w:highlight w:val="none"/>
          <w14:textFill>
            <w14:solidFill>
              <w14:schemeClr w14:val="tx1"/>
            </w14:solidFill>
          </w14:textFill>
        </w:rPr>
        <w:t>峰沥</w:t>
      </w:r>
      <w:r>
        <w:rPr>
          <w:rFonts w:hint="eastAsia"/>
          <w:color w:val="000000" w:themeColor="text1"/>
          <w:highlight w:val="none"/>
          <w:lang w:eastAsia="zh-CN"/>
          <w14:textFill>
            <w14:solidFill>
              <w14:schemeClr w14:val="tx1"/>
            </w14:solidFill>
          </w14:textFill>
        </w:rPr>
        <w:t>等重要河流</w:t>
      </w:r>
      <w:r>
        <w:rPr>
          <w:rFonts w:hint="eastAsia"/>
          <w:color w:val="000000" w:themeColor="text1"/>
          <w:highlight w:val="none"/>
          <w14:textFill>
            <w14:solidFill>
              <w14:schemeClr w14:val="tx1"/>
            </w14:solidFill>
          </w14:textFill>
        </w:rPr>
        <w:t>。东江寻邬水沿兴宁与河源龙川交界的边境经过，兴宁罗浮一带的河流汇入其中。</w:t>
      </w: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宁江贯穿规划区南北，全长107km，沿途接纳32条山溪小河，流域面积1364.75km</w:t>
      </w:r>
      <w:r>
        <w:rPr>
          <w:color w:val="000000" w:themeColor="text1"/>
          <w:highlight w:val="none"/>
          <w:vertAlign w:val="superscript"/>
          <w14:textFill>
            <w14:solidFill>
              <w14:schemeClr w14:val="tx1"/>
            </w14:solidFill>
          </w14:textFill>
        </w:rPr>
        <w:t>2</w:t>
      </w:r>
      <w:r>
        <w:rPr>
          <w:color w:val="000000" w:themeColor="text1"/>
          <w:highlight w:val="none"/>
          <w14:textFill>
            <w14:solidFill>
              <w14:schemeClr w14:val="tx1"/>
            </w14:solidFill>
          </w14:textFill>
        </w:rPr>
        <w:t>，是规划区内最大的梅江支流。宁江流量受大气降雨影响较大，每年3-9月降雨多，水量充沛，常满溢两岸；每年10月至次年2月降雨少，流量锐减，河床多暴露。</w:t>
      </w:r>
    </w:p>
    <w:p>
      <w:pPr>
        <w:pStyle w:val="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水库概况</w:t>
      </w: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合水水库，位于广东省兴宁市北，离城14公里，兴建在</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"http://baike.baidu.com/view/298912.htm" \t "_blank"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宁江</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t>主流</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"http://baike.baidu.com/view/14378642.htm" \t "_blank"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黄陂河</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t>与</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"http://baike.baidu.com/view/14378624.htm" \t "_blank"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罗岗河</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t>的汇合处，集水面积</w:t>
      </w:r>
      <w:r>
        <w:rPr>
          <w:rFonts w:hint="eastAsia"/>
          <w:color w:val="000000" w:themeColor="text1"/>
          <w:highlight w:val="none"/>
          <w:lang w:val="en-US" w:eastAsia="zh-CN"/>
          <w14:textFill>
            <w14:solidFill>
              <w14:schemeClr w14:val="tx1"/>
            </w14:solidFill>
          </w14:textFill>
        </w:rPr>
        <w:t>577.6</w:t>
      </w:r>
      <w:r>
        <w:rPr>
          <w:color w:val="000000" w:themeColor="text1"/>
          <w:highlight w:val="none"/>
          <w14:textFill>
            <w14:solidFill>
              <w14:schemeClr w14:val="tx1"/>
            </w14:solidFill>
          </w14:textFill>
        </w:rPr>
        <w:t>多平方公里，占宁江流域面积</w:t>
      </w:r>
      <w:r>
        <w:rPr>
          <w:rFonts w:hint="eastAsia"/>
          <w:color w:val="000000" w:themeColor="text1"/>
          <w:highlight w:val="none"/>
          <w:lang w:val="en-US" w:eastAsia="zh-CN"/>
          <w14:textFill>
            <w14:solidFill>
              <w14:schemeClr w14:val="tx1"/>
            </w14:solidFill>
          </w14:textFill>
        </w:rPr>
        <w:t>40.6</w:t>
      </w:r>
      <w:r>
        <w:rPr>
          <w:color w:val="000000" w:themeColor="text1"/>
          <w:highlight w:val="none"/>
          <w14:textFill>
            <w14:solidFill>
              <w14:schemeClr w14:val="tx1"/>
            </w14:solidFill>
          </w14:textFill>
        </w:rPr>
        <w:t>%。水库面积1.9万亩，除百年一遇大水可淹没面积1.2万亩外，尚有陆地面积6505亩，其中林地4789亩，耕地或荒山1716亩。</w:t>
      </w: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合水水库于1956年10月动工兴建，翌年7月建成，总库容为5300万立方米。1959年和1964年两次扩建后，最大库容为1.1亿立方米，属大(二)型水库。</w:t>
      </w:r>
    </w:p>
    <w:p>
      <w:pPr>
        <w:shd w:val="clear" w:color="auto" w:fill="FFFFFF"/>
        <w:ind w:firstLine="420" w:firstLineChars="0"/>
        <w:jc w:val="left"/>
        <w:rPr>
          <w:rFonts w:hint="default" w:eastAsia="宋体"/>
          <w:color w:val="000000" w:themeColor="text1"/>
          <w:highlight w:val="none"/>
          <w:lang w:val="en-US" w:eastAsia="zh-CN"/>
          <w14:textFill>
            <w14:solidFill>
              <w14:schemeClr w14:val="tx1"/>
            </w14:solidFill>
          </w14:textFill>
        </w:rPr>
      </w:pPr>
      <w:r>
        <w:rPr>
          <w:color w:val="000000" w:themeColor="text1"/>
          <w:highlight w:val="none"/>
          <w14:textFill>
            <w14:solidFill>
              <w14:schemeClr w14:val="tx1"/>
            </w14:solidFill>
          </w14:textFill>
        </w:rPr>
        <w:t>合水水库是广东省一大蓄水工程。水库兴建时的设计标准为50年一遇，100年校核。汛期的防限水位标高为127.1米，相应库容3800万立方米；正常洪水位为136.1米，相应库容5300万立方米。坝高17.7米，坝面宽7米，底宽107米，坝长590米。</w:t>
      </w:r>
      <w:r>
        <w:rPr>
          <w:rFonts w:hint="eastAsia"/>
          <w:color w:val="000000" w:themeColor="text1"/>
          <w:highlight w:val="none"/>
          <w:lang w:val="en-US" w:eastAsia="zh-CN"/>
          <w14:textFill>
            <w14:solidFill>
              <w14:schemeClr w14:val="tx1"/>
            </w14:solidFill>
          </w14:textFill>
        </w:rPr>
        <w:t>2005年合水水库进行加固扩建，设计标准为500年一遇，3000年校核。汛期的防限水位标高为137.50米，相应库容4637万立方米；正常蓄水位为138.00米，相应库容5105万立方米。坝高24米，坝面宽8米，坝长868米。</w:t>
      </w:r>
    </w:p>
    <w:p>
      <w:pPr>
        <w:shd w:val="clear" w:color="auto" w:fill="FFFFFF"/>
        <w:ind w:firstLine="420" w:firstLineChars="0"/>
        <w:jc w:val="left"/>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仙人座石水库库区位于</w:t>
      </w:r>
      <w:r>
        <w:rPr>
          <w:rFonts w:hint="eastAsia"/>
          <w:color w:val="000000" w:themeColor="text1"/>
          <w:highlight w:val="none"/>
          <w14:textFill>
            <w14:solidFill>
              <w14:schemeClr w14:val="tx1"/>
            </w14:solidFill>
          </w14:textFill>
        </w:rPr>
        <w:t>的新陂镇乐仙村</w:t>
      </w:r>
      <w:r>
        <w:rPr>
          <w:color w:val="000000" w:themeColor="text1"/>
          <w:highlight w:val="none"/>
          <w14:textFill>
            <w14:solidFill>
              <w14:schemeClr w14:val="tx1"/>
            </w14:solidFill>
          </w14:textFill>
        </w:rPr>
        <w:t>戴湖、青年、半坑村门口至乐仙山口处，集雨面积10.3平方公里，</w:t>
      </w:r>
      <w:r>
        <w:rPr>
          <w:rFonts w:hint="eastAsia"/>
          <w:color w:val="000000" w:themeColor="text1"/>
          <w:highlight w:val="none"/>
          <w14:textFill>
            <w14:solidFill>
              <w14:schemeClr w14:val="tx1"/>
            </w14:solidFill>
          </w14:textFill>
        </w:rPr>
        <w:t>坝体为均质土坝，总库容547.9万m</w:t>
      </w:r>
      <w:r>
        <w:rPr>
          <w:rFonts w:hint="eastAsia"/>
          <w:color w:val="000000" w:themeColor="text1"/>
          <w:highlight w:val="none"/>
          <w:vertAlign w:val="superscript"/>
          <w14:textFill>
            <w14:solidFill>
              <w14:schemeClr w14:val="tx1"/>
            </w14:solidFill>
          </w14:textFill>
        </w:rPr>
        <w:t>3</w:t>
      </w:r>
      <w:r>
        <w:rPr>
          <w:rFonts w:hint="eastAsia"/>
          <w:color w:val="000000" w:themeColor="text1"/>
          <w:highlight w:val="none"/>
          <w14:textFill>
            <w14:solidFill>
              <w14:schemeClr w14:val="tx1"/>
            </w14:solidFill>
          </w14:textFill>
        </w:rPr>
        <w:t>，正常库容392万m</w:t>
      </w:r>
      <w:r>
        <w:rPr>
          <w:rFonts w:hint="eastAsia"/>
          <w:color w:val="000000" w:themeColor="text1"/>
          <w:highlight w:val="none"/>
          <w:vertAlign w:val="superscript"/>
          <w14:textFill>
            <w14:solidFill>
              <w14:schemeClr w14:val="tx1"/>
            </w14:solidFill>
          </w14:textFill>
        </w:rPr>
        <w:t>3</w:t>
      </w:r>
      <w:r>
        <w:rPr>
          <w:rFonts w:hint="eastAsia"/>
          <w:color w:val="000000" w:themeColor="text1"/>
          <w:highlight w:val="none"/>
          <w14:textFill>
            <w14:solidFill>
              <w14:schemeClr w14:val="tx1"/>
            </w14:solidFill>
          </w14:textFill>
        </w:rPr>
        <w:t>。</w:t>
      </w:r>
    </w:p>
    <w:p>
      <w:pPr>
        <w:shd w:val="clear" w:color="auto" w:fill="FFFFFF"/>
        <w:ind w:firstLine="420" w:firstLineChars="0"/>
        <w:jc w:val="left"/>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水库开工兴建于1959年，它是以集防洪、灌溉、发电、配用供水、养殖于一体的隶属以麻岭水库联管所的重要小（一）型水库。</w:t>
      </w:r>
    </w:p>
    <w:p>
      <w:pPr>
        <w:pStyle w:val="3"/>
        <w:spacing w:before="163" w:after="163"/>
        <w:rPr>
          <w:color w:val="000000" w:themeColor="text1"/>
          <w:highlight w:val="none"/>
          <w14:textFill>
            <w14:solidFill>
              <w14:schemeClr w14:val="tx1"/>
            </w14:solidFill>
          </w14:textFill>
        </w:rPr>
      </w:pPr>
      <w:bookmarkStart w:id="13" w:name="_Toc28268"/>
      <w:bookmarkStart w:id="14" w:name="_Toc23174"/>
      <w:bookmarkStart w:id="15" w:name="_Toc459110724"/>
      <w:r>
        <w:rPr>
          <w:rFonts w:hint="eastAsia"/>
          <w:color w:val="000000" w:themeColor="text1"/>
          <w:highlight w:val="none"/>
          <w14:textFill>
            <w14:solidFill>
              <w14:schemeClr w14:val="tx1"/>
            </w14:solidFill>
          </w14:textFill>
        </w:rPr>
        <w:t>经济社会概况</w:t>
      </w:r>
      <w:bookmarkEnd w:id="13"/>
      <w:bookmarkEnd w:id="14"/>
      <w:bookmarkEnd w:id="15"/>
    </w:p>
    <w:p>
      <w:pPr>
        <w:pStyle w:val="4"/>
        <w:spacing w:before="163" w:after="163"/>
        <w:rPr>
          <w:color w:val="000000" w:themeColor="text1"/>
          <w:highlight w:val="none"/>
          <w14:textFill>
            <w14:solidFill>
              <w14:schemeClr w14:val="tx1"/>
            </w14:solidFill>
          </w14:textFill>
        </w:rPr>
      </w:pPr>
      <w:bookmarkStart w:id="16" w:name="_Toc446016424"/>
      <w:bookmarkStart w:id="17" w:name="_Toc15758"/>
      <w:r>
        <w:rPr>
          <w:color w:val="000000" w:themeColor="text1"/>
          <w:highlight w:val="none"/>
          <w14:textFill>
            <w14:solidFill>
              <w14:schemeClr w14:val="tx1"/>
            </w14:solidFill>
          </w14:textFill>
        </w:rPr>
        <w:t>行政区划与管辖</w:t>
      </w:r>
      <w:bookmarkEnd w:id="16"/>
      <w:bookmarkEnd w:id="17"/>
    </w:p>
    <w:p>
      <w:pPr>
        <w:rPr>
          <w:rFonts w:cstheme="majorBidi"/>
          <w:b/>
          <w:bCs/>
          <w:color w:val="000000" w:themeColor="text1"/>
          <w:szCs w:val="26"/>
          <w:highlight w:val="none"/>
          <w14:textFill>
            <w14:solidFill>
              <w14:schemeClr w14:val="tx1"/>
            </w14:solidFill>
          </w14:textFill>
        </w:rPr>
      </w:pPr>
      <w:bookmarkStart w:id="18" w:name="_Toc7020"/>
      <w:bookmarkStart w:id="19" w:name="_Toc446016425"/>
      <w:r>
        <w:rPr>
          <w:rFonts w:hint="eastAsia"/>
          <w:color w:val="000000" w:themeColor="text1"/>
          <w:highlight w:val="none"/>
          <w14:textFill>
            <w14:solidFill>
              <w14:schemeClr w14:val="tx1"/>
            </w14:solidFill>
          </w14:textFill>
        </w:rPr>
        <w:t>兴宁全市总面积</w:t>
      </w:r>
      <w:r>
        <w:rPr>
          <w:rFonts w:hint="eastAsia"/>
          <w:color w:val="000000" w:themeColor="text1"/>
          <w:highlight w:val="none"/>
          <w:lang w:val="en-US" w:eastAsia="zh-CN"/>
          <w14:textFill>
            <w14:solidFill>
              <w14:schemeClr w14:val="tx1"/>
            </w14:solidFill>
          </w14:textFill>
        </w:rPr>
        <w:t>2075.3939</w:t>
      </w:r>
      <w:r>
        <w:rPr>
          <w:rFonts w:hint="eastAsia"/>
          <w:color w:val="000000" w:themeColor="text1"/>
          <w:highlight w:val="none"/>
          <w14:textFill>
            <w14:solidFill>
              <w14:schemeClr w14:val="tx1"/>
            </w14:solidFill>
          </w14:textFill>
        </w:rPr>
        <w:t>平方公里，拥有300多平方公里的宁江盆地（广东十大盆地之一）。现辖17个乡镇</w:t>
      </w:r>
      <w:r>
        <w:rPr>
          <w:rFonts w:hint="eastAsia"/>
          <w:color w:val="000000" w:themeColor="text1"/>
          <w:highlight w:val="none"/>
          <w:lang w:eastAsia="zh-CN"/>
          <w14:textFill>
            <w14:solidFill>
              <w14:schemeClr w14:val="tx1"/>
            </w14:solidFill>
          </w14:textFill>
        </w:rPr>
        <w:t>、</w:t>
      </w:r>
      <w:r>
        <w:rPr>
          <w:rFonts w:hint="eastAsia"/>
          <w:color w:val="000000" w:themeColor="text1"/>
          <w:highlight w:val="none"/>
          <w14:textFill>
            <w14:solidFill>
              <w14:schemeClr w14:val="tx1"/>
            </w14:solidFill>
          </w14:textFill>
        </w:rPr>
        <w:t>3个街道办事处，455个村和36个社区居民委员会，总人口118.89万，其中城镇人口44.04万。</w:t>
      </w:r>
    </w:p>
    <w:p>
      <w:pPr>
        <w:pStyle w:val="4"/>
        <w:spacing w:before="163" w:after="163"/>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人口及分布</w:t>
      </w:r>
      <w:bookmarkEnd w:id="18"/>
      <w:bookmarkEnd w:id="19"/>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201</w:t>
      </w:r>
      <w:r>
        <w:rPr>
          <w:rFonts w:hint="eastAsia"/>
          <w:color w:val="000000" w:themeColor="text1"/>
          <w:highlight w:val="none"/>
          <w:lang w:val="en-US" w:eastAsia="zh-CN"/>
          <w14:textFill>
            <w14:solidFill>
              <w14:schemeClr w14:val="tx1"/>
            </w14:solidFill>
          </w14:textFill>
        </w:rPr>
        <w:t>8</w:t>
      </w:r>
      <w:r>
        <w:rPr>
          <w:color w:val="000000" w:themeColor="text1"/>
          <w:highlight w:val="none"/>
          <w14:textFill>
            <w14:solidFill>
              <w14:schemeClr w14:val="tx1"/>
            </w14:solidFill>
          </w14:textFill>
        </w:rPr>
        <w:t>年兴宁市全市总户籍人口为11</w:t>
      </w:r>
      <w:r>
        <w:rPr>
          <w:rFonts w:hint="eastAsia"/>
          <w:color w:val="000000" w:themeColor="text1"/>
          <w:highlight w:val="none"/>
          <w14:textFill>
            <w14:solidFill>
              <w14:schemeClr w14:val="tx1"/>
            </w14:solidFill>
          </w14:textFill>
        </w:rPr>
        <w:t>8.89</w:t>
      </w:r>
      <w:r>
        <w:rPr>
          <w:color w:val="000000" w:themeColor="text1"/>
          <w:highlight w:val="none"/>
          <w14:textFill>
            <w14:solidFill>
              <w14:schemeClr w14:val="tx1"/>
            </w14:solidFill>
          </w14:textFill>
        </w:rPr>
        <w:t>万人，常住人口为98.19万，城镇化率为44.11%。近年来，兴宁市人口自然增长率</w:t>
      </w:r>
      <w:r>
        <w:rPr>
          <w:rFonts w:hint="eastAsia"/>
          <w:color w:val="000000" w:themeColor="text1"/>
          <w:highlight w:val="none"/>
          <w14:textFill>
            <w14:solidFill>
              <w14:schemeClr w14:val="tx1"/>
            </w14:solidFill>
          </w14:textFill>
        </w:rPr>
        <w:t>7.25%</w:t>
      </w:r>
      <w:r>
        <w:rPr>
          <w:color w:val="000000" w:themeColor="text1"/>
          <w:highlight w:val="none"/>
          <w14:textFill>
            <w14:solidFill>
              <w14:schemeClr w14:val="tx1"/>
            </w14:solidFill>
          </w14:textFill>
        </w:rPr>
        <w:t>，随着兴宁市中心城区建设的推进，城镇化建设将会提速。</w:t>
      </w:r>
      <w:r>
        <w:rPr>
          <w:rFonts w:hint="eastAsia"/>
          <w:color w:val="000000" w:themeColor="text1"/>
          <w:highlight w:val="none"/>
          <w:lang w:eastAsia="zh-CN"/>
          <w14:textFill>
            <w14:solidFill>
              <w14:schemeClr w14:val="tx1"/>
            </w14:solidFill>
          </w14:textFill>
        </w:rPr>
        <w:t>根据</w:t>
      </w:r>
      <w:r>
        <w:rPr>
          <w:color w:val="000000" w:themeColor="text1"/>
          <w:highlight w:val="none"/>
          <w14:textFill>
            <w14:solidFill>
              <w14:schemeClr w14:val="tx1"/>
            </w14:solidFill>
          </w14:textFill>
        </w:rPr>
        <w:t>兴宁市近年人口统计数据可以看出农村人口仍占人口总数的大多数，约为72%。</w:t>
      </w:r>
    </w:p>
    <w:p>
      <w:pPr>
        <w:pStyle w:val="4"/>
        <w:spacing w:before="163" w:after="163"/>
        <w:rPr>
          <w:color w:val="000000" w:themeColor="text1"/>
          <w:highlight w:val="none"/>
          <w14:textFill>
            <w14:solidFill>
              <w14:schemeClr w14:val="tx1"/>
            </w14:solidFill>
          </w14:textFill>
        </w:rPr>
      </w:pPr>
      <w:bookmarkStart w:id="20" w:name="_Toc9575"/>
      <w:bookmarkStart w:id="21" w:name="_Toc446016426"/>
      <w:r>
        <w:rPr>
          <w:color w:val="000000" w:themeColor="text1"/>
          <w:highlight w:val="none"/>
          <w14:textFill>
            <w14:solidFill>
              <w14:schemeClr w14:val="tx1"/>
            </w14:solidFill>
          </w14:textFill>
        </w:rPr>
        <w:t>经济发展概况</w:t>
      </w:r>
      <w:bookmarkEnd w:id="20"/>
      <w:bookmarkEnd w:id="21"/>
    </w:p>
    <w:p>
      <w:pPr>
        <w:rPr>
          <w:rFonts w:hint="eastAsia"/>
          <w:color w:val="000000" w:themeColor="text1"/>
          <w:highlight w:val="none"/>
          <w:lang w:val="en-US" w:eastAsia="zh-CN"/>
          <w14:textFill>
            <w14:solidFill>
              <w14:schemeClr w14:val="tx1"/>
            </w14:solidFill>
          </w14:textFill>
        </w:rPr>
      </w:pPr>
      <w:r>
        <w:rPr>
          <w:color w:val="000000" w:themeColor="text1"/>
          <w:highlight w:val="none"/>
          <w:lang w:val="en-US" w:eastAsia="zh-CN"/>
          <w14:textFill>
            <w14:solidFill>
              <w14:schemeClr w14:val="tx1"/>
            </w14:solidFill>
          </w14:textFill>
        </w:rPr>
        <w:t>按照省委“</w:t>
      </w:r>
      <w:r>
        <w:rPr>
          <w:rFonts w:hint="eastAsia"/>
          <w:color w:val="000000" w:themeColor="text1"/>
          <w:highlight w:val="none"/>
          <w:lang w:val="en-US" w:eastAsia="zh-CN"/>
          <w14:textFill>
            <w14:solidFill>
              <w14:schemeClr w14:val="tx1"/>
            </w14:solidFill>
          </w14:textFill>
        </w:rPr>
        <w:t>1+1+9</w:t>
      </w:r>
      <w:r>
        <w:rPr>
          <w:rFonts w:hint="default"/>
          <w:color w:val="000000" w:themeColor="text1"/>
          <w:highlight w:val="none"/>
          <w:lang w:val="en-US" w:eastAsia="zh-CN"/>
          <w14:textFill>
            <w14:solidFill>
              <w14:schemeClr w14:val="tx1"/>
            </w14:solidFill>
          </w14:textFill>
        </w:rPr>
        <w:t>”工作部署和梅州市委 “</w:t>
      </w:r>
      <w:r>
        <w:rPr>
          <w:rFonts w:hint="eastAsia"/>
          <w:color w:val="000000" w:themeColor="text1"/>
          <w:highlight w:val="none"/>
          <w:lang w:val="en-US" w:eastAsia="zh-CN"/>
          <w14:textFill>
            <w14:solidFill>
              <w14:schemeClr w14:val="tx1"/>
            </w14:solidFill>
          </w14:textFill>
        </w:rPr>
        <w:t>123456</w:t>
      </w:r>
      <w:r>
        <w:rPr>
          <w:rFonts w:hint="default"/>
          <w:color w:val="000000" w:themeColor="text1"/>
          <w:highlight w:val="none"/>
          <w:lang w:val="en-US" w:eastAsia="zh-CN"/>
          <w14:textFill>
            <w14:solidFill>
              <w14:schemeClr w14:val="tx1"/>
            </w14:solidFill>
          </w14:textFill>
        </w:rPr>
        <w:t>”思路举措，主动融入粤港澳大湾区、深圳先行示范区 建设，坚持生态优先、绿色发展，</w:t>
      </w:r>
      <w:r>
        <w:rPr>
          <w:rFonts w:hint="eastAsia"/>
          <w:color w:val="000000" w:themeColor="text1"/>
          <w:highlight w:val="none"/>
          <w:lang w:val="en-US" w:eastAsia="zh-CN"/>
          <w14:textFill>
            <w14:solidFill>
              <w14:schemeClr w14:val="tx1"/>
            </w14:solidFill>
          </w14:textFill>
        </w:rPr>
        <w:t>推进</w:t>
      </w:r>
      <w:r>
        <w:rPr>
          <w:rFonts w:hint="default"/>
          <w:color w:val="000000" w:themeColor="text1"/>
          <w:highlight w:val="none"/>
          <w:lang w:val="en-US" w:eastAsia="zh-CN"/>
          <w14:textFill>
            <w14:solidFill>
              <w14:schemeClr w14:val="tx1"/>
            </w14:solidFill>
          </w14:textFill>
        </w:rPr>
        <w:t>“一城一廊一带”</w:t>
      </w:r>
      <w:r>
        <w:rPr>
          <w:rFonts w:hint="eastAsia"/>
          <w:color w:val="000000" w:themeColor="text1"/>
          <w:highlight w:val="none"/>
          <w:lang w:val="en-US" w:eastAsia="zh-CN"/>
          <w14:textFill>
            <w14:solidFill>
              <w14:schemeClr w14:val="tx1"/>
            </w14:solidFill>
          </w14:textFill>
        </w:rPr>
        <w:t>建设</w:t>
      </w:r>
      <w:r>
        <w:rPr>
          <w:rFonts w:hint="default"/>
          <w:color w:val="000000" w:themeColor="text1"/>
          <w:highlight w:val="none"/>
          <w:lang w:val="en-US" w:eastAsia="zh-CN"/>
          <w14:textFill>
            <w14:solidFill>
              <w14:schemeClr w14:val="tx1"/>
            </w14:solidFill>
          </w14:textFill>
        </w:rPr>
        <w:t>，建设“工贸新城·智慧兴宁”</w:t>
      </w:r>
      <w:r>
        <w:rPr>
          <w:rFonts w:hint="eastAsia"/>
          <w:color w:val="000000" w:themeColor="text1"/>
          <w:highlight w:val="none"/>
          <w:lang w:val="en-US" w:eastAsia="zh-CN"/>
          <w14:textFill>
            <w14:solidFill>
              <w14:schemeClr w14:val="tx1"/>
            </w14:solidFill>
          </w14:textFill>
        </w:rPr>
        <w:t>，打造梅州副中心城市，打好交通水利基础设施建设、招商引资、资源整合、科学耕山致富、城乡环境整治等“五大会战”，经济实现平稳较快增长，人民生活水平不断提高，社会事业全面进步。</w:t>
      </w: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201</w:t>
      </w:r>
      <w:r>
        <w:rPr>
          <w:rFonts w:hint="eastAsia"/>
          <w:color w:val="000000" w:themeColor="text1"/>
          <w:highlight w:val="none"/>
          <w:lang w:val="en-US" w:eastAsia="zh-CN"/>
          <w14:textFill>
            <w14:solidFill>
              <w14:schemeClr w14:val="tx1"/>
            </w14:solidFill>
          </w14:textFill>
        </w:rPr>
        <w:t>8</w:t>
      </w:r>
      <w:r>
        <w:rPr>
          <w:color w:val="000000" w:themeColor="text1"/>
          <w:highlight w:val="none"/>
          <w14:textFill>
            <w14:solidFill>
              <w14:schemeClr w14:val="tx1"/>
            </w14:solidFill>
          </w14:textFill>
        </w:rPr>
        <w:t>年，</w:t>
      </w:r>
      <w:r>
        <w:rPr>
          <w:rFonts w:hint="eastAsia"/>
          <w:color w:val="000000" w:themeColor="text1"/>
          <w:highlight w:val="none"/>
          <w:lang w:eastAsia="zh-CN"/>
          <w14:textFill>
            <w14:solidFill>
              <w14:schemeClr w14:val="tx1"/>
            </w14:solidFill>
          </w14:textFill>
        </w:rPr>
        <w:t>兴宁</w:t>
      </w:r>
      <w:r>
        <w:rPr>
          <w:color w:val="000000" w:themeColor="text1"/>
          <w:highlight w:val="none"/>
          <w14:textFill>
            <w14:solidFill>
              <w14:schemeClr w14:val="tx1"/>
            </w14:solidFill>
          </w14:textFill>
        </w:rPr>
        <w:t>市全市经济总体保持平稳运行的态势。</w:t>
      </w:r>
      <w:r>
        <w:rPr>
          <w:rFonts w:hint="eastAsia"/>
          <w:color w:val="000000" w:themeColor="text1"/>
          <w:highlight w:val="none"/>
          <w:lang w:eastAsia="zh-CN"/>
          <w14:textFill>
            <w14:solidFill>
              <w14:schemeClr w14:val="tx1"/>
            </w14:solidFill>
          </w14:textFill>
        </w:rPr>
        <w:t>稳增长取得实效，实体经济发展壮大，城区扩容提质加快，乡村振兴扎实推进，精准脱贫稳扎稳打，污染防治成效提升，民生保障扎实有力，社会事业全面进步。2018年，兴宁市实现生产总值171.94亿元，同比增长0.2%。其中：第一产业增加值43.58亿元，同比增长5.1%；第二产业增加值33.68亿元，同比下降1.4%。其中：工业增加值28.72亿元，同比增长1.9%。建筑业增加值5.19亿元，同比下降21.9%；第三产业增加值94.68亿元，同比下降1.3%。三次产业结构比重为25.3:19.6:55.1。全年实现农业总产值70亿元，同比增长5.3%，农业增加值43.99亿元，同比增长5.1%。全市完成工业总产值96.08亿元，同比增长0.6%，完成工业增加值25.21亿元，同比增长2.0%。其中规模以上工业产值45.48亿元，同比下降2.4%，增加值12.22亿元，同比增长1.0%。完成固定资产投资53.26亿元，同比下降32.1%。全年实现社会消费品零售总额116.13亿元，同比增长9.7%。全市贸易出口总额完成8431万美元，同上年持平。全年实际利用外资423万美元，同比增长3.3倍。公共财政预算收入10.1亿元，同比下降12%；公共财政预算支出62.03亿元，与上年基本持平。常住居民年人均可支配收入19961元，同比增长9.3%，其中：城镇常住居民年人均可支配收入26378元，同比增长6.5%；农村常住居民年人均可支配收入17442元，同比增长8%。</w:t>
      </w:r>
      <w:bookmarkStart w:id="22" w:name="_Toc13155"/>
      <w:bookmarkStart w:id="23" w:name="_Toc446016427"/>
    </w:p>
    <w:p>
      <w:pPr>
        <w:pStyle w:val="4"/>
        <w:spacing w:before="163" w:after="163"/>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城市发展总体情况</w:t>
      </w:r>
      <w:bookmarkEnd w:id="22"/>
      <w:bookmarkEnd w:id="23"/>
    </w:p>
    <w:p>
      <w:pPr>
        <w:rPr>
          <w:b/>
          <w:color w:val="000000" w:themeColor="text1"/>
          <w:szCs w:val="28"/>
          <w:highlight w:val="none"/>
          <w14:textFill>
            <w14:solidFill>
              <w14:schemeClr w14:val="tx1"/>
            </w14:solidFill>
          </w14:textFill>
        </w:rPr>
      </w:pPr>
      <w:r>
        <w:rPr>
          <w:color w:val="000000" w:themeColor="text1"/>
          <w:highlight w:val="none"/>
          <w14:textFill>
            <w14:solidFill>
              <w14:schemeClr w14:val="tx1"/>
            </w14:solidFill>
          </w14:textFill>
        </w:rPr>
        <w:t>兴宁市地处盆地腹心，同时也是区域交通枢纽。兴宁市城镇体系的空间分布形态</w:t>
      </w:r>
      <w:r>
        <w:rPr>
          <w:rFonts w:asciiTheme="minorEastAsia" w:hAnsiTheme="minorEastAsia"/>
          <w:color w:val="000000" w:themeColor="text1"/>
          <w:highlight w:val="none"/>
          <w14:textFill>
            <w14:solidFill>
              <w14:schemeClr w14:val="tx1"/>
            </w14:solidFill>
          </w14:textFill>
        </w:rPr>
        <w:t>为“点轴”发</w:t>
      </w:r>
      <w:r>
        <w:rPr>
          <w:color w:val="000000" w:themeColor="text1"/>
          <w:highlight w:val="none"/>
          <w14:textFill>
            <w14:solidFill>
              <w14:schemeClr w14:val="tx1"/>
            </w14:solidFill>
          </w14:textFill>
        </w:rPr>
        <w:t>展模式，形成以城区的市镇群（包括市中心区以及周边的龙田、永和、新陂、刁坊、坜陂的镇区）为核心，沿G205、S225、S226形成北一轴、北二轴、东轴、南轴四条发展主轴的空间分布形态。</w:t>
      </w:r>
    </w:p>
    <w:p>
      <w:pPr>
        <w:pStyle w:val="4"/>
        <w:spacing w:before="163" w:after="163"/>
        <w:rPr>
          <w:color w:val="000000" w:themeColor="text1"/>
          <w:highlight w:val="none"/>
          <w14:textFill>
            <w14:solidFill>
              <w14:schemeClr w14:val="tx1"/>
            </w14:solidFill>
          </w14:textFill>
        </w:rPr>
      </w:pPr>
      <w:bookmarkStart w:id="24" w:name="_Toc404"/>
      <w:bookmarkStart w:id="25" w:name="_Toc446016428"/>
      <w:r>
        <w:rPr>
          <w:color w:val="000000" w:themeColor="text1"/>
          <w:highlight w:val="none"/>
          <w14:textFill>
            <w14:solidFill>
              <w14:schemeClr w14:val="tx1"/>
            </w14:solidFill>
          </w14:textFill>
        </w:rPr>
        <w:t>土地利用概况</w:t>
      </w:r>
      <w:bookmarkEnd w:id="24"/>
      <w:bookmarkEnd w:id="25"/>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目前，兴宁市的土地资源利用方式仍然较为粗放，利用效益较低。</w:t>
      </w:r>
      <w:r>
        <w:rPr>
          <w:rFonts w:hint="eastAsia"/>
          <w:color w:val="000000" w:themeColor="text1"/>
          <w:highlight w:val="none"/>
          <w:lang w:val="en-US" w:eastAsia="zh-CN"/>
          <w14:textFill>
            <w14:solidFill>
              <w14:schemeClr w14:val="tx1"/>
            </w14:solidFill>
          </w14:textFill>
        </w:rPr>
        <w:t>2018</w:t>
      </w:r>
      <w:r>
        <w:rPr>
          <w:color w:val="000000" w:themeColor="text1"/>
          <w:highlight w:val="none"/>
          <w14:textFill>
            <w14:solidFill>
              <w14:schemeClr w14:val="tx1"/>
            </w14:solidFill>
          </w14:textFill>
        </w:rPr>
        <w:t>年兴宁市</w:t>
      </w:r>
      <w:r>
        <w:rPr>
          <w:rFonts w:hint="eastAsia"/>
          <w:color w:val="000000" w:themeColor="text1"/>
          <w:highlight w:val="none"/>
          <w14:textFill>
            <w14:solidFill>
              <w14:schemeClr w14:val="tx1"/>
            </w14:solidFill>
          </w14:textFill>
        </w:rPr>
        <w:t>耕</w:t>
      </w:r>
      <w:r>
        <w:rPr>
          <w:color w:val="000000" w:themeColor="text1"/>
          <w:highlight w:val="none"/>
          <w14:textFill>
            <w14:solidFill>
              <w14:schemeClr w14:val="tx1"/>
            </w14:solidFill>
          </w14:textFill>
        </w:rPr>
        <w:t>地面积</w:t>
      </w:r>
      <w:r>
        <w:rPr>
          <w:rFonts w:hint="eastAsia"/>
          <w:color w:val="000000" w:themeColor="text1"/>
          <w:highlight w:val="none"/>
          <w:lang w:eastAsia="zh-CN"/>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不包括可调整地类</w:t>
      </w:r>
      <w:r>
        <w:rPr>
          <w:rFonts w:hint="eastAsia"/>
          <w:color w:val="000000" w:themeColor="text1"/>
          <w:highlight w:val="none"/>
          <w:lang w:eastAsia="zh-CN"/>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318.78</w:t>
      </w:r>
      <w:r>
        <w:rPr>
          <w:rFonts w:hint="eastAsia"/>
          <w:color w:val="000000" w:themeColor="text1"/>
          <w:highlight w:val="none"/>
          <w14:textFill>
            <w14:solidFill>
              <w14:schemeClr w14:val="tx1"/>
            </w14:solidFill>
          </w14:textFill>
        </w:rPr>
        <w:t>km</w:t>
      </w:r>
      <w:r>
        <w:rPr>
          <w:rFonts w:hint="eastAsia"/>
          <w:color w:val="000000" w:themeColor="text1"/>
          <w:highlight w:val="none"/>
          <w:vertAlign w:val="superscript"/>
          <w14:textFill>
            <w14:solidFill>
              <w14:schemeClr w14:val="tx1"/>
            </w14:solidFill>
          </w14:textFill>
        </w:rPr>
        <w:t>2</w:t>
      </w:r>
      <w:r>
        <w:rPr>
          <w:color w:val="000000" w:themeColor="text1"/>
          <w:highlight w:val="none"/>
          <w14:textFill>
            <w14:solidFill>
              <w14:schemeClr w14:val="tx1"/>
            </w14:solidFill>
          </w14:textFill>
        </w:rPr>
        <w:t>，建设用地面积</w:t>
      </w:r>
      <w:r>
        <w:rPr>
          <w:rFonts w:hint="eastAsia"/>
          <w:color w:val="000000" w:themeColor="text1"/>
          <w:highlight w:val="none"/>
          <w:lang w:val="en-US" w:eastAsia="zh-CN"/>
          <w14:textFill>
            <w14:solidFill>
              <w14:schemeClr w14:val="tx1"/>
            </w14:solidFill>
          </w14:textFill>
        </w:rPr>
        <w:t>186.62</w:t>
      </w:r>
      <w:r>
        <w:rPr>
          <w:rFonts w:hint="eastAsia"/>
          <w:color w:val="000000" w:themeColor="text1"/>
          <w:highlight w:val="none"/>
          <w14:textFill>
            <w14:solidFill>
              <w14:schemeClr w14:val="tx1"/>
            </w14:solidFill>
          </w14:textFill>
        </w:rPr>
        <w:t>km</w:t>
      </w:r>
      <w:r>
        <w:rPr>
          <w:rFonts w:hint="eastAsia"/>
          <w:color w:val="000000" w:themeColor="text1"/>
          <w:highlight w:val="none"/>
          <w:vertAlign w:val="superscript"/>
          <w14:textFill>
            <w14:solidFill>
              <w14:schemeClr w14:val="tx1"/>
            </w14:solidFill>
          </w14:textFill>
        </w:rPr>
        <w:t>2</w:t>
      </w:r>
      <w:r>
        <w:rPr>
          <w:color w:val="000000" w:themeColor="text1"/>
          <w:highlight w:val="none"/>
          <w14:textFill>
            <w14:solidFill>
              <w14:schemeClr w14:val="tx1"/>
            </w14:solidFill>
          </w14:textFill>
        </w:rPr>
        <w:t>，其他土地面积</w:t>
      </w:r>
      <w:r>
        <w:rPr>
          <w:rFonts w:hint="eastAsia"/>
          <w:color w:val="000000" w:themeColor="text1"/>
          <w:highlight w:val="none"/>
          <w:lang w:val="en-US" w:eastAsia="zh-CN"/>
          <w14:textFill>
            <w14:solidFill>
              <w14:schemeClr w14:val="tx1"/>
            </w14:solidFill>
          </w14:textFill>
        </w:rPr>
        <w:t>32.99</w:t>
      </w:r>
      <w:r>
        <w:rPr>
          <w:rFonts w:hint="eastAsia"/>
          <w:color w:val="000000" w:themeColor="text1"/>
          <w:highlight w:val="none"/>
          <w14:textFill>
            <w14:solidFill>
              <w14:schemeClr w14:val="tx1"/>
            </w14:solidFill>
          </w14:textFill>
        </w:rPr>
        <w:t>km</w:t>
      </w:r>
      <w:r>
        <w:rPr>
          <w:rFonts w:hint="eastAsia"/>
          <w:color w:val="000000" w:themeColor="text1"/>
          <w:highlight w:val="none"/>
          <w:vertAlign w:val="superscript"/>
          <w14:textFill>
            <w14:solidFill>
              <w14:schemeClr w14:val="tx1"/>
            </w14:solidFill>
          </w14:textFill>
        </w:rPr>
        <w:t>2</w:t>
      </w:r>
      <w:r>
        <w:rPr>
          <w:color w:val="000000" w:themeColor="text1"/>
          <w:highlight w:val="none"/>
          <w14:textFill>
            <w14:solidFill>
              <w14:schemeClr w14:val="tx1"/>
            </w14:solidFill>
          </w14:textFill>
        </w:rPr>
        <w:t>。从结构上看，目前兴宁市仍以农业用地为主，占比89.4%，建设用地比重为7.5%，其他土地面积比重为1.1%。兴宁市GDP为</w:t>
      </w:r>
      <w:r>
        <w:rPr>
          <w:rFonts w:hint="eastAsia"/>
          <w:color w:val="000000" w:themeColor="text1"/>
          <w:highlight w:val="none"/>
          <w14:textFill>
            <w14:solidFill>
              <w14:schemeClr w14:val="tx1"/>
            </w14:solidFill>
          </w14:textFill>
        </w:rPr>
        <w:t>165.97</w:t>
      </w:r>
      <w:r>
        <w:rPr>
          <w:color w:val="000000" w:themeColor="text1"/>
          <w:highlight w:val="none"/>
          <w14:textFill>
            <w14:solidFill>
              <w14:schemeClr w14:val="tx1"/>
            </w14:solidFill>
          </w14:textFill>
        </w:rPr>
        <w:t>亿元，全市</w:t>
      </w:r>
      <w:r>
        <w:rPr>
          <w:rFonts w:hint="eastAsia"/>
          <w:color w:val="000000" w:themeColor="text1"/>
          <w:highlight w:val="none"/>
          <w:lang w:val="en-US" w:eastAsia="zh-CN"/>
          <w14:textFill>
            <w14:solidFill>
              <w14:schemeClr w14:val="tx1"/>
            </w14:solidFill>
          </w14:textFill>
        </w:rPr>
        <w:t>区域总</w:t>
      </w:r>
      <w:r>
        <w:rPr>
          <w:color w:val="000000" w:themeColor="text1"/>
          <w:highlight w:val="none"/>
          <w14:textFill>
            <w14:solidFill>
              <w14:schemeClr w14:val="tx1"/>
            </w14:solidFill>
          </w14:textFill>
        </w:rPr>
        <w:t>面积为</w:t>
      </w:r>
      <w:r>
        <w:rPr>
          <w:rFonts w:hint="eastAsia"/>
          <w:color w:val="000000" w:themeColor="text1"/>
          <w:highlight w:val="none"/>
          <w:lang w:val="en-US" w:eastAsia="zh-CN"/>
          <w14:textFill>
            <w14:solidFill>
              <w14:schemeClr w14:val="tx1"/>
            </w14:solidFill>
          </w14:textFill>
        </w:rPr>
        <w:t>2075.3939</w:t>
      </w:r>
      <w:r>
        <w:rPr>
          <w:rFonts w:hint="eastAsia"/>
          <w:color w:val="000000" w:themeColor="text1"/>
          <w:highlight w:val="none"/>
          <w14:textFill>
            <w14:solidFill>
              <w14:schemeClr w14:val="tx1"/>
            </w14:solidFill>
          </w14:textFill>
        </w:rPr>
        <w:t>km</w:t>
      </w:r>
      <w:r>
        <w:rPr>
          <w:rFonts w:hint="eastAsia"/>
          <w:color w:val="000000" w:themeColor="text1"/>
          <w:highlight w:val="none"/>
          <w:vertAlign w:val="superscript"/>
          <w14:textFill>
            <w14:solidFill>
              <w14:schemeClr w14:val="tx1"/>
            </w14:solidFill>
          </w14:textFill>
        </w:rPr>
        <w:t>2</w:t>
      </w:r>
      <w:r>
        <w:rPr>
          <w:color w:val="000000" w:themeColor="text1"/>
          <w:highlight w:val="none"/>
          <w14:textFill>
            <w14:solidFill>
              <w14:schemeClr w14:val="tx1"/>
            </w14:solidFill>
          </w14:textFill>
        </w:rPr>
        <w:t>，单位土地面积GDP产出仅为</w:t>
      </w:r>
      <w:r>
        <w:rPr>
          <w:rFonts w:hint="eastAsia"/>
          <w:color w:val="000000" w:themeColor="text1"/>
          <w:highlight w:val="none"/>
          <w14:textFill>
            <w14:solidFill>
              <w14:schemeClr w14:val="tx1"/>
            </w14:solidFill>
          </w14:textFill>
        </w:rPr>
        <w:t>8.00</w:t>
      </w:r>
      <w:r>
        <w:rPr>
          <w:color w:val="000000" w:themeColor="text1"/>
          <w:highlight w:val="none"/>
          <w14:textFill>
            <w14:solidFill>
              <w14:schemeClr w14:val="tx1"/>
            </w14:solidFill>
          </w14:textFill>
        </w:rPr>
        <w:t>万元/公顷，远低于全省25.58万元/公顷的平均水平。</w:t>
      </w:r>
    </w:p>
    <w:p>
      <w:pPr>
        <w:pStyle w:val="4"/>
        <w:spacing w:before="163" w:after="163"/>
        <w:rPr>
          <w:color w:val="000000" w:themeColor="text1"/>
          <w:highlight w:val="none"/>
          <w14:textFill>
            <w14:solidFill>
              <w14:schemeClr w14:val="tx1"/>
            </w14:solidFill>
          </w14:textFill>
        </w:rPr>
      </w:pPr>
      <w:bookmarkStart w:id="26" w:name="_Toc446016429"/>
      <w:bookmarkStart w:id="27" w:name="_Toc31427"/>
      <w:r>
        <w:rPr>
          <w:color w:val="000000" w:themeColor="text1"/>
          <w:highlight w:val="none"/>
          <w14:textFill>
            <w14:solidFill>
              <w14:schemeClr w14:val="tx1"/>
            </w14:solidFill>
          </w14:textFill>
        </w:rPr>
        <w:t>供水现状</w:t>
      </w:r>
      <w:bookmarkEnd w:id="26"/>
      <w:bookmarkEnd w:id="27"/>
    </w:p>
    <w:p>
      <w:pPr>
        <w:pStyle w:val="5"/>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水厂及取水口现状</w:t>
      </w: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合水水库为兴宁市供水的主要水源，位于兴宁市合水镇梢公岭下，上游汇入河流主要为罗岗河、黄陂河，水库控制流域面积</w:t>
      </w:r>
      <w:r>
        <w:rPr>
          <w:rFonts w:hint="eastAsia"/>
          <w:color w:val="000000" w:themeColor="text1"/>
          <w:highlight w:val="none"/>
          <w:lang w:val="en-US" w:eastAsia="zh-CN"/>
          <w14:textFill>
            <w14:solidFill>
              <w14:schemeClr w14:val="tx1"/>
            </w14:solidFill>
          </w14:textFill>
        </w:rPr>
        <w:t>576.6</w:t>
      </w:r>
      <w:r>
        <w:rPr>
          <w:color w:val="000000" w:themeColor="text1"/>
          <w:highlight w:val="none"/>
          <w14:textFill>
            <w14:solidFill>
              <w14:schemeClr w14:val="tx1"/>
            </w14:solidFill>
          </w14:textFill>
        </w:rPr>
        <w:t>平方公里，多年平均径流量</w:t>
      </w:r>
      <w:r>
        <w:rPr>
          <w:rFonts w:hint="eastAsia"/>
          <w:color w:val="000000" w:themeColor="text1"/>
          <w:highlight w:val="none"/>
          <w:lang w:val="en-US" w:eastAsia="zh-CN"/>
          <w14:textFill>
            <w14:solidFill>
              <w14:schemeClr w14:val="tx1"/>
            </w14:solidFill>
          </w14:textFill>
        </w:rPr>
        <w:t>42756</w:t>
      </w:r>
      <w:r>
        <w:rPr>
          <w:color w:val="000000" w:themeColor="text1"/>
          <w:highlight w:val="none"/>
          <w14:textFill>
            <w14:solidFill>
              <w14:schemeClr w14:val="tx1"/>
            </w14:solidFill>
          </w14:textFill>
        </w:rPr>
        <w:t>万立方米，坝顶高程1</w:t>
      </w:r>
      <w:r>
        <w:rPr>
          <w:rFonts w:hint="eastAsia"/>
          <w:color w:val="000000" w:themeColor="text1"/>
          <w:highlight w:val="none"/>
          <w14:textFill>
            <w14:solidFill>
              <w14:schemeClr w14:val="tx1"/>
            </w14:solidFill>
          </w14:textFill>
        </w:rPr>
        <w:t>44</w:t>
      </w:r>
      <w:r>
        <w:rPr>
          <w:color w:val="000000" w:themeColor="text1"/>
          <w:highlight w:val="none"/>
          <w14:textFill>
            <w14:solidFill>
              <w14:schemeClr w14:val="tx1"/>
            </w14:solidFill>
          </w14:textFill>
        </w:rPr>
        <w:t>米，水库坝高</w:t>
      </w:r>
      <w:r>
        <w:rPr>
          <w:rFonts w:hint="eastAsia"/>
          <w:color w:val="000000" w:themeColor="text1"/>
          <w:highlight w:val="none"/>
          <w14:textFill>
            <w14:solidFill>
              <w14:schemeClr w14:val="tx1"/>
            </w14:solidFill>
          </w14:textFill>
        </w:rPr>
        <w:t>24</w:t>
      </w:r>
      <w:r>
        <w:rPr>
          <w:color w:val="000000" w:themeColor="text1"/>
          <w:highlight w:val="none"/>
          <w14:textFill>
            <w14:solidFill>
              <w14:schemeClr w14:val="tx1"/>
            </w14:solidFill>
          </w14:textFill>
        </w:rPr>
        <w:t>米，正常蓄水位</w:t>
      </w:r>
      <w:r>
        <w:rPr>
          <w:rFonts w:hint="eastAsia"/>
          <w:color w:val="000000" w:themeColor="text1"/>
          <w:highlight w:val="none"/>
          <w14:textFill>
            <w14:solidFill>
              <w14:schemeClr w14:val="tx1"/>
            </w14:solidFill>
          </w14:textFill>
        </w:rPr>
        <w:t>138</w:t>
      </w:r>
      <w:r>
        <w:rPr>
          <w:color w:val="000000" w:themeColor="text1"/>
          <w:highlight w:val="none"/>
          <w14:textFill>
            <w14:solidFill>
              <w14:schemeClr w14:val="tx1"/>
            </w14:solidFill>
          </w14:textFill>
        </w:rPr>
        <w:t>米，总库容1</w:t>
      </w:r>
      <w:r>
        <w:rPr>
          <w:rFonts w:hint="eastAsia"/>
          <w:color w:val="000000" w:themeColor="text1"/>
          <w:highlight w:val="none"/>
          <w14:textFill>
            <w14:solidFill>
              <w14:schemeClr w14:val="tx1"/>
            </w14:solidFill>
          </w14:textFill>
        </w:rPr>
        <w:t>1612</w:t>
      </w:r>
      <w:r>
        <w:rPr>
          <w:color w:val="000000" w:themeColor="text1"/>
          <w:highlight w:val="none"/>
          <w14:textFill>
            <w14:solidFill>
              <w14:schemeClr w14:val="tx1"/>
            </w14:solidFill>
          </w14:textFill>
        </w:rPr>
        <w:t>万立方米，</w:t>
      </w:r>
      <w:r>
        <w:rPr>
          <w:rFonts w:hint="eastAsia"/>
          <w:color w:val="000000" w:themeColor="text1"/>
          <w:highlight w:val="none"/>
          <w14:textFill>
            <w14:solidFill>
              <w14:schemeClr w14:val="tx1"/>
            </w14:solidFill>
          </w14:textFill>
        </w:rPr>
        <w:t>属大（2）型水库，</w:t>
      </w:r>
      <w:r>
        <w:rPr>
          <w:color w:val="000000" w:themeColor="text1"/>
          <w:highlight w:val="none"/>
          <w14:textFill>
            <w14:solidFill>
              <w14:schemeClr w14:val="tx1"/>
            </w14:solidFill>
          </w14:textFill>
        </w:rPr>
        <w:t>水质为</w:t>
      </w:r>
      <w:r>
        <w:rPr>
          <w:rFonts w:hint="default" w:ascii="Times New Roman" w:hAnsi="Times New Roman" w:eastAsia="楷体" w:cs="Times New Roman"/>
          <w:b/>
          <w:color w:val="000000" w:themeColor="text1"/>
          <w14:textFill>
            <w14:solidFill>
              <w14:schemeClr w14:val="tx1"/>
            </w14:solidFill>
          </w14:textFill>
        </w:rPr>
        <w:t>Ⅱ</w:t>
      </w:r>
      <w:r>
        <w:rPr>
          <w:color w:val="000000" w:themeColor="text1"/>
          <w:highlight w:val="none"/>
          <w14:textFill>
            <w14:solidFill>
              <w14:schemeClr w14:val="tx1"/>
            </w14:solidFill>
          </w14:textFill>
        </w:rPr>
        <w:t>类水质。</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w:t>
      </w:r>
      <w:r>
        <w:rPr>
          <w:rFonts w:hint="eastAsia"/>
          <w:color w:val="000000" w:themeColor="text1"/>
          <w:highlight w:val="none"/>
          <w:lang w:eastAsia="zh-CN"/>
          <w14:textFill>
            <w14:solidFill>
              <w14:schemeClr w14:val="tx1"/>
            </w14:solidFill>
          </w14:textFill>
        </w:rPr>
        <w:t>自来水总公司</w:t>
      </w:r>
      <w:r>
        <w:rPr>
          <w:color w:val="000000" w:themeColor="text1"/>
          <w:highlight w:val="none"/>
          <w14:textFill>
            <w14:solidFill>
              <w14:schemeClr w14:val="tx1"/>
            </w14:solidFill>
          </w14:textFill>
        </w:rPr>
        <w:t>位于合水镇，水源来自合水水库，现状设计规模20万立方米/日，现状供水规模约10.0万立方米/日。</w:t>
      </w:r>
      <w:r>
        <w:rPr>
          <w:rFonts w:hint="eastAsia"/>
          <w:color w:val="000000" w:themeColor="text1"/>
          <w:highlight w:val="none"/>
          <w14:textFill>
            <w14:solidFill>
              <w14:schemeClr w14:val="tx1"/>
            </w14:solidFill>
          </w14:textFill>
        </w:rPr>
        <w:t>兴宁市</w:t>
      </w:r>
      <w:r>
        <w:rPr>
          <w:rFonts w:hint="eastAsia"/>
          <w:color w:val="000000" w:themeColor="text1"/>
          <w:highlight w:val="none"/>
          <w:lang w:eastAsia="zh-CN"/>
          <w14:textFill>
            <w14:solidFill>
              <w14:schemeClr w14:val="tx1"/>
            </w14:solidFill>
          </w14:textFill>
        </w:rPr>
        <w:t>自来水总公司</w:t>
      </w:r>
      <w:r>
        <w:rPr>
          <w:color w:val="000000" w:themeColor="text1"/>
          <w:highlight w:val="none"/>
          <w14:textFill>
            <w14:solidFill>
              <w14:schemeClr w14:val="tx1"/>
            </w14:solidFill>
          </w14:textFill>
        </w:rPr>
        <w:t>主要供水对象是兴宁城区</w:t>
      </w:r>
      <w:r>
        <w:rPr>
          <w:rFonts w:hint="eastAsia"/>
          <w:color w:val="000000" w:themeColor="text1"/>
          <w:highlight w:val="none"/>
          <w14:textFill>
            <w14:solidFill>
              <w14:schemeClr w14:val="tx1"/>
            </w14:solidFill>
          </w14:textFill>
        </w:rPr>
        <w:t>、城区附近镇村的</w:t>
      </w:r>
      <w:r>
        <w:rPr>
          <w:color w:val="000000" w:themeColor="text1"/>
          <w:highlight w:val="none"/>
          <w14:textFill>
            <w14:solidFill>
              <w14:schemeClr w14:val="tx1"/>
            </w14:solidFill>
          </w14:textFill>
        </w:rPr>
        <w:t>生活和生产用水，</w:t>
      </w:r>
      <w:r>
        <w:rPr>
          <w:rFonts w:hint="eastAsia"/>
          <w:color w:val="000000" w:themeColor="text1"/>
          <w:highlight w:val="none"/>
          <w14:textFill>
            <w14:solidFill>
              <w14:schemeClr w14:val="tx1"/>
            </w14:solidFill>
          </w14:textFill>
        </w:rPr>
        <w:t>兴宁市现状水厂情况</w:t>
      </w:r>
      <w:r>
        <w:rPr>
          <w:color w:val="000000" w:themeColor="text1"/>
          <w:highlight w:val="none"/>
          <w14:textFill>
            <w14:solidFill>
              <w14:schemeClr w14:val="tx1"/>
            </w14:solidFill>
          </w14:textFill>
        </w:rPr>
        <w:t>详见</w:t>
      </w:r>
      <w:r>
        <w:rPr>
          <w:rFonts w:hint="eastAsia"/>
          <w:color w:val="000000" w:themeColor="text1"/>
          <w:highlight w:val="none"/>
          <w14:textFill>
            <w14:solidFill>
              <w14:schemeClr w14:val="tx1"/>
            </w14:solidFill>
          </w14:textFill>
        </w:rPr>
        <w:t>下</w:t>
      </w:r>
      <w:r>
        <w:rPr>
          <w:color w:val="000000" w:themeColor="text1"/>
          <w:highlight w:val="none"/>
          <w14:textFill>
            <w14:solidFill>
              <w14:schemeClr w14:val="tx1"/>
            </w14:solidFill>
          </w14:textFill>
        </w:rPr>
        <w:t>表。</w:t>
      </w:r>
    </w:p>
    <w:p>
      <w:pPr>
        <w:spacing w:line="240" w:lineRule="auto"/>
        <w:ind w:firstLine="0" w:firstLineChars="0"/>
        <w:jc w:val="center"/>
        <w:rPr>
          <w:b/>
          <w:color w:val="000000" w:themeColor="text1"/>
          <w:highlight w:val="none"/>
          <w14:textFill>
            <w14:solidFill>
              <w14:schemeClr w14:val="tx1"/>
            </w14:solidFill>
          </w14:textFill>
        </w:rPr>
      </w:pPr>
      <w:bookmarkStart w:id="28" w:name="_Toc448841041"/>
      <w:r>
        <w:rPr>
          <w:rFonts w:hint="eastAsia"/>
          <w:b/>
          <w:color w:val="000000" w:themeColor="text1"/>
          <w:highlight w:val="none"/>
          <w14:textFill>
            <w14:solidFill>
              <w14:schemeClr w14:val="tx1"/>
            </w14:solidFill>
          </w14:textFill>
        </w:rPr>
        <w:t>表6.2-1兴宁市现状水厂情况</w:t>
      </w:r>
      <w:bookmarkEnd w:id="28"/>
    </w:p>
    <w:tbl>
      <w:tblPr>
        <w:tblStyle w:val="33"/>
        <w:tblW w:w="8813" w:type="dxa"/>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636"/>
        <w:gridCol w:w="2214"/>
        <w:gridCol w:w="1114"/>
        <w:gridCol w:w="1569"/>
        <w:gridCol w:w="778"/>
        <w:gridCol w:w="2502"/>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36" w:type="dxa"/>
            <w:vAlign w:val="center"/>
          </w:tcPr>
          <w:p>
            <w:pPr>
              <w:spacing w:line="240" w:lineRule="auto"/>
              <w:ind w:firstLine="0" w:firstLineChars="0"/>
              <w:jc w:val="center"/>
              <w:rPr>
                <w:rFonts w:cstheme="majorBidi"/>
                <w:color w:val="000000" w:themeColor="text1"/>
                <w:sz w:val="21"/>
                <w:highlight w:val="none"/>
                <w14:textFill>
                  <w14:solidFill>
                    <w14:schemeClr w14:val="tx1"/>
                  </w14:solidFill>
                </w14:textFill>
              </w:rPr>
            </w:pPr>
            <w:r>
              <w:rPr>
                <w:rFonts w:cstheme="majorBidi"/>
                <w:color w:val="000000" w:themeColor="text1"/>
                <w:sz w:val="21"/>
                <w:highlight w:val="none"/>
                <w14:textFill>
                  <w14:solidFill>
                    <w14:schemeClr w14:val="tx1"/>
                  </w14:solidFill>
                </w14:textFill>
              </w:rPr>
              <w:t>序号</w:t>
            </w:r>
          </w:p>
        </w:tc>
        <w:tc>
          <w:tcPr>
            <w:tcW w:w="2214" w:type="dxa"/>
            <w:vAlign w:val="center"/>
          </w:tcPr>
          <w:p>
            <w:pPr>
              <w:spacing w:line="240" w:lineRule="auto"/>
              <w:ind w:firstLine="0" w:firstLineChars="0"/>
              <w:jc w:val="center"/>
              <w:rPr>
                <w:rFonts w:cstheme="majorBidi"/>
                <w:color w:val="000000" w:themeColor="text1"/>
                <w:sz w:val="21"/>
                <w:highlight w:val="none"/>
                <w14:textFill>
                  <w14:solidFill>
                    <w14:schemeClr w14:val="tx1"/>
                  </w14:solidFill>
                </w14:textFill>
              </w:rPr>
            </w:pPr>
            <w:r>
              <w:rPr>
                <w:rFonts w:cstheme="majorBidi"/>
                <w:color w:val="000000" w:themeColor="text1"/>
                <w:sz w:val="21"/>
                <w:highlight w:val="none"/>
                <w14:textFill>
                  <w14:solidFill>
                    <w14:schemeClr w14:val="tx1"/>
                  </w14:solidFill>
                </w14:textFill>
              </w:rPr>
              <w:t>名称</w:t>
            </w:r>
          </w:p>
        </w:tc>
        <w:tc>
          <w:tcPr>
            <w:tcW w:w="1114" w:type="dxa"/>
            <w:vAlign w:val="center"/>
          </w:tcPr>
          <w:p>
            <w:pPr>
              <w:spacing w:line="240" w:lineRule="auto"/>
              <w:ind w:firstLine="0" w:firstLineChars="0"/>
              <w:jc w:val="center"/>
              <w:rPr>
                <w:rFonts w:cstheme="majorBidi"/>
                <w:color w:val="000000" w:themeColor="text1"/>
                <w:sz w:val="21"/>
                <w:highlight w:val="none"/>
                <w14:textFill>
                  <w14:solidFill>
                    <w14:schemeClr w14:val="tx1"/>
                  </w14:solidFill>
                </w14:textFill>
              </w:rPr>
            </w:pPr>
            <w:r>
              <w:rPr>
                <w:rFonts w:cstheme="majorBidi"/>
                <w:color w:val="000000" w:themeColor="text1"/>
                <w:sz w:val="21"/>
                <w:highlight w:val="none"/>
                <w14:textFill>
                  <w14:solidFill>
                    <w14:schemeClr w14:val="tx1"/>
                  </w14:solidFill>
                </w14:textFill>
              </w:rPr>
              <w:t>设计规模(万m</w:t>
            </w:r>
            <w:r>
              <w:rPr>
                <w:rFonts w:cstheme="majorBidi"/>
                <w:color w:val="000000" w:themeColor="text1"/>
                <w:sz w:val="21"/>
                <w:highlight w:val="none"/>
                <w:vertAlign w:val="superscript"/>
                <w14:textFill>
                  <w14:solidFill>
                    <w14:schemeClr w14:val="tx1"/>
                  </w14:solidFill>
                </w14:textFill>
              </w:rPr>
              <w:t>3</w:t>
            </w:r>
            <w:r>
              <w:rPr>
                <w:rFonts w:cstheme="majorBidi"/>
                <w:color w:val="000000" w:themeColor="text1"/>
                <w:sz w:val="21"/>
                <w:highlight w:val="none"/>
                <w14:textFill>
                  <w14:solidFill>
                    <w14:schemeClr w14:val="tx1"/>
                  </w14:solidFill>
                </w14:textFill>
              </w:rPr>
              <w:t>/d)</w:t>
            </w:r>
          </w:p>
        </w:tc>
        <w:tc>
          <w:tcPr>
            <w:tcW w:w="1569" w:type="dxa"/>
            <w:vAlign w:val="center"/>
          </w:tcPr>
          <w:p>
            <w:pPr>
              <w:spacing w:line="240" w:lineRule="auto"/>
              <w:ind w:firstLine="0" w:firstLineChars="0"/>
              <w:jc w:val="center"/>
              <w:rPr>
                <w:rFonts w:cstheme="majorBidi"/>
                <w:color w:val="000000" w:themeColor="text1"/>
                <w:sz w:val="21"/>
                <w:highlight w:val="none"/>
                <w14:textFill>
                  <w14:solidFill>
                    <w14:schemeClr w14:val="tx1"/>
                  </w14:solidFill>
                </w14:textFill>
              </w:rPr>
            </w:pPr>
            <w:r>
              <w:rPr>
                <w:rFonts w:cstheme="majorBidi"/>
                <w:color w:val="000000" w:themeColor="text1"/>
                <w:sz w:val="21"/>
                <w:highlight w:val="none"/>
                <w14:textFill>
                  <w14:solidFill>
                    <w14:schemeClr w14:val="tx1"/>
                  </w14:solidFill>
                </w14:textFill>
              </w:rPr>
              <w:t>现状供水规模(万m</w:t>
            </w:r>
            <w:r>
              <w:rPr>
                <w:rFonts w:cstheme="majorBidi"/>
                <w:color w:val="000000" w:themeColor="text1"/>
                <w:sz w:val="21"/>
                <w:highlight w:val="none"/>
                <w:vertAlign w:val="superscript"/>
                <w14:textFill>
                  <w14:solidFill>
                    <w14:schemeClr w14:val="tx1"/>
                  </w14:solidFill>
                </w14:textFill>
              </w:rPr>
              <w:t>3</w:t>
            </w:r>
            <w:r>
              <w:rPr>
                <w:rFonts w:cstheme="majorBidi"/>
                <w:color w:val="000000" w:themeColor="text1"/>
                <w:sz w:val="21"/>
                <w:highlight w:val="none"/>
                <w14:textFill>
                  <w14:solidFill>
                    <w14:schemeClr w14:val="tx1"/>
                  </w14:solidFill>
                </w14:textFill>
              </w:rPr>
              <w:t>/d)</w:t>
            </w:r>
          </w:p>
        </w:tc>
        <w:tc>
          <w:tcPr>
            <w:tcW w:w="778" w:type="dxa"/>
            <w:vAlign w:val="center"/>
          </w:tcPr>
          <w:p>
            <w:pPr>
              <w:spacing w:line="240" w:lineRule="auto"/>
              <w:ind w:firstLine="0" w:firstLineChars="0"/>
              <w:jc w:val="center"/>
              <w:rPr>
                <w:rFonts w:cstheme="majorBidi"/>
                <w:color w:val="000000" w:themeColor="text1"/>
                <w:sz w:val="21"/>
                <w:highlight w:val="none"/>
                <w14:textFill>
                  <w14:solidFill>
                    <w14:schemeClr w14:val="tx1"/>
                  </w14:solidFill>
                </w14:textFill>
              </w:rPr>
            </w:pPr>
            <w:r>
              <w:rPr>
                <w:rFonts w:cstheme="majorBidi"/>
                <w:color w:val="000000" w:themeColor="text1"/>
                <w:sz w:val="21"/>
                <w:highlight w:val="none"/>
                <w14:textFill>
                  <w14:solidFill>
                    <w14:schemeClr w14:val="tx1"/>
                  </w14:solidFill>
                </w14:textFill>
              </w:rPr>
              <w:t>水质现状</w:t>
            </w:r>
          </w:p>
        </w:tc>
        <w:tc>
          <w:tcPr>
            <w:tcW w:w="2502" w:type="dxa"/>
            <w:vAlign w:val="center"/>
          </w:tcPr>
          <w:p>
            <w:pPr>
              <w:spacing w:line="240" w:lineRule="auto"/>
              <w:ind w:firstLine="0" w:firstLineChars="0"/>
              <w:jc w:val="center"/>
              <w:rPr>
                <w:rFonts w:cstheme="majorBidi"/>
                <w:color w:val="000000" w:themeColor="text1"/>
                <w:sz w:val="21"/>
                <w:highlight w:val="none"/>
                <w14:textFill>
                  <w14:solidFill>
                    <w14:schemeClr w14:val="tx1"/>
                  </w14:solidFill>
                </w14:textFill>
              </w:rPr>
            </w:pPr>
            <w:r>
              <w:rPr>
                <w:rFonts w:cstheme="majorBidi"/>
                <w:color w:val="000000" w:themeColor="text1"/>
                <w:sz w:val="21"/>
                <w:highlight w:val="none"/>
                <w14:textFill>
                  <w14:solidFill>
                    <w14:schemeClr w14:val="tx1"/>
                  </w14:solidFill>
                </w14:textFill>
              </w:rPr>
              <w:t>水源</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36" w:type="dxa"/>
            <w:vAlign w:val="center"/>
          </w:tcPr>
          <w:p>
            <w:pPr>
              <w:spacing w:line="240" w:lineRule="auto"/>
              <w:ind w:firstLine="0" w:firstLineChars="0"/>
              <w:jc w:val="center"/>
              <w:rPr>
                <w:rFonts w:cstheme="majorBidi"/>
                <w:color w:val="000000" w:themeColor="text1"/>
                <w:sz w:val="21"/>
                <w:highlight w:val="none"/>
                <w14:textFill>
                  <w14:solidFill>
                    <w14:schemeClr w14:val="tx1"/>
                  </w14:solidFill>
                </w14:textFill>
              </w:rPr>
            </w:pPr>
            <w:r>
              <w:rPr>
                <w:rFonts w:hint="eastAsia" w:cstheme="majorBidi"/>
                <w:color w:val="000000" w:themeColor="text1"/>
                <w:sz w:val="21"/>
                <w:highlight w:val="none"/>
                <w14:textFill>
                  <w14:solidFill>
                    <w14:schemeClr w14:val="tx1"/>
                  </w14:solidFill>
                </w14:textFill>
              </w:rPr>
              <w:t>1</w:t>
            </w:r>
          </w:p>
        </w:tc>
        <w:tc>
          <w:tcPr>
            <w:tcW w:w="2214" w:type="dxa"/>
            <w:vAlign w:val="center"/>
          </w:tcPr>
          <w:p>
            <w:pPr>
              <w:spacing w:line="240" w:lineRule="auto"/>
              <w:ind w:firstLine="0" w:firstLineChars="0"/>
              <w:jc w:val="center"/>
              <w:rPr>
                <w:rFonts w:hint="eastAsia" w:eastAsia="宋体" w:cstheme="majorBidi"/>
                <w:color w:val="000000" w:themeColor="text1"/>
                <w:sz w:val="21"/>
                <w:highlight w:val="none"/>
                <w:lang w:eastAsia="zh-CN"/>
                <w14:textFill>
                  <w14:solidFill>
                    <w14:schemeClr w14:val="tx1"/>
                  </w14:solidFill>
                </w14:textFill>
              </w:rPr>
            </w:pPr>
            <w:r>
              <w:rPr>
                <w:rFonts w:hint="eastAsia" w:cstheme="majorBidi"/>
                <w:color w:val="000000" w:themeColor="text1"/>
                <w:sz w:val="21"/>
                <w:highlight w:val="none"/>
                <w14:textFill>
                  <w14:solidFill>
                    <w14:schemeClr w14:val="tx1"/>
                  </w14:solidFill>
                </w14:textFill>
              </w:rPr>
              <w:t>兴宁市</w:t>
            </w:r>
            <w:r>
              <w:rPr>
                <w:rFonts w:hint="eastAsia" w:cstheme="majorBidi"/>
                <w:color w:val="000000" w:themeColor="text1"/>
                <w:sz w:val="21"/>
                <w:highlight w:val="none"/>
                <w:lang w:eastAsia="zh-CN"/>
                <w14:textFill>
                  <w14:solidFill>
                    <w14:schemeClr w14:val="tx1"/>
                  </w14:solidFill>
                </w14:textFill>
              </w:rPr>
              <w:t>自来水总公司</w:t>
            </w:r>
          </w:p>
        </w:tc>
        <w:tc>
          <w:tcPr>
            <w:tcW w:w="1114" w:type="dxa"/>
            <w:vAlign w:val="center"/>
          </w:tcPr>
          <w:p>
            <w:pPr>
              <w:spacing w:line="240" w:lineRule="auto"/>
              <w:ind w:firstLine="0" w:firstLineChars="0"/>
              <w:jc w:val="center"/>
              <w:rPr>
                <w:rFonts w:cstheme="majorBidi"/>
                <w:color w:val="000000" w:themeColor="text1"/>
                <w:sz w:val="21"/>
                <w:highlight w:val="none"/>
                <w14:textFill>
                  <w14:solidFill>
                    <w14:schemeClr w14:val="tx1"/>
                  </w14:solidFill>
                </w14:textFill>
              </w:rPr>
            </w:pPr>
            <w:r>
              <w:rPr>
                <w:rFonts w:cstheme="majorBidi"/>
                <w:color w:val="000000" w:themeColor="text1"/>
                <w:sz w:val="21"/>
                <w:highlight w:val="none"/>
                <w14:textFill>
                  <w14:solidFill>
                    <w14:schemeClr w14:val="tx1"/>
                  </w14:solidFill>
                </w14:textFill>
              </w:rPr>
              <w:t>20.0</w:t>
            </w:r>
          </w:p>
        </w:tc>
        <w:tc>
          <w:tcPr>
            <w:tcW w:w="1569" w:type="dxa"/>
            <w:vAlign w:val="center"/>
          </w:tcPr>
          <w:p>
            <w:pPr>
              <w:spacing w:line="240" w:lineRule="auto"/>
              <w:ind w:firstLine="0" w:firstLineChars="0"/>
              <w:jc w:val="center"/>
              <w:rPr>
                <w:rFonts w:cstheme="majorBidi"/>
                <w:color w:val="000000" w:themeColor="text1"/>
                <w:sz w:val="21"/>
                <w:highlight w:val="none"/>
                <w14:textFill>
                  <w14:solidFill>
                    <w14:schemeClr w14:val="tx1"/>
                  </w14:solidFill>
                </w14:textFill>
              </w:rPr>
            </w:pPr>
            <w:r>
              <w:rPr>
                <w:rFonts w:hint="eastAsia" w:cstheme="majorBidi"/>
                <w:color w:val="000000" w:themeColor="text1"/>
                <w:sz w:val="21"/>
                <w:highlight w:val="none"/>
                <w14:textFill>
                  <w14:solidFill>
                    <w14:schemeClr w14:val="tx1"/>
                  </w14:solidFill>
                </w14:textFill>
              </w:rPr>
              <w:t>10</w:t>
            </w:r>
            <w:r>
              <w:rPr>
                <w:rFonts w:cstheme="majorBidi"/>
                <w:color w:val="000000" w:themeColor="text1"/>
                <w:sz w:val="21"/>
                <w:highlight w:val="none"/>
                <w14:textFill>
                  <w14:solidFill>
                    <w14:schemeClr w14:val="tx1"/>
                  </w14:solidFill>
                </w14:textFill>
              </w:rPr>
              <w:t>.0</w:t>
            </w:r>
          </w:p>
        </w:tc>
        <w:tc>
          <w:tcPr>
            <w:tcW w:w="778" w:type="dxa"/>
            <w:vAlign w:val="center"/>
          </w:tcPr>
          <w:p>
            <w:pPr>
              <w:spacing w:line="240" w:lineRule="auto"/>
              <w:ind w:firstLine="0" w:firstLineChars="0"/>
              <w:jc w:val="center"/>
              <w:rPr>
                <w:rFonts w:cstheme="majorBidi"/>
                <w:color w:val="000000" w:themeColor="text1"/>
                <w:sz w:val="21"/>
                <w:highlight w:val="none"/>
                <w14:textFill>
                  <w14:solidFill>
                    <w14:schemeClr w14:val="tx1"/>
                  </w14:solidFill>
                </w14:textFill>
              </w:rPr>
            </w:pPr>
            <w:r>
              <w:rPr>
                <w:rFonts w:hint="default" w:ascii="Times New Roman" w:hAnsi="Times New Roman" w:eastAsia="楷体" w:cs="Times New Roman"/>
                <w:b/>
                <w:color w:val="000000" w:themeColor="text1"/>
                <w14:textFill>
                  <w14:solidFill>
                    <w14:schemeClr w14:val="tx1"/>
                  </w14:solidFill>
                </w14:textFill>
              </w:rPr>
              <w:t>Ⅱ</w:t>
            </w:r>
            <w:r>
              <w:rPr>
                <w:rFonts w:cstheme="majorBidi"/>
                <w:color w:val="000000" w:themeColor="text1"/>
                <w:sz w:val="21"/>
                <w:highlight w:val="none"/>
                <w14:textFill>
                  <w14:solidFill>
                    <w14:schemeClr w14:val="tx1"/>
                  </w14:solidFill>
                </w14:textFill>
              </w:rPr>
              <w:t>类</w:t>
            </w:r>
          </w:p>
        </w:tc>
        <w:tc>
          <w:tcPr>
            <w:tcW w:w="2502" w:type="dxa"/>
            <w:vAlign w:val="center"/>
          </w:tcPr>
          <w:p>
            <w:pPr>
              <w:spacing w:line="240" w:lineRule="auto"/>
              <w:ind w:firstLine="0" w:firstLineChars="0"/>
              <w:jc w:val="center"/>
              <w:rPr>
                <w:rFonts w:cstheme="majorBidi"/>
                <w:color w:val="000000" w:themeColor="text1"/>
                <w:sz w:val="21"/>
                <w:highlight w:val="none"/>
                <w14:textFill>
                  <w14:solidFill>
                    <w14:schemeClr w14:val="tx1"/>
                  </w14:solidFill>
                </w14:textFill>
              </w:rPr>
            </w:pPr>
            <w:r>
              <w:rPr>
                <w:rFonts w:cstheme="majorBidi"/>
                <w:color w:val="000000" w:themeColor="text1"/>
                <w:sz w:val="21"/>
                <w:highlight w:val="none"/>
                <w14:textFill>
                  <w14:solidFill>
                    <w14:schemeClr w14:val="tx1"/>
                  </w14:solidFill>
                </w14:textFill>
              </w:rPr>
              <w:t>合水水库</w:t>
            </w:r>
          </w:p>
        </w:tc>
      </w:tr>
    </w:tbl>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根据自来水公司提供数据，对最近10年兴宁市城区用水量进行统计分析，兴宁市城区用水量变化不大，工业用水和生活用水占总用水量的比例也基本不变。工业用水量占总用水量的比例为6.5%～8.0%，生活用水量占总用水量的比例为62%～68%，兴宁市城区用水以生活用水为主。敷设有DN600～DN800净水输水管；至黄竹沥泵站敷设有DN1200混凝土净水输水管道，目前敷设至麻岭河，全长约9公里，重力输水，水头差为24米。</w:t>
      </w:r>
    </w:p>
    <w:p>
      <w:pPr>
        <w:pStyle w:val="3"/>
        <w:spacing w:before="163" w:after="163"/>
        <w:rPr>
          <w:color w:val="000000" w:themeColor="text1"/>
          <w:highlight w:val="none"/>
          <w14:textFill>
            <w14:solidFill>
              <w14:schemeClr w14:val="tx1"/>
            </w14:solidFill>
          </w14:textFill>
        </w:rPr>
      </w:pPr>
      <w:bookmarkStart w:id="29" w:name="_Toc459110725"/>
      <w:bookmarkStart w:id="30" w:name="_Toc16229"/>
      <w:bookmarkStart w:id="31" w:name="_Toc16059"/>
      <w:r>
        <w:rPr>
          <w:color w:val="000000" w:themeColor="text1"/>
          <w:highlight w:val="none"/>
          <w14:textFill>
            <w14:solidFill>
              <w14:schemeClr w14:val="tx1"/>
            </w14:solidFill>
          </w14:textFill>
        </w:rPr>
        <w:t>生态环境保护状况</w:t>
      </w:r>
      <w:bookmarkEnd w:id="29"/>
      <w:bookmarkEnd w:id="30"/>
      <w:bookmarkEnd w:id="31"/>
    </w:p>
    <w:p>
      <w:pPr>
        <w:keepNext w:val="0"/>
        <w:keepLines/>
        <w:pageBreakBefore w:val="0"/>
        <w:widowControl w:val="0"/>
        <w:kinsoku/>
        <w:wordWrap/>
        <w:overflowPunct/>
        <w:topLinePunct w:val="0"/>
        <w:autoSpaceDE/>
        <w:autoSpaceDN/>
        <w:bidi w:val="0"/>
        <w:adjustRightInd/>
        <w:snapToGrid/>
        <w:textAlignment w:val="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根据</w:t>
      </w:r>
      <w:r>
        <w:rPr>
          <w:rFonts w:hint="eastAsia"/>
          <w:color w:val="000000" w:themeColor="text1"/>
          <w:highlight w:val="none"/>
          <w:lang w:eastAsia="zh-CN"/>
          <w14:textFill>
            <w14:solidFill>
              <w14:schemeClr w14:val="tx1"/>
            </w14:solidFill>
          </w14:textFill>
        </w:rPr>
        <w:t>梅州市生态环境局兴宁分局</w:t>
      </w:r>
      <w:r>
        <w:rPr>
          <w:rFonts w:hint="eastAsia"/>
          <w:color w:val="000000" w:themeColor="text1"/>
          <w:highlight w:val="none"/>
          <w14:textFill>
            <w14:solidFill>
              <w14:schemeClr w14:val="tx1"/>
            </w14:solidFill>
          </w14:textFill>
        </w:rPr>
        <w:t>提供资料，目前兴宁市生态控制线划定面积为1508.70k</w:t>
      </w:r>
      <w:r>
        <w:rPr>
          <w:color w:val="000000" w:themeColor="text1"/>
          <w:highlight w:val="none"/>
          <w14:textFill>
            <w14:solidFill>
              <w14:schemeClr w14:val="tx1"/>
            </w14:solidFill>
          </w14:textFill>
        </w:rPr>
        <w:t>m</w:t>
      </w:r>
      <w:r>
        <w:rPr>
          <w:color w:val="000000" w:themeColor="text1"/>
          <w:highlight w:val="none"/>
          <w:vertAlign w:val="superscript"/>
          <w14:textFill>
            <w14:solidFill>
              <w14:schemeClr w14:val="tx1"/>
            </w14:solidFill>
          </w14:textFill>
        </w:rPr>
        <w:t>2</w:t>
      </w:r>
      <w:r>
        <w:rPr>
          <w:rFonts w:hint="eastAsia"/>
          <w:color w:val="000000" w:themeColor="text1"/>
          <w:highlight w:val="none"/>
          <w14:textFill>
            <w14:solidFill>
              <w14:schemeClr w14:val="tx1"/>
            </w14:solidFill>
          </w14:textFill>
        </w:rPr>
        <w:t>，包括自然保育用地645.73k</w:t>
      </w:r>
      <w:r>
        <w:rPr>
          <w:color w:val="000000" w:themeColor="text1"/>
          <w:highlight w:val="none"/>
          <w14:textFill>
            <w14:solidFill>
              <w14:schemeClr w14:val="tx1"/>
            </w14:solidFill>
          </w14:textFill>
        </w:rPr>
        <w:t>m</w:t>
      </w:r>
      <w:r>
        <w:rPr>
          <w:color w:val="000000" w:themeColor="text1"/>
          <w:highlight w:val="none"/>
          <w:vertAlign w:val="superscript"/>
          <w14:textFill>
            <w14:solidFill>
              <w14:schemeClr w14:val="tx1"/>
            </w14:solidFill>
          </w14:textFill>
        </w:rPr>
        <w:t>2</w:t>
      </w:r>
      <w:r>
        <w:rPr>
          <w:rFonts w:hint="eastAsia"/>
          <w:color w:val="000000" w:themeColor="text1"/>
          <w:highlight w:val="none"/>
          <w14:textFill>
            <w14:solidFill>
              <w14:schemeClr w14:val="tx1"/>
            </w14:solidFill>
          </w14:textFill>
        </w:rPr>
        <w:t>，休闲游憩用地147.33km</w:t>
      </w:r>
      <w:r>
        <w:rPr>
          <w:rFonts w:hint="eastAsia"/>
          <w:color w:val="000000" w:themeColor="text1"/>
          <w:highlight w:val="none"/>
          <w:vertAlign w:val="superscript"/>
          <w14:textFill>
            <w14:solidFill>
              <w14:schemeClr w14:val="tx1"/>
            </w14:solidFill>
          </w14:textFill>
        </w:rPr>
        <w:t>2</w:t>
      </w:r>
      <w:r>
        <w:rPr>
          <w:rFonts w:hint="eastAsia"/>
          <w:color w:val="000000" w:themeColor="text1"/>
          <w:highlight w:val="none"/>
          <w14:textFill>
            <w14:solidFill>
              <w14:schemeClr w14:val="tx1"/>
            </w14:solidFill>
          </w14:textFill>
        </w:rPr>
        <w:t>，安全防护用地40.59k</w:t>
      </w:r>
      <w:r>
        <w:rPr>
          <w:color w:val="000000" w:themeColor="text1"/>
          <w:highlight w:val="none"/>
          <w14:textFill>
            <w14:solidFill>
              <w14:schemeClr w14:val="tx1"/>
            </w14:solidFill>
          </w14:textFill>
        </w:rPr>
        <w:t>m</w:t>
      </w:r>
      <w:r>
        <w:rPr>
          <w:color w:val="000000" w:themeColor="text1"/>
          <w:highlight w:val="none"/>
          <w:vertAlign w:val="superscript"/>
          <w14:textFill>
            <w14:solidFill>
              <w14:schemeClr w14:val="tx1"/>
            </w14:solidFill>
          </w14:textFill>
        </w:rPr>
        <w:t>2</w:t>
      </w:r>
      <w:r>
        <w:rPr>
          <w:rFonts w:hint="eastAsia"/>
          <w:color w:val="000000" w:themeColor="text1"/>
          <w:highlight w:val="none"/>
          <w14:textFill>
            <w14:solidFill>
              <w14:schemeClr w14:val="tx1"/>
            </w14:solidFill>
          </w14:textFill>
        </w:rPr>
        <w:t>，垦殖生产用地675.05k</w:t>
      </w:r>
      <w:r>
        <w:rPr>
          <w:color w:val="000000" w:themeColor="text1"/>
          <w:highlight w:val="none"/>
          <w14:textFill>
            <w14:solidFill>
              <w14:schemeClr w14:val="tx1"/>
            </w14:solidFill>
          </w14:textFill>
        </w:rPr>
        <w:t>m</w:t>
      </w:r>
      <w:r>
        <w:rPr>
          <w:color w:val="000000" w:themeColor="text1"/>
          <w:highlight w:val="none"/>
          <w:vertAlign w:val="superscript"/>
          <w14:textFill>
            <w14:solidFill>
              <w14:schemeClr w14:val="tx1"/>
            </w14:solidFill>
          </w14:textFill>
        </w:rPr>
        <w:t>2</w:t>
      </w:r>
      <w:r>
        <w:rPr>
          <w:rFonts w:hint="eastAsia"/>
          <w:color w:val="000000" w:themeColor="text1"/>
          <w:highlight w:val="none"/>
          <w14:textFill>
            <w14:solidFill>
              <w14:schemeClr w14:val="tx1"/>
            </w14:solidFill>
          </w14:textFill>
        </w:rPr>
        <w:t>。</w:t>
      </w:r>
    </w:p>
    <w:p>
      <w:pPr>
        <w:pStyle w:val="4"/>
        <w:keepNext w:val="0"/>
        <w:keepLines w:val="0"/>
        <w:pageBreakBefore w:val="0"/>
        <w:widowControl w:val="0"/>
        <w:kinsoku/>
        <w:wordWrap/>
        <w:overflowPunct/>
        <w:topLinePunct w:val="0"/>
        <w:autoSpaceDE/>
        <w:autoSpaceDN/>
        <w:bidi w:val="0"/>
        <w:adjustRightInd/>
        <w:snapToGrid/>
        <w:spacing w:before="163" w:after="163"/>
        <w:textAlignment w:val="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自然保护区</w:t>
      </w:r>
    </w:p>
    <w:p>
      <w:pPr>
        <w:keepNext w:val="0"/>
        <w:keepLines w:val="0"/>
        <w:pageBreakBefore w:val="0"/>
        <w:widowControl w:val="0"/>
        <w:kinsoku/>
        <w:wordWrap/>
        <w:overflowPunct/>
        <w:topLinePunct w:val="0"/>
        <w:autoSpaceDE/>
        <w:autoSpaceDN/>
        <w:bidi w:val="0"/>
        <w:adjustRightInd/>
        <w:snapToGrid/>
        <w:spacing w:line="440" w:lineRule="exact"/>
        <w:textAlignment w:val="auto"/>
        <w:rPr>
          <w:color w:val="000000" w:themeColor="text1"/>
          <w:highlight w:val="none"/>
          <w14:textFill>
            <w14:solidFill>
              <w14:schemeClr w14:val="tx1"/>
            </w14:solidFill>
          </w14:textFill>
        </w:rPr>
        <w:sectPr>
          <w:pgSz w:w="11906" w:h="16838"/>
          <w:pgMar w:top="1418" w:right="1418" w:bottom="1418" w:left="1418" w:header="851" w:footer="992" w:gutter="0"/>
          <w:cols w:space="425" w:num="1"/>
          <w:docGrid w:type="lines" w:linePitch="326" w:charSpace="0"/>
        </w:sectPr>
      </w:pPr>
      <w:r>
        <w:rPr>
          <w:rFonts w:hint="eastAsia"/>
          <w:color w:val="000000" w:themeColor="text1"/>
          <w:highlight w:val="none"/>
          <w14:textFill>
            <w14:solidFill>
              <w14:schemeClr w14:val="tx1"/>
            </w14:solidFill>
          </w14:textFill>
        </w:rPr>
        <w:t>兴宁市生态环境良好，森林覆盖率达到6</w:t>
      </w:r>
      <w:r>
        <w:rPr>
          <w:rFonts w:hint="eastAsia"/>
          <w:color w:val="000000" w:themeColor="text1"/>
          <w:highlight w:val="none"/>
          <w:lang w:val="en-US" w:eastAsia="zh-CN"/>
          <w14:textFill>
            <w14:solidFill>
              <w14:schemeClr w14:val="tx1"/>
            </w14:solidFill>
          </w14:textFill>
        </w:rPr>
        <w:t>7.65</w:t>
      </w:r>
      <w:r>
        <w:rPr>
          <w:rFonts w:hint="eastAsia"/>
          <w:color w:val="000000" w:themeColor="text1"/>
          <w:highlight w:val="none"/>
          <w14:textFill>
            <w14:solidFill>
              <w14:schemeClr w14:val="tx1"/>
            </w14:solidFill>
          </w14:textFill>
        </w:rPr>
        <w:t>%。现有自然保护区</w:t>
      </w:r>
      <w:r>
        <w:rPr>
          <w:color w:val="000000" w:themeColor="text1"/>
          <w:highlight w:val="none"/>
          <w14:textFill>
            <w14:solidFill>
              <w14:schemeClr w14:val="tx1"/>
            </w14:solidFill>
          </w14:textFill>
        </w:rPr>
        <w:t>7</w:t>
      </w:r>
      <w:r>
        <w:rPr>
          <w:rFonts w:hint="eastAsia"/>
          <w:color w:val="000000" w:themeColor="text1"/>
          <w:highlight w:val="none"/>
          <w14:textFill>
            <w14:solidFill>
              <w14:schemeClr w14:val="tx1"/>
            </w14:solidFill>
          </w14:textFill>
        </w:rPr>
        <w:t>个</w:t>
      </w:r>
      <w:r>
        <w:rPr>
          <w:rFonts w:hint="eastAsia"/>
          <w:color w:val="000000" w:themeColor="text1"/>
          <w:highlight w:val="none"/>
          <w:lang w:eastAsia="zh-CN"/>
          <w14:textFill>
            <w14:solidFill>
              <w14:schemeClr w14:val="tx1"/>
            </w14:solidFill>
          </w14:textFill>
        </w:rPr>
        <w:t>（其中铁山渡田河两个合为一个）</w:t>
      </w:r>
      <w:r>
        <w:rPr>
          <w:rFonts w:hint="eastAsia"/>
          <w:color w:val="000000" w:themeColor="text1"/>
          <w:highlight w:val="none"/>
          <w14:textFill>
            <w14:solidFill>
              <w14:schemeClr w14:val="tx1"/>
            </w14:solidFill>
          </w14:textFill>
        </w:rPr>
        <w:t>，包括</w:t>
      </w:r>
      <w:r>
        <w:rPr>
          <w:color w:val="000000" w:themeColor="text1"/>
          <w:highlight w:val="none"/>
          <w14:textFill>
            <w14:solidFill>
              <w14:schemeClr w14:val="tx1"/>
            </w14:solidFill>
          </w14:textFill>
        </w:rPr>
        <w:t>1</w:t>
      </w:r>
      <w:r>
        <w:rPr>
          <w:rFonts w:hint="eastAsia"/>
          <w:color w:val="000000" w:themeColor="text1"/>
          <w:highlight w:val="none"/>
          <w14:textFill>
            <w14:solidFill>
              <w14:schemeClr w14:val="tx1"/>
            </w14:solidFill>
          </w14:textFill>
        </w:rPr>
        <w:t>个省级，5个市级，1个县级自然保护区，总面积</w:t>
      </w:r>
      <w:r>
        <w:rPr>
          <w:rFonts w:hint="eastAsia"/>
          <w:color w:val="000000" w:themeColor="text1"/>
          <w:highlight w:val="none"/>
          <w:lang w:eastAsia="zh-CN"/>
          <w14:textFill>
            <w14:solidFill>
              <w14:schemeClr w14:val="tx1"/>
            </w14:solidFill>
          </w14:textFill>
        </w:rPr>
        <w:t>268.27</w:t>
      </w:r>
      <w:r>
        <w:rPr>
          <w:rFonts w:hint="eastAsia"/>
          <w:color w:val="000000" w:themeColor="text1"/>
          <w:highlight w:val="none"/>
          <w14:textFill>
            <w14:solidFill>
              <w14:schemeClr w14:val="tx1"/>
            </w14:solidFill>
          </w14:textFill>
        </w:rPr>
        <w:t>k</w:t>
      </w:r>
      <w:r>
        <w:rPr>
          <w:color w:val="000000" w:themeColor="text1"/>
          <w:highlight w:val="none"/>
          <w14:textFill>
            <w14:solidFill>
              <w14:schemeClr w14:val="tx1"/>
            </w14:solidFill>
          </w14:textFill>
        </w:rPr>
        <w:t>m</w:t>
      </w:r>
      <w:r>
        <w:rPr>
          <w:color w:val="000000" w:themeColor="text1"/>
          <w:highlight w:val="none"/>
          <w:vertAlign w:val="superscript"/>
          <w14:textFill>
            <w14:solidFill>
              <w14:schemeClr w14:val="tx1"/>
            </w14:solidFill>
          </w14:textFill>
        </w:rPr>
        <w:t>2</w:t>
      </w:r>
      <w:r>
        <w:rPr>
          <w:rFonts w:hint="eastAsia"/>
          <w:color w:val="000000" w:themeColor="text1"/>
          <w:highlight w:val="none"/>
          <w14:textFill>
            <w14:solidFill>
              <w14:schemeClr w14:val="tx1"/>
            </w14:solidFill>
          </w14:textFill>
        </w:rPr>
        <w:t>，占全市国土面积的</w:t>
      </w:r>
      <w:r>
        <w:rPr>
          <w:color w:val="000000" w:themeColor="text1"/>
          <w:highlight w:val="none"/>
          <w14:textFill>
            <w14:solidFill>
              <w14:schemeClr w14:val="tx1"/>
            </w14:solidFill>
          </w14:textFill>
        </w:rPr>
        <w:t>12.</w:t>
      </w:r>
      <w:r>
        <w:rPr>
          <w:rFonts w:hint="eastAsia"/>
          <w:color w:val="000000" w:themeColor="text1"/>
          <w:highlight w:val="none"/>
          <w:lang w:val="en-US" w:eastAsia="zh-CN"/>
          <w14:textFill>
            <w14:solidFill>
              <w14:schemeClr w14:val="tx1"/>
            </w14:solidFill>
          </w14:textFill>
        </w:rPr>
        <w:t>92</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w:t>
      </w:r>
      <w:r>
        <w:rPr>
          <w:rFonts w:hint="eastAsia"/>
          <w:bCs/>
          <w:color w:val="000000" w:themeColor="text1"/>
          <w:highlight w:val="none"/>
          <w14:textFill>
            <w14:solidFill>
              <w14:schemeClr w14:val="tx1"/>
            </w14:solidFill>
          </w14:textFill>
        </w:rPr>
        <w:t>全</w:t>
      </w:r>
      <w:r>
        <w:rPr>
          <w:rFonts w:hint="eastAsia"/>
          <w:bCs/>
          <w:color w:val="000000" w:themeColor="text1"/>
          <w:highlight w:val="none"/>
          <w:lang w:eastAsia="zh-CN"/>
          <w14:textFill>
            <w14:solidFill>
              <w14:schemeClr w14:val="tx1"/>
            </w14:solidFill>
          </w14:textFill>
        </w:rPr>
        <w:t>市</w:t>
      </w:r>
      <w:r>
        <w:rPr>
          <w:rFonts w:hint="eastAsia"/>
          <w:bCs/>
          <w:color w:val="000000" w:themeColor="text1"/>
          <w:highlight w:val="none"/>
          <w14:textFill>
            <w14:solidFill>
              <w14:schemeClr w14:val="tx1"/>
            </w14:solidFill>
          </w14:textFill>
        </w:rPr>
        <w:t>自然保护区如表6.3-1所示</w:t>
      </w:r>
      <w:r>
        <w:rPr>
          <w:rFonts w:hint="eastAsia"/>
          <w:color w:val="000000" w:themeColor="text1"/>
          <w:highlight w:val="none"/>
          <w14:textFill>
            <w14:solidFill>
              <w14:schemeClr w14:val="tx1"/>
            </w14:solidFill>
          </w14:textFill>
        </w:rPr>
        <w:t>。</w:t>
      </w:r>
    </w:p>
    <w:p>
      <w:pPr>
        <w:pStyle w:val="5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表6.3-1   兴宁市现有自然保护区一览表</w:t>
      </w:r>
    </w:p>
    <w:tbl>
      <w:tblPr>
        <w:tblStyle w:val="33"/>
        <w:tblW w:w="14228" w:type="dxa"/>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591"/>
        <w:gridCol w:w="1925"/>
        <w:gridCol w:w="740"/>
        <w:gridCol w:w="1187"/>
        <w:gridCol w:w="1036"/>
        <w:gridCol w:w="1013"/>
        <w:gridCol w:w="1801"/>
        <w:gridCol w:w="1335"/>
        <w:gridCol w:w="891"/>
        <w:gridCol w:w="1187"/>
        <w:gridCol w:w="1631"/>
        <w:gridCol w:w="891"/>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序号</w:t>
            </w:r>
          </w:p>
        </w:tc>
        <w:tc>
          <w:tcPr>
            <w:tcW w:w="1925"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自然保护区名称</w:t>
            </w:r>
          </w:p>
        </w:tc>
        <w:tc>
          <w:tcPr>
            <w:tcW w:w="740"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级别</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类型</w:t>
            </w:r>
          </w:p>
        </w:tc>
        <w:tc>
          <w:tcPr>
            <w:tcW w:w="1036"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行政区域</w:t>
            </w:r>
          </w:p>
        </w:tc>
        <w:tc>
          <w:tcPr>
            <w:tcW w:w="1013"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面积（km</w:t>
            </w:r>
            <w:r>
              <w:rPr>
                <w:rFonts w:hint="eastAsia"/>
                <w:color w:val="000000" w:themeColor="text1"/>
                <w:highlight w:val="none"/>
                <w:vertAlign w:val="superscript"/>
                <w14:textFill>
                  <w14:solidFill>
                    <w14:schemeClr w14:val="tx1"/>
                  </w14:solidFill>
                </w14:textFill>
              </w:rPr>
              <w:t>2</w:t>
            </w:r>
            <w:r>
              <w:rPr>
                <w:rFonts w:hint="eastAsia"/>
                <w:color w:val="000000" w:themeColor="text1"/>
                <w:highlight w:val="none"/>
                <w14:textFill>
                  <w14:solidFill>
                    <w14:schemeClr w14:val="tx1"/>
                  </w14:solidFill>
                </w14:textFill>
              </w:rPr>
              <w:t>）</w:t>
            </w:r>
          </w:p>
        </w:tc>
        <w:tc>
          <w:tcPr>
            <w:tcW w:w="180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主要保护对象</w:t>
            </w:r>
          </w:p>
        </w:tc>
        <w:tc>
          <w:tcPr>
            <w:tcW w:w="1335"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批准文号</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建立时间</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管理机关</w:t>
            </w:r>
          </w:p>
        </w:tc>
        <w:tc>
          <w:tcPr>
            <w:tcW w:w="163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使用权限</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覆盖率</w:t>
            </w:r>
            <w:r>
              <w:rPr>
                <w:color w:val="000000" w:themeColor="text1"/>
                <w:highlight w:val="none"/>
                <w14:textFill>
                  <w14:solidFill>
                    <w14:schemeClr w14:val="tx1"/>
                  </w14:solidFill>
                </w14:textFill>
              </w:rPr>
              <w:t>%</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w:t>
            </w:r>
          </w:p>
        </w:tc>
        <w:tc>
          <w:tcPr>
            <w:tcW w:w="1925"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兴宁和山岩市级自然保护区</w:t>
            </w:r>
          </w:p>
        </w:tc>
        <w:tc>
          <w:tcPr>
            <w:tcW w:w="740"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市级</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森林生态</w:t>
            </w:r>
          </w:p>
        </w:tc>
        <w:tc>
          <w:tcPr>
            <w:tcW w:w="1036"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梅州兴宁</w:t>
            </w:r>
          </w:p>
        </w:tc>
        <w:tc>
          <w:tcPr>
            <w:tcW w:w="1013"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6.67</w:t>
            </w:r>
          </w:p>
        </w:tc>
        <w:tc>
          <w:tcPr>
            <w:tcW w:w="180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水源涵养林、野生鸟类</w:t>
            </w:r>
          </w:p>
        </w:tc>
        <w:tc>
          <w:tcPr>
            <w:tcW w:w="1335"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梅市府函</w:t>
            </w:r>
            <w:r>
              <w:rPr>
                <w:color w:val="000000" w:themeColor="text1"/>
                <w:highlight w:val="none"/>
                <w14:textFill>
                  <w14:solidFill>
                    <w14:schemeClr w14:val="tx1"/>
                  </w14:solidFill>
                </w14:textFill>
              </w:rPr>
              <w:t>[2000]6</w:t>
            </w:r>
            <w:r>
              <w:rPr>
                <w:rFonts w:hint="eastAsia"/>
                <w:color w:val="000000" w:themeColor="text1"/>
                <w:highlight w:val="none"/>
                <w14:textFill>
                  <w14:solidFill>
                    <w14:schemeClr w14:val="tx1"/>
                  </w14:solidFill>
                </w14:textFill>
              </w:rPr>
              <w:t>号</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2000</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兴宁市林业局</w:t>
            </w:r>
          </w:p>
        </w:tc>
        <w:tc>
          <w:tcPr>
            <w:tcW w:w="163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属集体林，有山林权证</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58.30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w:t>
            </w:r>
          </w:p>
        </w:tc>
        <w:tc>
          <w:tcPr>
            <w:tcW w:w="1925"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兴宁石壁市级自然保护区</w:t>
            </w:r>
          </w:p>
        </w:tc>
        <w:tc>
          <w:tcPr>
            <w:tcW w:w="740"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市级</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森林生态</w:t>
            </w:r>
          </w:p>
        </w:tc>
        <w:tc>
          <w:tcPr>
            <w:tcW w:w="1036"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梅州兴宁</w:t>
            </w:r>
          </w:p>
        </w:tc>
        <w:tc>
          <w:tcPr>
            <w:tcW w:w="1013"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10</w:t>
            </w:r>
          </w:p>
        </w:tc>
        <w:tc>
          <w:tcPr>
            <w:tcW w:w="180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水源涵养林、野生鸟类</w:t>
            </w:r>
          </w:p>
        </w:tc>
        <w:tc>
          <w:tcPr>
            <w:tcW w:w="1335"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梅市府函</w:t>
            </w:r>
            <w:r>
              <w:rPr>
                <w:color w:val="000000" w:themeColor="text1"/>
                <w:highlight w:val="none"/>
                <w14:textFill>
                  <w14:solidFill>
                    <w14:schemeClr w14:val="tx1"/>
                  </w14:solidFill>
                </w14:textFill>
              </w:rPr>
              <w:t>[2000]6</w:t>
            </w:r>
            <w:r>
              <w:rPr>
                <w:rFonts w:hint="eastAsia"/>
                <w:color w:val="000000" w:themeColor="text1"/>
                <w:highlight w:val="none"/>
                <w14:textFill>
                  <w14:solidFill>
                    <w14:schemeClr w14:val="tx1"/>
                  </w14:solidFill>
                </w14:textFill>
              </w:rPr>
              <w:t>号</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2000</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兴宁市林业局</w:t>
            </w:r>
          </w:p>
        </w:tc>
        <w:tc>
          <w:tcPr>
            <w:tcW w:w="163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属国有林</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79.56</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3</w:t>
            </w:r>
          </w:p>
        </w:tc>
        <w:tc>
          <w:tcPr>
            <w:tcW w:w="1925"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兴宁神光山市级自然保护区</w:t>
            </w:r>
          </w:p>
        </w:tc>
        <w:tc>
          <w:tcPr>
            <w:tcW w:w="740"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市级</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森林生态</w:t>
            </w:r>
          </w:p>
        </w:tc>
        <w:tc>
          <w:tcPr>
            <w:tcW w:w="1036"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梅州兴宁</w:t>
            </w:r>
          </w:p>
        </w:tc>
        <w:tc>
          <w:tcPr>
            <w:tcW w:w="1013"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13</w:t>
            </w:r>
            <w:r>
              <w:rPr>
                <w:rFonts w:hint="eastAsia"/>
                <w:color w:val="000000" w:themeColor="text1"/>
                <w:highlight w:val="none"/>
                <w14:textFill>
                  <w14:solidFill>
                    <w14:schemeClr w14:val="tx1"/>
                  </w14:solidFill>
                </w14:textFill>
              </w:rPr>
              <w:t>.33</w:t>
            </w:r>
          </w:p>
        </w:tc>
        <w:tc>
          <w:tcPr>
            <w:tcW w:w="180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水源涵养林、野生鸟类</w:t>
            </w:r>
          </w:p>
        </w:tc>
        <w:tc>
          <w:tcPr>
            <w:tcW w:w="1335"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梅市府函</w:t>
            </w:r>
            <w:r>
              <w:rPr>
                <w:color w:val="000000" w:themeColor="text1"/>
                <w:highlight w:val="none"/>
                <w14:textFill>
                  <w14:solidFill>
                    <w14:schemeClr w14:val="tx1"/>
                  </w14:solidFill>
                </w14:textFill>
              </w:rPr>
              <w:t>[2001]41</w:t>
            </w:r>
            <w:r>
              <w:rPr>
                <w:rFonts w:hint="eastAsia"/>
                <w:color w:val="000000" w:themeColor="text1"/>
                <w:highlight w:val="none"/>
                <w14:textFill>
                  <w14:solidFill>
                    <w14:schemeClr w14:val="tx1"/>
                  </w14:solidFill>
                </w14:textFill>
              </w:rPr>
              <w:t>号</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2001</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兴宁市林业局</w:t>
            </w:r>
          </w:p>
        </w:tc>
        <w:tc>
          <w:tcPr>
            <w:tcW w:w="163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属集体林，有山林权证</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85.20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w:t>
            </w:r>
          </w:p>
        </w:tc>
        <w:tc>
          <w:tcPr>
            <w:tcW w:w="1925"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兴宁四望嶂自然保护区</w:t>
            </w:r>
          </w:p>
        </w:tc>
        <w:tc>
          <w:tcPr>
            <w:tcW w:w="740"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市级</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森林生态</w:t>
            </w:r>
          </w:p>
        </w:tc>
        <w:tc>
          <w:tcPr>
            <w:tcW w:w="1036"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梅州兴宁</w:t>
            </w:r>
          </w:p>
        </w:tc>
        <w:tc>
          <w:tcPr>
            <w:tcW w:w="1013"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20</w:t>
            </w:r>
          </w:p>
        </w:tc>
        <w:tc>
          <w:tcPr>
            <w:tcW w:w="180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水源涵养林、野生鸟类</w:t>
            </w:r>
          </w:p>
        </w:tc>
        <w:tc>
          <w:tcPr>
            <w:tcW w:w="1335"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梅市府函</w:t>
            </w:r>
            <w:r>
              <w:rPr>
                <w:color w:val="000000" w:themeColor="text1"/>
                <w:highlight w:val="none"/>
                <w14:textFill>
                  <w14:solidFill>
                    <w14:schemeClr w14:val="tx1"/>
                  </w14:solidFill>
                </w14:textFill>
              </w:rPr>
              <w:t>[2000]6</w:t>
            </w:r>
            <w:r>
              <w:rPr>
                <w:rFonts w:hint="eastAsia"/>
                <w:color w:val="000000" w:themeColor="text1"/>
                <w:highlight w:val="none"/>
                <w14:textFill>
                  <w14:solidFill>
                    <w14:schemeClr w14:val="tx1"/>
                  </w14:solidFill>
                </w14:textFill>
              </w:rPr>
              <w:t>号</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2000</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兴宁市林业局</w:t>
            </w:r>
          </w:p>
        </w:tc>
        <w:tc>
          <w:tcPr>
            <w:tcW w:w="163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属集体林，有山林权证</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75.65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5</w:t>
            </w:r>
          </w:p>
        </w:tc>
        <w:tc>
          <w:tcPr>
            <w:tcW w:w="1925"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兴宁合水市级自然保护区</w:t>
            </w:r>
          </w:p>
        </w:tc>
        <w:tc>
          <w:tcPr>
            <w:tcW w:w="740"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市级</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森林生态</w:t>
            </w:r>
          </w:p>
        </w:tc>
        <w:tc>
          <w:tcPr>
            <w:tcW w:w="1036"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梅州兴宁</w:t>
            </w:r>
          </w:p>
        </w:tc>
        <w:tc>
          <w:tcPr>
            <w:tcW w:w="1013"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20</w:t>
            </w:r>
          </w:p>
        </w:tc>
        <w:tc>
          <w:tcPr>
            <w:tcW w:w="180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水源涵养林、野生鸟类</w:t>
            </w:r>
          </w:p>
        </w:tc>
        <w:tc>
          <w:tcPr>
            <w:tcW w:w="1335"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梅市府函</w:t>
            </w:r>
            <w:r>
              <w:rPr>
                <w:color w:val="000000" w:themeColor="text1"/>
                <w:highlight w:val="none"/>
                <w14:textFill>
                  <w14:solidFill>
                    <w14:schemeClr w14:val="tx1"/>
                  </w14:solidFill>
                </w14:textFill>
              </w:rPr>
              <w:t>[2000]6</w:t>
            </w:r>
            <w:r>
              <w:rPr>
                <w:rFonts w:hint="eastAsia"/>
                <w:color w:val="000000" w:themeColor="text1"/>
                <w:highlight w:val="none"/>
                <w14:textFill>
                  <w14:solidFill>
                    <w14:schemeClr w14:val="tx1"/>
                  </w14:solidFill>
                </w14:textFill>
              </w:rPr>
              <w:t>号</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2000</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兴宁市林业局</w:t>
            </w:r>
          </w:p>
        </w:tc>
        <w:tc>
          <w:tcPr>
            <w:tcW w:w="163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属集体林，有山林权证</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56.99</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6</w:t>
            </w:r>
          </w:p>
        </w:tc>
        <w:tc>
          <w:tcPr>
            <w:tcW w:w="1925" w:type="dxa"/>
            <w:shd w:val="clear" w:color="auto" w:fill="auto"/>
            <w:tcMar>
              <w:top w:w="0" w:type="dxa"/>
              <w:left w:w="113" w:type="dxa"/>
              <w:bottom w:w="0" w:type="dxa"/>
              <w:right w:w="113" w:type="dxa"/>
            </w:tcMar>
            <w:vAlign w:val="center"/>
          </w:tcPr>
          <w:p>
            <w:pPr>
              <w:pStyle w:val="52"/>
              <w:ind w:firstLine="0" w:firstLineChars="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兴宁白鹤仙师</w:t>
            </w:r>
            <w:r>
              <w:rPr>
                <w:rFonts w:hint="eastAsia"/>
                <w:color w:val="000000" w:themeColor="text1"/>
                <w:highlight w:val="none"/>
                <w:lang w:val="en-US" w:eastAsia="zh-CN"/>
                <w14:textFill>
                  <w14:solidFill>
                    <w14:schemeClr w14:val="tx1"/>
                  </w14:solidFill>
                </w14:textFill>
              </w:rPr>
              <w:t>市</w:t>
            </w:r>
            <w:r>
              <w:rPr>
                <w:rFonts w:hint="eastAsia"/>
                <w:color w:val="000000" w:themeColor="text1"/>
                <w:highlight w:val="none"/>
                <w14:textFill>
                  <w14:solidFill>
                    <w14:schemeClr w14:val="tx1"/>
                  </w14:solidFill>
                </w14:textFill>
              </w:rPr>
              <w:t>级自然保护区</w:t>
            </w:r>
          </w:p>
        </w:tc>
        <w:tc>
          <w:tcPr>
            <w:tcW w:w="740" w:type="dxa"/>
            <w:shd w:val="clear" w:color="auto" w:fill="auto"/>
            <w:tcMar>
              <w:top w:w="0" w:type="dxa"/>
              <w:left w:w="113" w:type="dxa"/>
              <w:bottom w:w="0" w:type="dxa"/>
              <w:right w:w="113" w:type="dxa"/>
            </w:tcMar>
            <w:vAlign w:val="center"/>
          </w:tcPr>
          <w:p>
            <w:pPr>
              <w:pStyle w:val="52"/>
              <w:ind w:firstLine="0" w:firstLineChars="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市级</w:t>
            </w:r>
          </w:p>
        </w:tc>
        <w:tc>
          <w:tcPr>
            <w:tcW w:w="1187" w:type="dxa"/>
            <w:shd w:val="clear" w:color="auto" w:fill="auto"/>
            <w:tcMar>
              <w:top w:w="0" w:type="dxa"/>
              <w:left w:w="113" w:type="dxa"/>
              <w:bottom w:w="0" w:type="dxa"/>
              <w:right w:w="113" w:type="dxa"/>
            </w:tcMar>
            <w:vAlign w:val="center"/>
          </w:tcPr>
          <w:p>
            <w:pPr>
              <w:pStyle w:val="52"/>
              <w:ind w:firstLine="0" w:firstLineChars="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森林生态</w:t>
            </w:r>
          </w:p>
        </w:tc>
        <w:tc>
          <w:tcPr>
            <w:tcW w:w="1036" w:type="dxa"/>
            <w:shd w:val="clear" w:color="auto" w:fill="auto"/>
            <w:tcMar>
              <w:top w:w="0" w:type="dxa"/>
              <w:left w:w="113" w:type="dxa"/>
              <w:bottom w:w="0" w:type="dxa"/>
              <w:right w:w="113" w:type="dxa"/>
            </w:tcMar>
            <w:vAlign w:val="center"/>
          </w:tcPr>
          <w:p>
            <w:pPr>
              <w:pStyle w:val="52"/>
              <w:ind w:firstLine="0" w:firstLineChars="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梅州兴宁</w:t>
            </w:r>
          </w:p>
        </w:tc>
        <w:tc>
          <w:tcPr>
            <w:tcW w:w="1013" w:type="dxa"/>
            <w:shd w:val="clear" w:color="auto" w:fill="auto"/>
            <w:tcMar>
              <w:top w:w="0" w:type="dxa"/>
              <w:left w:w="113" w:type="dxa"/>
              <w:bottom w:w="0" w:type="dxa"/>
              <w:right w:w="113" w:type="dxa"/>
            </w:tcMar>
            <w:vAlign w:val="center"/>
          </w:tcPr>
          <w:p>
            <w:pPr>
              <w:pStyle w:val="52"/>
              <w:ind w:firstLine="0"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w:t>
            </w:r>
            <w:r>
              <w:rPr>
                <w:rFonts w:hint="eastAsia"/>
                <w:color w:val="000000" w:themeColor="text1"/>
                <w:highlight w:val="none"/>
                <w14:textFill>
                  <w14:solidFill>
                    <w14:schemeClr w14:val="tx1"/>
                  </w14:solidFill>
                </w14:textFill>
              </w:rPr>
              <w:t>0</w:t>
            </w:r>
          </w:p>
        </w:tc>
        <w:tc>
          <w:tcPr>
            <w:tcW w:w="1801" w:type="dxa"/>
            <w:shd w:val="clear" w:color="auto" w:fill="auto"/>
            <w:tcMar>
              <w:top w:w="0" w:type="dxa"/>
              <w:left w:w="113" w:type="dxa"/>
              <w:bottom w:w="0" w:type="dxa"/>
              <w:right w:w="113" w:type="dxa"/>
            </w:tcMar>
            <w:vAlign w:val="center"/>
          </w:tcPr>
          <w:p>
            <w:pPr>
              <w:pStyle w:val="52"/>
              <w:ind w:firstLine="0" w:firstLineChars="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水源涵养林、野生鸟类</w:t>
            </w:r>
          </w:p>
        </w:tc>
        <w:tc>
          <w:tcPr>
            <w:tcW w:w="1335" w:type="dxa"/>
            <w:shd w:val="clear" w:color="auto" w:fill="auto"/>
            <w:tcMar>
              <w:top w:w="0" w:type="dxa"/>
              <w:left w:w="113" w:type="dxa"/>
              <w:bottom w:w="0" w:type="dxa"/>
              <w:right w:w="113" w:type="dxa"/>
            </w:tcMar>
            <w:vAlign w:val="center"/>
          </w:tcPr>
          <w:p>
            <w:pPr>
              <w:pStyle w:val="52"/>
              <w:ind w:firstLine="0" w:firstLineChars="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梅市府函</w:t>
            </w:r>
            <w:r>
              <w:rPr>
                <w:color w:val="000000" w:themeColor="text1"/>
                <w:highlight w:val="none"/>
                <w14:textFill>
                  <w14:solidFill>
                    <w14:schemeClr w14:val="tx1"/>
                  </w14:solidFill>
                </w14:textFill>
              </w:rPr>
              <w:t>[2001]41</w:t>
            </w:r>
            <w:r>
              <w:rPr>
                <w:rFonts w:hint="eastAsia"/>
                <w:color w:val="000000" w:themeColor="text1"/>
                <w:highlight w:val="none"/>
                <w14:textFill>
                  <w14:solidFill>
                    <w14:schemeClr w14:val="tx1"/>
                  </w14:solidFill>
                </w14:textFill>
              </w:rPr>
              <w:t>号</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200</w:t>
            </w:r>
            <w:r>
              <w:rPr>
                <w:rFonts w:hint="eastAsia"/>
                <w:color w:val="000000" w:themeColor="text1"/>
                <w:highlight w:val="none"/>
                <w14:textFill>
                  <w14:solidFill>
                    <w14:schemeClr w14:val="tx1"/>
                  </w14:solidFill>
                </w14:textFill>
              </w:rPr>
              <w:t>0</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兴宁市林业局</w:t>
            </w:r>
          </w:p>
        </w:tc>
        <w:tc>
          <w:tcPr>
            <w:tcW w:w="163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属集体林，有山林权证</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69.60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7</w:t>
            </w:r>
          </w:p>
        </w:tc>
        <w:tc>
          <w:tcPr>
            <w:tcW w:w="1925"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广东兴宁铁山渡田河省级自然保护区</w:t>
            </w:r>
          </w:p>
        </w:tc>
        <w:tc>
          <w:tcPr>
            <w:tcW w:w="740"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省级</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森林生态系统与野生动植物类型</w:t>
            </w:r>
          </w:p>
        </w:tc>
        <w:tc>
          <w:tcPr>
            <w:tcW w:w="1036"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梅州兴宁</w:t>
            </w:r>
          </w:p>
        </w:tc>
        <w:tc>
          <w:tcPr>
            <w:tcW w:w="1013"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178</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2</w:t>
            </w:r>
            <w:r>
              <w:rPr>
                <w:rFonts w:hint="eastAsia"/>
                <w:color w:val="000000" w:themeColor="text1"/>
                <w:highlight w:val="none"/>
                <w14:textFill>
                  <w14:solidFill>
                    <w14:schemeClr w14:val="tx1"/>
                  </w14:solidFill>
                </w14:textFill>
              </w:rPr>
              <w:t>7</w:t>
            </w:r>
          </w:p>
        </w:tc>
        <w:tc>
          <w:tcPr>
            <w:tcW w:w="180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水源涵养林、森林生态系统</w:t>
            </w:r>
          </w:p>
        </w:tc>
        <w:tc>
          <w:tcPr>
            <w:tcW w:w="1335"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粤办函</w:t>
            </w:r>
            <w:r>
              <w:rPr>
                <w:color w:val="000000" w:themeColor="text1"/>
                <w:highlight w:val="none"/>
                <w14:textFill>
                  <w14:solidFill>
                    <w14:schemeClr w14:val="tx1"/>
                  </w14:solidFill>
                </w14:textFill>
              </w:rPr>
              <w:t>[2005]87</w:t>
            </w:r>
            <w:r>
              <w:rPr>
                <w:rFonts w:hint="eastAsia"/>
                <w:color w:val="000000" w:themeColor="text1"/>
                <w:highlight w:val="none"/>
                <w14:textFill>
                  <w14:solidFill>
                    <w14:schemeClr w14:val="tx1"/>
                  </w14:solidFill>
                </w14:textFill>
              </w:rPr>
              <w:t>号</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2005</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广东兴宁铁山渡田河省级自然保护区管理处</w:t>
            </w:r>
          </w:p>
        </w:tc>
        <w:tc>
          <w:tcPr>
            <w:tcW w:w="163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山地林权属全民和集体所有，有山林权证</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78.70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合计</w:t>
            </w:r>
          </w:p>
        </w:tc>
        <w:tc>
          <w:tcPr>
            <w:tcW w:w="1925"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p>
        </w:tc>
        <w:tc>
          <w:tcPr>
            <w:tcW w:w="740"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p>
        </w:tc>
        <w:tc>
          <w:tcPr>
            <w:tcW w:w="1036"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p>
        </w:tc>
        <w:tc>
          <w:tcPr>
            <w:tcW w:w="1013" w:type="dxa"/>
            <w:shd w:val="clear" w:color="auto" w:fill="auto"/>
            <w:tcMar>
              <w:top w:w="0" w:type="dxa"/>
              <w:left w:w="113" w:type="dxa"/>
              <w:bottom w:w="0" w:type="dxa"/>
              <w:right w:w="113" w:type="dxa"/>
            </w:tcMar>
            <w:vAlign w:val="center"/>
          </w:tcPr>
          <w:p>
            <w:pPr>
              <w:pStyle w:val="52"/>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268.27</w:t>
            </w:r>
          </w:p>
        </w:tc>
        <w:tc>
          <w:tcPr>
            <w:tcW w:w="180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p>
        </w:tc>
        <w:tc>
          <w:tcPr>
            <w:tcW w:w="1335"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p>
        </w:tc>
        <w:tc>
          <w:tcPr>
            <w:tcW w:w="1187"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p>
        </w:tc>
        <w:tc>
          <w:tcPr>
            <w:tcW w:w="163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p>
        </w:tc>
        <w:tc>
          <w:tcPr>
            <w:tcW w:w="891" w:type="dxa"/>
            <w:shd w:val="clear" w:color="auto" w:fill="auto"/>
            <w:tcMar>
              <w:top w:w="0" w:type="dxa"/>
              <w:left w:w="113" w:type="dxa"/>
              <w:bottom w:w="0" w:type="dxa"/>
              <w:right w:w="113" w:type="dxa"/>
            </w:tcMar>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p>
        </w:tc>
      </w:tr>
    </w:tbl>
    <w:p>
      <w:pPr>
        <w:rPr>
          <w:color w:val="000000" w:themeColor="text1"/>
          <w:highlight w:val="none"/>
          <w14:textFill>
            <w14:solidFill>
              <w14:schemeClr w14:val="tx1"/>
            </w14:solidFill>
          </w14:textFill>
        </w:rPr>
        <w:sectPr>
          <w:type w:val="continuous"/>
          <w:pgSz w:w="16838" w:h="11906" w:orient="landscape"/>
          <w:pgMar w:top="1418" w:right="1418" w:bottom="1418" w:left="1418" w:header="851" w:footer="992" w:gutter="0"/>
          <w:cols w:space="425" w:num="1"/>
          <w:docGrid w:type="lines" w:linePitch="326" w:charSpace="0"/>
        </w:sectPr>
      </w:pPr>
    </w:p>
    <w:p>
      <w:pPr>
        <w:pStyle w:val="4"/>
        <w:spacing w:before="163" w:after="163"/>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生态公益林保护区</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根据《兴宁市生态控制线数据库》、《兴宁市林业生态红线划定报告》，全市现有生态公益林地面积68711.4公顷，占林地总面积的50.33%。其中，重点公益林地面积21628.9公顷，占公益林面积的31.48%；一般公益林地面积47082.5公顷，占68.52%。重点公益林地中，国家级公益林面积17533.5公顷，占公益林面积的25.52%；省级重点公益林4093.5公顷，占5.96%。一般公益林地全部为省级一般公益林，面积47082.5公顷，占公益林面积的68.52%。</w:t>
      </w:r>
    </w:p>
    <w:p>
      <w:pPr>
        <w:ind w:firstLine="482" w:firstLineChars="0"/>
        <w:jc w:val="left"/>
        <w:rPr>
          <w:rFonts w:ascii="宋体" w:hAnsi="宋体" w:cs="宋体"/>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国家级公益林管理办法</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第三条  国家级公益林管理遵循“生态优先、严格保护，分类管理、责权统一，科学经营、合理利用”的原则。　第十二条  一级国家级公益林原则上不得开展生产经营活动，严禁打枝、采脂、割漆、剥树皮、掘根等行为。</w:t>
      </w:r>
    </w:p>
    <w:p>
      <w:pPr>
        <w:pStyle w:val="4"/>
        <w:spacing w:before="163" w:after="163"/>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饮用水源保护区</w:t>
      </w:r>
    </w:p>
    <w:p>
      <w:pPr>
        <w:pStyle w:val="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饮用水源保护区现状</w:t>
      </w:r>
    </w:p>
    <w:p>
      <w:pPr>
        <w:rPr>
          <w:color w:val="000000" w:themeColor="text1"/>
          <w:highlight w:val="none"/>
          <w14:textFill>
            <w14:solidFill>
              <w14:schemeClr w14:val="tx1"/>
            </w14:solidFill>
          </w14:textFill>
        </w:rPr>
        <w:sectPr>
          <w:type w:val="continuous"/>
          <w:pgSz w:w="11906" w:h="16838"/>
          <w:pgMar w:top="1418" w:right="1418" w:bottom="1418" w:left="1418" w:header="851" w:footer="992" w:gutter="0"/>
          <w:cols w:space="425" w:num="1"/>
          <w:docGrid w:type="lines" w:linePitch="326" w:charSpace="0"/>
        </w:sectPr>
      </w:pPr>
      <w:r>
        <w:rPr>
          <w:rFonts w:hint="eastAsia"/>
          <w:color w:val="000000" w:themeColor="text1"/>
          <w:highlight w:val="none"/>
          <w14:textFill>
            <w14:solidFill>
              <w14:schemeClr w14:val="tx1"/>
            </w14:solidFill>
          </w14:textFill>
        </w:rPr>
        <w:t>根据《关于调整兴宁市区饮用水源保护区陆域范围的批复》（粤府函[</w:t>
      </w:r>
      <w:r>
        <w:rPr>
          <w:color w:val="000000" w:themeColor="text1"/>
          <w:highlight w:val="none"/>
          <w14:textFill>
            <w14:solidFill>
              <w14:schemeClr w14:val="tx1"/>
            </w14:solidFill>
          </w14:textFill>
        </w:rPr>
        <w:t>2001</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469</w:t>
      </w:r>
      <w:r>
        <w:rPr>
          <w:rFonts w:hint="eastAsia"/>
          <w:color w:val="000000" w:themeColor="text1"/>
          <w:highlight w:val="none"/>
          <w14:textFill>
            <w14:solidFill>
              <w14:schemeClr w14:val="tx1"/>
            </w14:solidFill>
          </w14:textFill>
        </w:rPr>
        <w:t>号）、《关于同意梅州市31个建制镇饮用水源保护区划划分方案的函》(粤府函[</w:t>
      </w:r>
      <w:r>
        <w:rPr>
          <w:color w:val="000000" w:themeColor="text1"/>
          <w:highlight w:val="none"/>
          <w14:textFill>
            <w14:solidFill>
              <w14:schemeClr w14:val="tx1"/>
            </w14:solidFill>
          </w14:textFill>
        </w:rPr>
        <w:t>2002</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102</w:t>
      </w:r>
      <w:r>
        <w:rPr>
          <w:rFonts w:hint="eastAsia"/>
          <w:color w:val="000000" w:themeColor="text1"/>
          <w:highlight w:val="none"/>
          <w14:textFill>
            <w14:solidFill>
              <w14:schemeClr w14:val="tx1"/>
            </w14:solidFill>
          </w14:textFill>
        </w:rPr>
        <w:t>号)、《广东省人民政府关于印发部分市乡镇集中式饮用水源保护区划分方案的通知》(粤府函[</w:t>
      </w:r>
      <w:r>
        <w:rPr>
          <w:color w:val="000000" w:themeColor="text1"/>
          <w:highlight w:val="none"/>
          <w14:textFill>
            <w14:solidFill>
              <w14:schemeClr w14:val="tx1"/>
            </w14:solidFill>
          </w14:textFill>
        </w:rPr>
        <w:t>2015</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17</w:t>
      </w:r>
      <w:r>
        <w:rPr>
          <w:rFonts w:hint="eastAsia"/>
          <w:color w:val="000000" w:themeColor="text1"/>
          <w:highlight w:val="none"/>
          <w14:textFill>
            <w14:solidFill>
              <w14:schemeClr w14:val="tx1"/>
            </w14:solidFill>
          </w14:textFill>
        </w:rPr>
        <w:t>号)</w:t>
      </w:r>
      <w:r>
        <w:rPr>
          <w:rFonts w:hint="eastAsia"/>
          <w:color w:val="000000" w:themeColor="text1"/>
          <w:highlight w:val="none"/>
          <w:lang w:eastAsia="zh-CN"/>
          <w14:textFill>
            <w14:solidFill>
              <w14:schemeClr w14:val="tx1"/>
            </w14:solidFill>
          </w14:textFill>
        </w:rPr>
        <w:t>、《广东省人民政府关于调整梅州市部分饮用水水源保护区的批复》</w:t>
      </w:r>
      <w:r>
        <w:rPr>
          <w:rFonts w:hint="eastAsia"/>
          <w:color w:val="000000" w:themeColor="text1"/>
          <w:highlight w:val="none"/>
          <w14:textFill>
            <w14:solidFill>
              <w14:schemeClr w14:val="tx1"/>
            </w14:solidFill>
          </w14:textFill>
        </w:rPr>
        <w:t>(粤府函[</w:t>
      </w:r>
      <w:r>
        <w:rPr>
          <w:color w:val="000000" w:themeColor="text1"/>
          <w:highlight w:val="none"/>
          <w14:textFill>
            <w14:solidFill>
              <w14:schemeClr w14:val="tx1"/>
            </w14:solidFill>
          </w14:textFill>
        </w:rPr>
        <w:t>201</w:t>
      </w:r>
      <w:r>
        <w:rPr>
          <w:rFonts w:hint="eastAsia"/>
          <w:color w:val="000000" w:themeColor="text1"/>
          <w:highlight w:val="none"/>
          <w:lang w:val="en-US" w:eastAsia="zh-CN"/>
          <w14:textFill>
            <w14:solidFill>
              <w14:schemeClr w14:val="tx1"/>
            </w14:solidFill>
          </w14:textFill>
        </w:rPr>
        <w:t>8</w:t>
      </w:r>
      <w:r>
        <w:rPr>
          <w:rFonts w:hint="eastAsia"/>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428</w:t>
      </w:r>
      <w:r>
        <w:rPr>
          <w:rFonts w:hint="eastAsia"/>
          <w:color w:val="000000" w:themeColor="text1"/>
          <w:highlight w:val="none"/>
          <w14:textFill>
            <w14:solidFill>
              <w14:schemeClr w14:val="tx1"/>
            </w14:solidFill>
          </w14:textFill>
        </w:rPr>
        <w:t>号)</w:t>
      </w:r>
      <w:r>
        <w:rPr>
          <w:rFonts w:hint="eastAsia"/>
          <w:color w:val="000000" w:themeColor="text1"/>
          <w:highlight w:val="none"/>
          <w:lang w:eastAsia="zh-CN"/>
          <w14:textFill>
            <w14:solidFill>
              <w14:schemeClr w14:val="tx1"/>
            </w14:solidFill>
          </w14:textFill>
        </w:rPr>
        <w:t>、《关于同意调整梅州市梅县畲江镇饮用水源保护区范围的函》（粤环函</w:t>
      </w:r>
      <w:r>
        <w:rPr>
          <w:rFonts w:hint="eastAsia"/>
          <w:color w:val="000000" w:themeColor="text1"/>
          <w:highlight w:val="none"/>
          <w:lang w:val="en-US" w:eastAsia="zh-CN"/>
          <w14:textFill>
            <w14:solidFill>
              <w14:schemeClr w14:val="tx1"/>
            </w14:solidFill>
          </w14:textFill>
        </w:rPr>
        <w:t>[2009]997号）（备注：梅县区畲江饮水源保护区在兴宁范围内）</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使用最新调整数据，</w:t>
      </w:r>
      <w:r>
        <w:rPr>
          <w:rFonts w:hint="eastAsia"/>
          <w:color w:val="000000" w:themeColor="text1"/>
          <w:highlight w:val="none"/>
          <w14:textFill>
            <w14:solidFill>
              <w14:schemeClr w14:val="tx1"/>
            </w14:solidFill>
          </w14:textFill>
        </w:rPr>
        <w:t>兴宁市饮用水水源保护区划分结果见下表。</w:t>
      </w:r>
    </w:p>
    <w:p>
      <w:pPr>
        <w:pStyle w:val="5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表6.3-</w:t>
      </w:r>
      <w:r>
        <w:rPr>
          <w:rFonts w:hint="eastAsia"/>
          <w:color w:val="000000" w:themeColor="text1"/>
          <w:highlight w:val="none"/>
          <w:lang w:val="en-US" w:eastAsia="zh-CN"/>
          <w14:textFill>
            <w14:solidFill>
              <w14:schemeClr w14:val="tx1"/>
            </w14:solidFill>
          </w14:textFill>
        </w:rPr>
        <w:t>2</w:t>
      </w:r>
      <w:r>
        <w:rPr>
          <w:rFonts w:hint="eastAsia"/>
          <w:color w:val="000000" w:themeColor="text1"/>
          <w:highlight w:val="none"/>
          <w14:textFill>
            <w14:solidFill>
              <w14:schemeClr w14:val="tx1"/>
            </w14:solidFill>
          </w14:textFill>
        </w:rPr>
        <w:t>粤府函[2015]17号饮用水源保护区一览表</w:t>
      </w:r>
    </w:p>
    <w:tbl>
      <w:tblPr>
        <w:tblStyle w:val="33"/>
        <w:tblW w:w="14218" w:type="dxa"/>
        <w:jc w:val="center"/>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Layout w:type="fixed"/>
        <w:tblCellMar>
          <w:top w:w="0" w:type="dxa"/>
          <w:left w:w="108" w:type="dxa"/>
          <w:bottom w:w="0" w:type="dxa"/>
          <w:right w:w="108" w:type="dxa"/>
        </w:tblCellMar>
      </w:tblPr>
      <w:tblGrid>
        <w:gridCol w:w="561"/>
        <w:gridCol w:w="905"/>
        <w:gridCol w:w="1027"/>
        <w:gridCol w:w="1092"/>
        <w:gridCol w:w="1180"/>
        <w:gridCol w:w="1289"/>
        <w:gridCol w:w="975"/>
        <w:gridCol w:w="3728"/>
        <w:gridCol w:w="3461"/>
      </w:tblGrid>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序号</w:t>
            </w:r>
          </w:p>
        </w:tc>
        <w:tc>
          <w:tcPr>
            <w:tcW w:w="90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地市</w:t>
            </w:r>
          </w:p>
        </w:tc>
        <w:tc>
          <w:tcPr>
            <w:tcW w:w="1027"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县</w:t>
            </w:r>
          </w:p>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（市、区）</w:t>
            </w:r>
          </w:p>
        </w:tc>
        <w:tc>
          <w:tcPr>
            <w:tcW w:w="1092"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乡镇</w:t>
            </w:r>
          </w:p>
        </w:tc>
        <w:tc>
          <w:tcPr>
            <w:tcW w:w="1180"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保护区</w:t>
            </w:r>
          </w:p>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名称</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保护</w:t>
            </w:r>
            <w:r>
              <w:rPr>
                <w:rFonts w:hint="eastAsia"/>
                <w:color w:val="000000" w:themeColor="text1"/>
                <w:highlight w:val="none"/>
                <w14:textFill>
                  <w14:solidFill>
                    <w14:schemeClr w14:val="tx1"/>
                  </w14:solidFill>
                </w14:textFill>
              </w:rPr>
              <w:t>区</w:t>
            </w:r>
            <w:r>
              <w:rPr>
                <w:color w:val="000000" w:themeColor="text1"/>
                <w:highlight w:val="none"/>
                <w14:textFill>
                  <w14:solidFill>
                    <w14:schemeClr w14:val="tx1"/>
                  </w14:solidFill>
                </w14:textFill>
              </w:rPr>
              <w:t>级别</w:t>
            </w:r>
          </w:p>
        </w:tc>
        <w:tc>
          <w:tcPr>
            <w:tcW w:w="97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水质保护目标</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水域保护范围</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陆域保护范围</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w:t>
            </w:r>
          </w:p>
        </w:tc>
        <w:tc>
          <w:tcPr>
            <w:tcW w:w="905"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梅州市</w:t>
            </w:r>
          </w:p>
        </w:tc>
        <w:tc>
          <w:tcPr>
            <w:tcW w:w="1027"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092" w:type="dxa"/>
            <w:vMerge w:val="restart"/>
            <w:vAlign w:val="center"/>
          </w:tcPr>
          <w:p>
            <w:pPr>
              <w:pStyle w:val="52"/>
              <w:rPr>
                <w:rFonts w:hint="default" w:eastAsia="宋体"/>
                <w:color w:val="000000" w:themeColor="text1"/>
                <w:highlight w:val="none"/>
                <w:lang w:val="en-US" w:eastAsia="zh-CN"/>
                <w14:textFill>
                  <w14:solidFill>
                    <w14:schemeClr w14:val="tx1"/>
                  </w14:solidFill>
                </w14:textFill>
              </w:rPr>
            </w:pPr>
            <w:r>
              <w:rPr>
                <w:color w:val="000000" w:themeColor="text1"/>
                <w:highlight w:val="none"/>
                <w14:textFill>
                  <w14:solidFill>
                    <w14:schemeClr w14:val="tx1"/>
                  </w14:solidFill>
                </w14:textFill>
              </w:rPr>
              <w:t>宁</w:t>
            </w:r>
            <w:r>
              <w:rPr>
                <w:rFonts w:hint="eastAsia"/>
                <w:color w:val="000000" w:themeColor="text1"/>
                <w:highlight w:val="none"/>
                <w:lang w:val="en-US" w:eastAsia="zh-CN"/>
                <w14:textFill>
                  <w14:solidFill>
                    <w14:schemeClr w14:val="tx1"/>
                  </w14:solidFill>
                </w14:textFill>
              </w:rPr>
              <w:t>中镇、永和镇</w:t>
            </w:r>
          </w:p>
        </w:tc>
        <w:tc>
          <w:tcPr>
            <w:tcW w:w="1180"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和山岩水库饮用水源保护区</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和山岩水库正常水位线以下的全部水域。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和山岩水库取水口正常水位线以上100米范围内的陆域范围。</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continue"/>
            <w:vAlign w:val="center"/>
          </w:tcPr>
          <w:p>
            <w:pPr>
              <w:pStyle w:val="52"/>
              <w:rPr>
                <w:color w:val="000000" w:themeColor="text1"/>
                <w:highlight w:val="none"/>
                <w14:textFill>
                  <w14:solidFill>
                    <w14:schemeClr w14:val="tx1"/>
                  </w14:solidFill>
                </w14:textFill>
              </w:rPr>
            </w:pPr>
          </w:p>
        </w:tc>
        <w:tc>
          <w:tcPr>
            <w:tcW w:w="905" w:type="dxa"/>
            <w:vMerge w:val="continue"/>
            <w:vAlign w:val="center"/>
          </w:tcPr>
          <w:p>
            <w:pPr>
              <w:pStyle w:val="52"/>
              <w:rPr>
                <w:color w:val="000000" w:themeColor="text1"/>
                <w:highlight w:val="none"/>
                <w14:textFill>
                  <w14:solidFill>
                    <w14:schemeClr w14:val="tx1"/>
                  </w14:solidFill>
                </w14:textFill>
              </w:rPr>
            </w:pPr>
          </w:p>
        </w:tc>
        <w:tc>
          <w:tcPr>
            <w:tcW w:w="1027" w:type="dxa"/>
            <w:vMerge w:val="continue"/>
            <w:vAlign w:val="center"/>
          </w:tcPr>
          <w:p>
            <w:pPr>
              <w:pStyle w:val="52"/>
              <w:rPr>
                <w:color w:val="000000" w:themeColor="text1"/>
                <w:highlight w:val="none"/>
                <w14:textFill>
                  <w14:solidFill>
                    <w14:schemeClr w14:val="tx1"/>
                  </w14:solidFill>
                </w14:textFill>
              </w:rPr>
            </w:pPr>
          </w:p>
        </w:tc>
        <w:tc>
          <w:tcPr>
            <w:tcW w:w="1092" w:type="dxa"/>
            <w:vMerge w:val="continue"/>
            <w:vAlign w:val="center"/>
          </w:tcPr>
          <w:p>
            <w:pPr>
              <w:pStyle w:val="52"/>
              <w:rPr>
                <w:color w:val="000000" w:themeColor="text1"/>
                <w:highlight w:val="none"/>
                <w14:textFill>
                  <w14:solidFill>
                    <w14:schemeClr w14:val="tx1"/>
                  </w14:solidFill>
                </w14:textFill>
              </w:rPr>
            </w:pPr>
          </w:p>
        </w:tc>
        <w:tc>
          <w:tcPr>
            <w:tcW w:w="1180" w:type="dxa"/>
            <w:vMerge w:val="continue"/>
            <w:vAlign w:val="center"/>
          </w:tcPr>
          <w:p>
            <w:pPr>
              <w:pStyle w:val="52"/>
              <w:rPr>
                <w:color w:val="000000" w:themeColor="text1"/>
                <w:highlight w:val="none"/>
                <w14:textFill>
                  <w14:solidFill>
                    <w14:schemeClr w14:val="tx1"/>
                  </w14:solidFill>
                </w14:textFill>
              </w:rPr>
            </w:pP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Ⅲ</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整个流域（一级保护区陆域外区域）。</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w:t>
            </w:r>
          </w:p>
        </w:tc>
        <w:tc>
          <w:tcPr>
            <w:tcW w:w="905"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梅州市</w:t>
            </w:r>
          </w:p>
        </w:tc>
        <w:tc>
          <w:tcPr>
            <w:tcW w:w="1027"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092"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黄槐镇</w:t>
            </w:r>
          </w:p>
        </w:tc>
        <w:tc>
          <w:tcPr>
            <w:tcW w:w="1180"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黄溪村班基坪水库饮用水源保护区</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黄溪村班基坪水库正常水位线以下的全部水域。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黄溪村班基坪水库取水口正常水位线以上陆域200米的陆域范围或至流域分水岭。</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continue"/>
            <w:vAlign w:val="center"/>
          </w:tcPr>
          <w:p>
            <w:pPr>
              <w:pStyle w:val="52"/>
              <w:rPr>
                <w:color w:val="000000" w:themeColor="text1"/>
                <w:highlight w:val="none"/>
                <w14:textFill>
                  <w14:solidFill>
                    <w14:schemeClr w14:val="tx1"/>
                  </w14:solidFill>
                </w14:textFill>
              </w:rPr>
            </w:pPr>
          </w:p>
        </w:tc>
        <w:tc>
          <w:tcPr>
            <w:tcW w:w="905" w:type="dxa"/>
            <w:vMerge w:val="continue"/>
            <w:vAlign w:val="center"/>
          </w:tcPr>
          <w:p>
            <w:pPr>
              <w:pStyle w:val="52"/>
              <w:rPr>
                <w:color w:val="000000" w:themeColor="text1"/>
                <w:highlight w:val="none"/>
                <w14:textFill>
                  <w14:solidFill>
                    <w14:schemeClr w14:val="tx1"/>
                  </w14:solidFill>
                </w14:textFill>
              </w:rPr>
            </w:pPr>
          </w:p>
        </w:tc>
        <w:tc>
          <w:tcPr>
            <w:tcW w:w="1027" w:type="dxa"/>
            <w:vMerge w:val="continue"/>
            <w:vAlign w:val="center"/>
          </w:tcPr>
          <w:p>
            <w:pPr>
              <w:pStyle w:val="52"/>
              <w:rPr>
                <w:color w:val="000000" w:themeColor="text1"/>
                <w:highlight w:val="none"/>
                <w14:textFill>
                  <w14:solidFill>
                    <w14:schemeClr w14:val="tx1"/>
                  </w14:solidFill>
                </w14:textFill>
              </w:rPr>
            </w:pPr>
          </w:p>
        </w:tc>
        <w:tc>
          <w:tcPr>
            <w:tcW w:w="1092" w:type="dxa"/>
            <w:vMerge w:val="continue"/>
            <w:vAlign w:val="center"/>
          </w:tcPr>
          <w:p>
            <w:pPr>
              <w:pStyle w:val="52"/>
              <w:rPr>
                <w:color w:val="000000" w:themeColor="text1"/>
                <w:highlight w:val="none"/>
                <w14:textFill>
                  <w14:solidFill>
                    <w14:schemeClr w14:val="tx1"/>
                  </w14:solidFill>
                </w14:textFill>
              </w:rPr>
            </w:pPr>
          </w:p>
        </w:tc>
        <w:tc>
          <w:tcPr>
            <w:tcW w:w="1180" w:type="dxa"/>
            <w:vMerge w:val="continue"/>
            <w:vAlign w:val="center"/>
          </w:tcPr>
          <w:p>
            <w:pPr>
              <w:pStyle w:val="52"/>
              <w:rPr>
                <w:color w:val="000000" w:themeColor="text1"/>
                <w:highlight w:val="none"/>
                <w14:textFill>
                  <w14:solidFill>
                    <w14:schemeClr w14:val="tx1"/>
                  </w14:solidFill>
                </w14:textFill>
              </w:rPr>
            </w:pP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二级保护区</w:t>
            </w:r>
          </w:p>
        </w:tc>
        <w:tc>
          <w:tcPr>
            <w:tcW w:w="97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黄溪村班基坪水库一级保护区外陆域范围外至白沙溪。</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w:t>
            </w:r>
          </w:p>
        </w:tc>
        <w:tc>
          <w:tcPr>
            <w:tcW w:w="905"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梅州市</w:t>
            </w:r>
          </w:p>
        </w:tc>
        <w:tc>
          <w:tcPr>
            <w:tcW w:w="1027"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092"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宁中镇</w:t>
            </w:r>
          </w:p>
        </w:tc>
        <w:tc>
          <w:tcPr>
            <w:tcW w:w="1180"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建民村建新水库饮用水源保护区</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建民村建新水库正常水位线以下的全部水域。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建民村建新水库取水口正常水位线以上200米的陆域范围。</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continue"/>
            <w:vAlign w:val="center"/>
          </w:tcPr>
          <w:p>
            <w:pPr>
              <w:pStyle w:val="52"/>
              <w:rPr>
                <w:color w:val="000000" w:themeColor="text1"/>
                <w:highlight w:val="none"/>
                <w14:textFill>
                  <w14:solidFill>
                    <w14:schemeClr w14:val="tx1"/>
                  </w14:solidFill>
                </w14:textFill>
              </w:rPr>
            </w:pPr>
          </w:p>
        </w:tc>
        <w:tc>
          <w:tcPr>
            <w:tcW w:w="905" w:type="dxa"/>
            <w:vMerge w:val="continue"/>
            <w:vAlign w:val="center"/>
          </w:tcPr>
          <w:p>
            <w:pPr>
              <w:pStyle w:val="52"/>
              <w:rPr>
                <w:color w:val="000000" w:themeColor="text1"/>
                <w:highlight w:val="none"/>
                <w14:textFill>
                  <w14:solidFill>
                    <w14:schemeClr w14:val="tx1"/>
                  </w14:solidFill>
                </w14:textFill>
              </w:rPr>
            </w:pPr>
          </w:p>
        </w:tc>
        <w:tc>
          <w:tcPr>
            <w:tcW w:w="1027" w:type="dxa"/>
            <w:vMerge w:val="continue"/>
            <w:vAlign w:val="center"/>
          </w:tcPr>
          <w:p>
            <w:pPr>
              <w:pStyle w:val="52"/>
              <w:rPr>
                <w:color w:val="000000" w:themeColor="text1"/>
                <w:highlight w:val="none"/>
                <w14:textFill>
                  <w14:solidFill>
                    <w14:schemeClr w14:val="tx1"/>
                  </w14:solidFill>
                </w14:textFill>
              </w:rPr>
            </w:pPr>
          </w:p>
        </w:tc>
        <w:tc>
          <w:tcPr>
            <w:tcW w:w="1092" w:type="dxa"/>
            <w:vMerge w:val="continue"/>
            <w:vAlign w:val="center"/>
          </w:tcPr>
          <w:p>
            <w:pPr>
              <w:pStyle w:val="52"/>
              <w:rPr>
                <w:color w:val="000000" w:themeColor="text1"/>
                <w:highlight w:val="none"/>
                <w14:textFill>
                  <w14:solidFill>
                    <w14:schemeClr w14:val="tx1"/>
                  </w14:solidFill>
                </w14:textFill>
              </w:rPr>
            </w:pPr>
          </w:p>
        </w:tc>
        <w:tc>
          <w:tcPr>
            <w:tcW w:w="1180" w:type="dxa"/>
            <w:vMerge w:val="continue"/>
            <w:vAlign w:val="center"/>
          </w:tcPr>
          <w:p>
            <w:pPr>
              <w:pStyle w:val="52"/>
              <w:rPr>
                <w:color w:val="000000" w:themeColor="text1"/>
                <w:highlight w:val="none"/>
                <w14:textFill>
                  <w14:solidFill>
                    <w14:schemeClr w14:val="tx1"/>
                  </w14:solidFill>
                </w14:textFill>
              </w:rPr>
            </w:pP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二级保护区</w:t>
            </w:r>
          </w:p>
        </w:tc>
        <w:tc>
          <w:tcPr>
            <w:tcW w:w="97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整个流域（一级保护区陆域外区域）。</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w:t>
            </w:r>
          </w:p>
        </w:tc>
        <w:tc>
          <w:tcPr>
            <w:tcW w:w="905"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梅州市</w:t>
            </w:r>
          </w:p>
        </w:tc>
        <w:tc>
          <w:tcPr>
            <w:tcW w:w="1027"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092"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黄陂镇</w:t>
            </w:r>
          </w:p>
        </w:tc>
        <w:tc>
          <w:tcPr>
            <w:tcW w:w="1180"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后山村石崆里山塘饮用水源保护区</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后山村石崆里山塘正常水位线以下的全部水域。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后山村石崆里山塘正常取水口水位线以上50米至流域分水岭陆域范围。</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continue"/>
            <w:vAlign w:val="center"/>
          </w:tcPr>
          <w:p>
            <w:pPr>
              <w:pStyle w:val="52"/>
              <w:rPr>
                <w:color w:val="000000" w:themeColor="text1"/>
                <w:highlight w:val="none"/>
                <w14:textFill>
                  <w14:solidFill>
                    <w14:schemeClr w14:val="tx1"/>
                  </w14:solidFill>
                </w14:textFill>
              </w:rPr>
            </w:pPr>
          </w:p>
        </w:tc>
        <w:tc>
          <w:tcPr>
            <w:tcW w:w="905" w:type="dxa"/>
            <w:vMerge w:val="continue"/>
            <w:vAlign w:val="center"/>
          </w:tcPr>
          <w:p>
            <w:pPr>
              <w:pStyle w:val="52"/>
              <w:rPr>
                <w:color w:val="000000" w:themeColor="text1"/>
                <w:highlight w:val="none"/>
                <w14:textFill>
                  <w14:solidFill>
                    <w14:schemeClr w14:val="tx1"/>
                  </w14:solidFill>
                </w14:textFill>
              </w:rPr>
            </w:pPr>
          </w:p>
        </w:tc>
        <w:tc>
          <w:tcPr>
            <w:tcW w:w="1027" w:type="dxa"/>
            <w:vMerge w:val="continue"/>
            <w:vAlign w:val="center"/>
          </w:tcPr>
          <w:p>
            <w:pPr>
              <w:pStyle w:val="52"/>
              <w:rPr>
                <w:color w:val="000000" w:themeColor="text1"/>
                <w:highlight w:val="none"/>
                <w14:textFill>
                  <w14:solidFill>
                    <w14:schemeClr w14:val="tx1"/>
                  </w14:solidFill>
                </w14:textFill>
              </w:rPr>
            </w:pPr>
          </w:p>
        </w:tc>
        <w:tc>
          <w:tcPr>
            <w:tcW w:w="1092" w:type="dxa"/>
            <w:vMerge w:val="continue"/>
            <w:vAlign w:val="center"/>
          </w:tcPr>
          <w:p>
            <w:pPr>
              <w:pStyle w:val="52"/>
              <w:rPr>
                <w:color w:val="000000" w:themeColor="text1"/>
                <w:highlight w:val="none"/>
                <w14:textFill>
                  <w14:solidFill>
                    <w14:schemeClr w14:val="tx1"/>
                  </w14:solidFill>
                </w14:textFill>
              </w:rPr>
            </w:pPr>
          </w:p>
        </w:tc>
        <w:tc>
          <w:tcPr>
            <w:tcW w:w="1180" w:type="dxa"/>
            <w:vMerge w:val="continue"/>
            <w:vAlign w:val="center"/>
          </w:tcPr>
          <w:p>
            <w:pPr>
              <w:pStyle w:val="52"/>
              <w:rPr>
                <w:color w:val="000000" w:themeColor="text1"/>
                <w:highlight w:val="none"/>
                <w14:textFill>
                  <w14:solidFill>
                    <w14:schemeClr w14:val="tx1"/>
                  </w14:solidFill>
                </w14:textFill>
              </w:rPr>
            </w:pP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整个流域（一级保护区陆域外区域）。</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w:t>
            </w:r>
          </w:p>
        </w:tc>
        <w:tc>
          <w:tcPr>
            <w:tcW w:w="905"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梅州市</w:t>
            </w:r>
          </w:p>
        </w:tc>
        <w:tc>
          <w:tcPr>
            <w:tcW w:w="1027"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092"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合水镇</w:t>
            </w:r>
          </w:p>
        </w:tc>
        <w:tc>
          <w:tcPr>
            <w:tcW w:w="1180"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洋田村炉背坑饮用水源保护区</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正常水位线的全部水域。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洋田村炉背坑水库取水口正常水位线以上200米的陆域范围。</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continue"/>
            <w:vAlign w:val="center"/>
          </w:tcPr>
          <w:p>
            <w:pPr>
              <w:pStyle w:val="52"/>
              <w:rPr>
                <w:color w:val="000000" w:themeColor="text1"/>
                <w:highlight w:val="none"/>
                <w14:textFill>
                  <w14:solidFill>
                    <w14:schemeClr w14:val="tx1"/>
                  </w14:solidFill>
                </w14:textFill>
              </w:rPr>
            </w:pPr>
          </w:p>
        </w:tc>
        <w:tc>
          <w:tcPr>
            <w:tcW w:w="905" w:type="dxa"/>
            <w:vMerge w:val="continue"/>
            <w:vAlign w:val="center"/>
          </w:tcPr>
          <w:p>
            <w:pPr>
              <w:pStyle w:val="52"/>
              <w:rPr>
                <w:color w:val="000000" w:themeColor="text1"/>
                <w:highlight w:val="none"/>
                <w14:textFill>
                  <w14:solidFill>
                    <w14:schemeClr w14:val="tx1"/>
                  </w14:solidFill>
                </w14:textFill>
              </w:rPr>
            </w:pPr>
          </w:p>
        </w:tc>
        <w:tc>
          <w:tcPr>
            <w:tcW w:w="1027" w:type="dxa"/>
            <w:vMerge w:val="continue"/>
            <w:vAlign w:val="center"/>
          </w:tcPr>
          <w:p>
            <w:pPr>
              <w:pStyle w:val="52"/>
              <w:rPr>
                <w:color w:val="000000" w:themeColor="text1"/>
                <w:highlight w:val="none"/>
                <w14:textFill>
                  <w14:solidFill>
                    <w14:schemeClr w14:val="tx1"/>
                  </w14:solidFill>
                </w14:textFill>
              </w:rPr>
            </w:pPr>
          </w:p>
        </w:tc>
        <w:tc>
          <w:tcPr>
            <w:tcW w:w="1092" w:type="dxa"/>
            <w:vMerge w:val="continue"/>
            <w:vAlign w:val="center"/>
          </w:tcPr>
          <w:p>
            <w:pPr>
              <w:pStyle w:val="52"/>
              <w:rPr>
                <w:color w:val="000000" w:themeColor="text1"/>
                <w:highlight w:val="none"/>
                <w14:textFill>
                  <w14:solidFill>
                    <w14:schemeClr w14:val="tx1"/>
                  </w14:solidFill>
                </w14:textFill>
              </w:rPr>
            </w:pPr>
          </w:p>
        </w:tc>
        <w:tc>
          <w:tcPr>
            <w:tcW w:w="1180" w:type="dxa"/>
            <w:vMerge w:val="continue"/>
            <w:vAlign w:val="center"/>
          </w:tcPr>
          <w:p>
            <w:pPr>
              <w:pStyle w:val="52"/>
              <w:rPr>
                <w:color w:val="000000" w:themeColor="text1"/>
                <w:highlight w:val="none"/>
                <w14:textFill>
                  <w14:solidFill>
                    <w14:schemeClr w14:val="tx1"/>
                  </w14:solidFill>
                </w14:textFill>
              </w:rPr>
            </w:pP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Ⅲ</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一级保护区边界外水域。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整个流域（一级保护区陆域外区域）。</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6</w:t>
            </w:r>
          </w:p>
        </w:tc>
        <w:tc>
          <w:tcPr>
            <w:tcW w:w="905"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梅州市</w:t>
            </w:r>
          </w:p>
        </w:tc>
        <w:tc>
          <w:tcPr>
            <w:tcW w:w="1027"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092"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宁中镇</w:t>
            </w:r>
          </w:p>
        </w:tc>
        <w:tc>
          <w:tcPr>
            <w:tcW w:w="1180"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龙岗村老虎石水库饮用水源保护区</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龙岗村老虎石水库正常水位线以下的全部水域。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龙岗村老虎石水库取水口正常水位线以上200米的陆域范围。</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continue"/>
            <w:vAlign w:val="center"/>
          </w:tcPr>
          <w:p>
            <w:pPr>
              <w:pStyle w:val="52"/>
              <w:rPr>
                <w:color w:val="000000" w:themeColor="text1"/>
                <w:highlight w:val="none"/>
                <w14:textFill>
                  <w14:solidFill>
                    <w14:schemeClr w14:val="tx1"/>
                  </w14:solidFill>
                </w14:textFill>
              </w:rPr>
            </w:pPr>
          </w:p>
        </w:tc>
        <w:tc>
          <w:tcPr>
            <w:tcW w:w="905" w:type="dxa"/>
            <w:vMerge w:val="continue"/>
            <w:vAlign w:val="center"/>
          </w:tcPr>
          <w:p>
            <w:pPr>
              <w:pStyle w:val="52"/>
              <w:rPr>
                <w:color w:val="000000" w:themeColor="text1"/>
                <w:highlight w:val="none"/>
                <w14:textFill>
                  <w14:solidFill>
                    <w14:schemeClr w14:val="tx1"/>
                  </w14:solidFill>
                </w14:textFill>
              </w:rPr>
            </w:pPr>
          </w:p>
        </w:tc>
        <w:tc>
          <w:tcPr>
            <w:tcW w:w="1027" w:type="dxa"/>
            <w:vMerge w:val="continue"/>
            <w:vAlign w:val="center"/>
          </w:tcPr>
          <w:p>
            <w:pPr>
              <w:pStyle w:val="52"/>
              <w:rPr>
                <w:color w:val="000000" w:themeColor="text1"/>
                <w:highlight w:val="none"/>
                <w14:textFill>
                  <w14:solidFill>
                    <w14:schemeClr w14:val="tx1"/>
                  </w14:solidFill>
                </w14:textFill>
              </w:rPr>
            </w:pPr>
          </w:p>
        </w:tc>
        <w:tc>
          <w:tcPr>
            <w:tcW w:w="1092" w:type="dxa"/>
            <w:vMerge w:val="continue"/>
            <w:vAlign w:val="center"/>
          </w:tcPr>
          <w:p>
            <w:pPr>
              <w:pStyle w:val="52"/>
              <w:rPr>
                <w:color w:val="000000" w:themeColor="text1"/>
                <w:highlight w:val="none"/>
                <w14:textFill>
                  <w14:solidFill>
                    <w14:schemeClr w14:val="tx1"/>
                  </w14:solidFill>
                </w14:textFill>
              </w:rPr>
            </w:pPr>
          </w:p>
        </w:tc>
        <w:tc>
          <w:tcPr>
            <w:tcW w:w="1180" w:type="dxa"/>
            <w:vMerge w:val="continue"/>
            <w:vAlign w:val="center"/>
          </w:tcPr>
          <w:p>
            <w:pPr>
              <w:pStyle w:val="52"/>
              <w:rPr>
                <w:color w:val="000000" w:themeColor="text1"/>
                <w:highlight w:val="none"/>
                <w14:textFill>
                  <w14:solidFill>
                    <w14:schemeClr w14:val="tx1"/>
                  </w14:solidFill>
                </w14:textFill>
              </w:rPr>
            </w:pP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二级保护区</w:t>
            </w:r>
          </w:p>
        </w:tc>
        <w:tc>
          <w:tcPr>
            <w:tcW w:w="97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整个流域（一级保护区陆域外区域）。</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7</w:t>
            </w:r>
          </w:p>
        </w:tc>
        <w:tc>
          <w:tcPr>
            <w:tcW w:w="905"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梅州市</w:t>
            </w:r>
          </w:p>
        </w:tc>
        <w:tc>
          <w:tcPr>
            <w:tcW w:w="1027"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092"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罗岗镇</w:t>
            </w:r>
          </w:p>
        </w:tc>
        <w:tc>
          <w:tcPr>
            <w:tcW w:w="1180"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溪庄村热水水库饮用水源保护区</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溪庄村热水水库正常水位线以下的全部水域。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溪庄村热水水库取水口正常水位线以上200米的陆域范围。</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continue"/>
            <w:vAlign w:val="center"/>
          </w:tcPr>
          <w:p>
            <w:pPr>
              <w:pStyle w:val="52"/>
              <w:rPr>
                <w:color w:val="000000" w:themeColor="text1"/>
                <w:highlight w:val="none"/>
                <w14:textFill>
                  <w14:solidFill>
                    <w14:schemeClr w14:val="tx1"/>
                  </w14:solidFill>
                </w14:textFill>
              </w:rPr>
            </w:pPr>
          </w:p>
        </w:tc>
        <w:tc>
          <w:tcPr>
            <w:tcW w:w="905" w:type="dxa"/>
            <w:vMerge w:val="continue"/>
            <w:vAlign w:val="center"/>
          </w:tcPr>
          <w:p>
            <w:pPr>
              <w:pStyle w:val="52"/>
              <w:rPr>
                <w:color w:val="000000" w:themeColor="text1"/>
                <w:highlight w:val="none"/>
                <w14:textFill>
                  <w14:solidFill>
                    <w14:schemeClr w14:val="tx1"/>
                  </w14:solidFill>
                </w14:textFill>
              </w:rPr>
            </w:pPr>
          </w:p>
        </w:tc>
        <w:tc>
          <w:tcPr>
            <w:tcW w:w="1027" w:type="dxa"/>
            <w:vMerge w:val="continue"/>
            <w:vAlign w:val="center"/>
          </w:tcPr>
          <w:p>
            <w:pPr>
              <w:pStyle w:val="52"/>
              <w:rPr>
                <w:color w:val="000000" w:themeColor="text1"/>
                <w:highlight w:val="none"/>
                <w14:textFill>
                  <w14:solidFill>
                    <w14:schemeClr w14:val="tx1"/>
                  </w14:solidFill>
                </w14:textFill>
              </w:rPr>
            </w:pPr>
          </w:p>
        </w:tc>
        <w:tc>
          <w:tcPr>
            <w:tcW w:w="1092" w:type="dxa"/>
            <w:vMerge w:val="continue"/>
            <w:vAlign w:val="center"/>
          </w:tcPr>
          <w:p>
            <w:pPr>
              <w:pStyle w:val="52"/>
              <w:rPr>
                <w:color w:val="000000" w:themeColor="text1"/>
                <w:highlight w:val="none"/>
                <w14:textFill>
                  <w14:solidFill>
                    <w14:schemeClr w14:val="tx1"/>
                  </w14:solidFill>
                </w14:textFill>
              </w:rPr>
            </w:pPr>
          </w:p>
        </w:tc>
        <w:tc>
          <w:tcPr>
            <w:tcW w:w="1180" w:type="dxa"/>
            <w:vMerge w:val="continue"/>
            <w:vAlign w:val="center"/>
          </w:tcPr>
          <w:p>
            <w:pPr>
              <w:pStyle w:val="52"/>
              <w:rPr>
                <w:color w:val="000000" w:themeColor="text1"/>
                <w:highlight w:val="none"/>
                <w14:textFill>
                  <w14:solidFill>
                    <w14:schemeClr w14:val="tx1"/>
                  </w14:solidFill>
                </w14:textFill>
              </w:rPr>
            </w:pP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二级保护区</w:t>
            </w:r>
          </w:p>
        </w:tc>
        <w:tc>
          <w:tcPr>
            <w:tcW w:w="97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整个流域（一级保护区陆域外区域）。</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8</w:t>
            </w:r>
          </w:p>
        </w:tc>
        <w:tc>
          <w:tcPr>
            <w:tcW w:w="905"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梅州市</w:t>
            </w:r>
          </w:p>
        </w:tc>
        <w:tc>
          <w:tcPr>
            <w:tcW w:w="1027"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092"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大坪镇</w:t>
            </w:r>
          </w:p>
        </w:tc>
        <w:tc>
          <w:tcPr>
            <w:tcW w:w="1180"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兰塘村钳口陂水库饮用水源保护区</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兰塘村钳口陂水库正常水位线以下的全部水域。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兰塘村钳口陂水库取水口正常水位线以上200米的陆域范围。</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continue"/>
            <w:vAlign w:val="center"/>
          </w:tcPr>
          <w:p>
            <w:pPr>
              <w:pStyle w:val="52"/>
              <w:rPr>
                <w:color w:val="000000" w:themeColor="text1"/>
                <w:highlight w:val="none"/>
                <w14:textFill>
                  <w14:solidFill>
                    <w14:schemeClr w14:val="tx1"/>
                  </w14:solidFill>
                </w14:textFill>
              </w:rPr>
            </w:pPr>
          </w:p>
        </w:tc>
        <w:tc>
          <w:tcPr>
            <w:tcW w:w="905" w:type="dxa"/>
            <w:vMerge w:val="continue"/>
            <w:vAlign w:val="center"/>
          </w:tcPr>
          <w:p>
            <w:pPr>
              <w:pStyle w:val="52"/>
              <w:rPr>
                <w:color w:val="000000" w:themeColor="text1"/>
                <w:highlight w:val="none"/>
                <w14:textFill>
                  <w14:solidFill>
                    <w14:schemeClr w14:val="tx1"/>
                  </w14:solidFill>
                </w14:textFill>
              </w:rPr>
            </w:pPr>
          </w:p>
        </w:tc>
        <w:tc>
          <w:tcPr>
            <w:tcW w:w="1027" w:type="dxa"/>
            <w:vMerge w:val="continue"/>
            <w:vAlign w:val="center"/>
          </w:tcPr>
          <w:p>
            <w:pPr>
              <w:pStyle w:val="52"/>
              <w:rPr>
                <w:color w:val="000000" w:themeColor="text1"/>
                <w:highlight w:val="none"/>
                <w14:textFill>
                  <w14:solidFill>
                    <w14:schemeClr w14:val="tx1"/>
                  </w14:solidFill>
                </w14:textFill>
              </w:rPr>
            </w:pPr>
          </w:p>
        </w:tc>
        <w:tc>
          <w:tcPr>
            <w:tcW w:w="1092" w:type="dxa"/>
            <w:vMerge w:val="continue"/>
            <w:vAlign w:val="center"/>
          </w:tcPr>
          <w:p>
            <w:pPr>
              <w:pStyle w:val="52"/>
              <w:rPr>
                <w:color w:val="000000" w:themeColor="text1"/>
                <w:highlight w:val="none"/>
                <w14:textFill>
                  <w14:solidFill>
                    <w14:schemeClr w14:val="tx1"/>
                  </w14:solidFill>
                </w14:textFill>
              </w:rPr>
            </w:pPr>
          </w:p>
        </w:tc>
        <w:tc>
          <w:tcPr>
            <w:tcW w:w="1180" w:type="dxa"/>
            <w:vMerge w:val="continue"/>
            <w:vAlign w:val="center"/>
          </w:tcPr>
          <w:p>
            <w:pPr>
              <w:pStyle w:val="52"/>
              <w:rPr>
                <w:color w:val="000000" w:themeColor="text1"/>
                <w:highlight w:val="none"/>
                <w14:textFill>
                  <w14:solidFill>
                    <w14:schemeClr w14:val="tx1"/>
                  </w14:solidFill>
                </w14:textFill>
              </w:rPr>
            </w:pP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二级保护区</w:t>
            </w:r>
          </w:p>
        </w:tc>
        <w:tc>
          <w:tcPr>
            <w:tcW w:w="97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整个流域（一级保护区陆域外区域）。</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9</w:t>
            </w:r>
          </w:p>
        </w:tc>
        <w:tc>
          <w:tcPr>
            <w:tcW w:w="905"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梅州市</w:t>
            </w:r>
          </w:p>
        </w:tc>
        <w:tc>
          <w:tcPr>
            <w:tcW w:w="1027"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092"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叶塘镇</w:t>
            </w:r>
          </w:p>
        </w:tc>
        <w:tc>
          <w:tcPr>
            <w:tcW w:w="1180"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苏京村九莱口水库饮用水源保护区</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苏京村九莱口水库正常水位线以下的全部水域。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苏京村九莱口水库取水口正常水位线以上200米的陆域范围。</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continue"/>
            <w:vAlign w:val="center"/>
          </w:tcPr>
          <w:p>
            <w:pPr>
              <w:pStyle w:val="52"/>
              <w:rPr>
                <w:color w:val="000000" w:themeColor="text1"/>
                <w:highlight w:val="none"/>
                <w14:textFill>
                  <w14:solidFill>
                    <w14:schemeClr w14:val="tx1"/>
                  </w14:solidFill>
                </w14:textFill>
              </w:rPr>
            </w:pPr>
          </w:p>
        </w:tc>
        <w:tc>
          <w:tcPr>
            <w:tcW w:w="905" w:type="dxa"/>
            <w:vMerge w:val="continue"/>
            <w:vAlign w:val="center"/>
          </w:tcPr>
          <w:p>
            <w:pPr>
              <w:pStyle w:val="52"/>
              <w:rPr>
                <w:color w:val="000000" w:themeColor="text1"/>
                <w:highlight w:val="none"/>
                <w14:textFill>
                  <w14:solidFill>
                    <w14:schemeClr w14:val="tx1"/>
                  </w14:solidFill>
                </w14:textFill>
              </w:rPr>
            </w:pPr>
          </w:p>
        </w:tc>
        <w:tc>
          <w:tcPr>
            <w:tcW w:w="1027" w:type="dxa"/>
            <w:vMerge w:val="continue"/>
            <w:vAlign w:val="center"/>
          </w:tcPr>
          <w:p>
            <w:pPr>
              <w:pStyle w:val="52"/>
              <w:rPr>
                <w:color w:val="000000" w:themeColor="text1"/>
                <w:highlight w:val="none"/>
                <w14:textFill>
                  <w14:solidFill>
                    <w14:schemeClr w14:val="tx1"/>
                  </w14:solidFill>
                </w14:textFill>
              </w:rPr>
            </w:pPr>
          </w:p>
        </w:tc>
        <w:tc>
          <w:tcPr>
            <w:tcW w:w="1092" w:type="dxa"/>
            <w:vMerge w:val="continue"/>
            <w:vAlign w:val="center"/>
          </w:tcPr>
          <w:p>
            <w:pPr>
              <w:pStyle w:val="52"/>
              <w:rPr>
                <w:color w:val="000000" w:themeColor="text1"/>
                <w:highlight w:val="none"/>
                <w14:textFill>
                  <w14:solidFill>
                    <w14:schemeClr w14:val="tx1"/>
                  </w14:solidFill>
                </w14:textFill>
              </w:rPr>
            </w:pPr>
          </w:p>
        </w:tc>
        <w:tc>
          <w:tcPr>
            <w:tcW w:w="1180" w:type="dxa"/>
            <w:vMerge w:val="continue"/>
            <w:vAlign w:val="center"/>
          </w:tcPr>
          <w:p>
            <w:pPr>
              <w:pStyle w:val="52"/>
              <w:rPr>
                <w:color w:val="000000" w:themeColor="text1"/>
                <w:highlight w:val="none"/>
                <w14:textFill>
                  <w14:solidFill>
                    <w14:schemeClr w14:val="tx1"/>
                  </w14:solidFill>
                </w14:textFill>
              </w:rPr>
            </w:pP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Ⅲ</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一级保护区边界外水域。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整个流域（一级保护区陆域外区域）。</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10</w:t>
            </w:r>
          </w:p>
        </w:tc>
        <w:tc>
          <w:tcPr>
            <w:tcW w:w="905"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梅州市</w:t>
            </w:r>
          </w:p>
        </w:tc>
        <w:tc>
          <w:tcPr>
            <w:tcW w:w="1027"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092"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坭陂镇</w:t>
            </w:r>
          </w:p>
        </w:tc>
        <w:tc>
          <w:tcPr>
            <w:tcW w:w="1180"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汤一村红湖水库饮用水源保护区</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汤一村红湖水库正常水位线以下的全部水域。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汤一村红湖水库取水口正常水位线以上200米的陆域范围。</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continue"/>
            <w:vAlign w:val="center"/>
          </w:tcPr>
          <w:p>
            <w:pPr>
              <w:pStyle w:val="52"/>
              <w:rPr>
                <w:color w:val="000000" w:themeColor="text1"/>
                <w:highlight w:val="none"/>
                <w14:textFill>
                  <w14:solidFill>
                    <w14:schemeClr w14:val="tx1"/>
                  </w14:solidFill>
                </w14:textFill>
              </w:rPr>
            </w:pPr>
          </w:p>
        </w:tc>
        <w:tc>
          <w:tcPr>
            <w:tcW w:w="905" w:type="dxa"/>
            <w:vMerge w:val="continue"/>
            <w:vAlign w:val="center"/>
          </w:tcPr>
          <w:p>
            <w:pPr>
              <w:pStyle w:val="52"/>
              <w:rPr>
                <w:color w:val="000000" w:themeColor="text1"/>
                <w:highlight w:val="none"/>
                <w14:textFill>
                  <w14:solidFill>
                    <w14:schemeClr w14:val="tx1"/>
                  </w14:solidFill>
                </w14:textFill>
              </w:rPr>
            </w:pPr>
          </w:p>
        </w:tc>
        <w:tc>
          <w:tcPr>
            <w:tcW w:w="1027" w:type="dxa"/>
            <w:vMerge w:val="continue"/>
            <w:vAlign w:val="center"/>
          </w:tcPr>
          <w:p>
            <w:pPr>
              <w:pStyle w:val="52"/>
              <w:rPr>
                <w:color w:val="000000" w:themeColor="text1"/>
                <w:highlight w:val="none"/>
                <w14:textFill>
                  <w14:solidFill>
                    <w14:schemeClr w14:val="tx1"/>
                  </w14:solidFill>
                </w14:textFill>
              </w:rPr>
            </w:pPr>
          </w:p>
        </w:tc>
        <w:tc>
          <w:tcPr>
            <w:tcW w:w="1092" w:type="dxa"/>
            <w:vMerge w:val="continue"/>
            <w:vAlign w:val="center"/>
          </w:tcPr>
          <w:p>
            <w:pPr>
              <w:pStyle w:val="52"/>
              <w:rPr>
                <w:color w:val="000000" w:themeColor="text1"/>
                <w:highlight w:val="none"/>
                <w14:textFill>
                  <w14:solidFill>
                    <w14:schemeClr w14:val="tx1"/>
                  </w14:solidFill>
                </w14:textFill>
              </w:rPr>
            </w:pPr>
          </w:p>
        </w:tc>
        <w:tc>
          <w:tcPr>
            <w:tcW w:w="1180" w:type="dxa"/>
            <w:vMerge w:val="continue"/>
            <w:vAlign w:val="center"/>
          </w:tcPr>
          <w:p>
            <w:pPr>
              <w:pStyle w:val="52"/>
              <w:rPr>
                <w:color w:val="000000" w:themeColor="text1"/>
                <w:highlight w:val="none"/>
                <w14:textFill>
                  <w14:solidFill>
                    <w14:schemeClr w14:val="tx1"/>
                  </w14:solidFill>
                </w14:textFill>
              </w:rPr>
            </w:pP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Ⅲ</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一级保护区边界外水域。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整个流域（一级保护区陆域外区域）。</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11</w:t>
            </w:r>
          </w:p>
        </w:tc>
        <w:tc>
          <w:tcPr>
            <w:tcW w:w="905"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梅州市</w:t>
            </w:r>
          </w:p>
        </w:tc>
        <w:tc>
          <w:tcPr>
            <w:tcW w:w="1027"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092"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坭陂镇</w:t>
            </w:r>
          </w:p>
        </w:tc>
        <w:tc>
          <w:tcPr>
            <w:tcW w:w="1180"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大新村九子坑上库饮用水源保护区</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大新村九子坑上库正常水位线以下的全部水域。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大新村九子坑上库取水口正常水位线以上200米的陆域范围或至流域分水岭。</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continue"/>
            <w:vAlign w:val="center"/>
          </w:tcPr>
          <w:p>
            <w:pPr>
              <w:pStyle w:val="52"/>
              <w:rPr>
                <w:color w:val="000000" w:themeColor="text1"/>
                <w:highlight w:val="none"/>
                <w14:textFill>
                  <w14:solidFill>
                    <w14:schemeClr w14:val="tx1"/>
                  </w14:solidFill>
                </w14:textFill>
              </w:rPr>
            </w:pPr>
          </w:p>
        </w:tc>
        <w:tc>
          <w:tcPr>
            <w:tcW w:w="905" w:type="dxa"/>
            <w:vMerge w:val="continue"/>
            <w:vAlign w:val="center"/>
          </w:tcPr>
          <w:p>
            <w:pPr>
              <w:pStyle w:val="52"/>
              <w:rPr>
                <w:color w:val="000000" w:themeColor="text1"/>
                <w:highlight w:val="none"/>
                <w14:textFill>
                  <w14:solidFill>
                    <w14:schemeClr w14:val="tx1"/>
                  </w14:solidFill>
                </w14:textFill>
              </w:rPr>
            </w:pPr>
          </w:p>
        </w:tc>
        <w:tc>
          <w:tcPr>
            <w:tcW w:w="1027" w:type="dxa"/>
            <w:vMerge w:val="continue"/>
            <w:vAlign w:val="center"/>
          </w:tcPr>
          <w:p>
            <w:pPr>
              <w:pStyle w:val="52"/>
              <w:rPr>
                <w:color w:val="000000" w:themeColor="text1"/>
                <w:highlight w:val="none"/>
                <w14:textFill>
                  <w14:solidFill>
                    <w14:schemeClr w14:val="tx1"/>
                  </w14:solidFill>
                </w14:textFill>
              </w:rPr>
            </w:pPr>
          </w:p>
        </w:tc>
        <w:tc>
          <w:tcPr>
            <w:tcW w:w="1092" w:type="dxa"/>
            <w:vMerge w:val="continue"/>
            <w:vAlign w:val="center"/>
          </w:tcPr>
          <w:p>
            <w:pPr>
              <w:pStyle w:val="52"/>
              <w:rPr>
                <w:color w:val="000000" w:themeColor="text1"/>
                <w:highlight w:val="none"/>
                <w14:textFill>
                  <w14:solidFill>
                    <w14:schemeClr w14:val="tx1"/>
                  </w14:solidFill>
                </w14:textFill>
              </w:rPr>
            </w:pPr>
          </w:p>
        </w:tc>
        <w:tc>
          <w:tcPr>
            <w:tcW w:w="1180" w:type="dxa"/>
            <w:vMerge w:val="continue"/>
            <w:vAlign w:val="center"/>
          </w:tcPr>
          <w:p>
            <w:pPr>
              <w:pStyle w:val="52"/>
              <w:rPr>
                <w:color w:val="000000" w:themeColor="text1"/>
                <w:highlight w:val="none"/>
                <w14:textFill>
                  <w14:solidFill>
                    <w14:schemeClr w14:val="tx1"/>
                  </w14:solidFill>
                </w14:textFill>
              </w:rPr>
            </w:pP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二级保护区</w:t>
            </w:r>
          </w:p>
        </w:tc>
        <w:tc>
          <w:tcPr>
            <w:tcW w:w="97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整个流域（一级保护区陆域外区域）。</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12</w:t>
            </w:r>
          </w:p>
        </w:tc>
        <w:tc>
          <w:tcPr>
            <w:tcW w:w="905"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梅州市</w:t>
            </w:r>
          </w:p>
        </w:tc>
        <w:tc>
          <w:tcPr>
            <w:tcW w:w="1027"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092"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新圩镇</w:t>
            </w:r>
          </w:p>
        </w:tc>
        <w:tc>
          <w:tcPr>
            <w:tcW w:w="1180"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新丰村大草坝水库饮用水源保护区</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新丰村大草坝水库正常水位线以下的全部水域。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新丰村大草坝水库取水口正常水位线以上200米的陆域范围。</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continue"/>
            <w:vAlign w:val="center"/>
          </w:tcPr>
          <w:p>
            <w:pPr>
              <w:pStyle w:val="52"/>
              <w:rPr>
                <w:color w:val="000000" w:themeColor="text1"/>
                <w:highlight w:val="none"/>
                <w14:textFill>
                  <w14:solidFill>
                    <w14:schemeClr w14:val="tx1"/>
                  </w14:solidFill>
                </w14:textFill>
              </w:rPr>
            </w:pPr>
          </w:p>
        </w:tc>
        <w:tc>
          <w:tcPr>
            <w:tcW w:w="905" w:type="dxa"/>
            <w:vMerge w:val="continue"/>
            <w:vAlign w:val="center"/>
          </w:tcPr>
          <w:p>
            <w:pPr>
              <w:pStyle w:val="52"/>
              <w:rPr>
                <w:color w:val="000000" w:themeColor="text1"/>
                <w:highlight w:val="none"/>
                <w14:textFill>
                  <w14:solidFill>
                    <w14:schemeClr w14:val="tx1"/>
                  </w14:solidFill>
                </w14:textFill>
              </w:rPr>
            </w:pPr>
          </w:p>
        </w:tc>
        <w:tc>
          <w:tcPr>
            <w:tcW w:w="1027" w:type="dxa"/>
            <w:vMerge w:val="continue"/>
            <w:vAlign w:val="center"/>
          </w:tcPr>
          <w:p>
            <w:pPr>
              <w:pStyle w:val="52"/>
              <w:rPr>
                <w:color w:val="000000" w:themeColor="text1"/>
                <w:highlight w:val="none"/>
                <w14:textFill>
                  <w14:solidFill>
                    <w14:schemeClr w14:val="tx1"/>
                  </w14:solidFill>
                </w14:textFill>
              </w:rPr>
            </w:pPr>
          </w:p>
        </w:tc>
        <w:tc>
          <w:tcPr>
            <w:tcW w:w="1092" w:type="dxa"/>
            <w:vMerge w:val="continue"/>
            <w:vAlign w:val="center"/>
          </w:tcPr>
          <w:p>
            <w:pPr>
              <w:pStyle w:val="52"/>
              <w:rPr>
                <w:color w:val="000000" w:themeColor="text1"/>
                <w:highlight w:val="none"/>
                <w14:textFill>
                  <w14:solidFill>
                    <w14:schemeClr w14:val="tx1"/>
                  </w14:solidFill>
                </w14:textFill>
              </w:rPr>
            </w:pPr>
          </w:p>
        </w:tc>
        <w:tc>
          <w:tcPr>
            <w:tcW w:w="1180" w:type="dxa"/>
            <w:vMerge w:val="continue"/>
            <w:vAlign w:val="center"/>
          </w:tcPr>
          <w:p>
            <w:pPr>
              <w:pStyle w:val="52"/>
              <w:rPr>
                <w:color w:val="000000" w:themeColor="text1"/>
                <w:highlight w:val="none"/>
                <w14:textFill>
                  <w14:solidFill>
                    <w14:schemeClr w14:val="tx1"/>
                  </w14:solidFill>
                </w14:textFill>
              </w:rPr>
            </w:pP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二级保护区</w:t>
            </w:r>
          </w:p>
        </w:tc>
        <w:tc>
          <w:tcPr>
            <w:tcW w:w="97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整个流域（一级保护区陆域外区域）。</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13</w:t>
            </w:r>
          </w:p>
        </w:tc>
        <w:tc>
          <w:tcPr>
            <w:tcW w:w="905"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梅州市</w:t>
            </w:r>
          </w:p>
        </w:tc>
        <w:tc>
          <w:tcPr>
            <w:tcW w:w="1027"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092"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永和镇</w:t>
            </w:r>
          </w:p>
        </w:tc>
        <w:tc>
          <w:tcPr>
            <w:tcW w:w="1180"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林场村童子排山塘饮用水源保护区</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林场村童子排山塘正常水位线以下的全部水域。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林场村童子排山塘取水口正常水位线以上25米陆域范围。</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Merge w:val="continue"/>
            <w:vAlign w:val="center"/>
          </w:tcPr>
          <w:p>
            <w:pPr>
              <w:pStyle w:val="52"/>
              <w:rPr>
                <w:color w:val="000000" w:themeColor="text1"/>
                <w:highlight w:val="none"/>
                <w14:textFill>
                  <w14:solidFill>
                    <w14:schemeClr w14:val="tx1"/>
                  </w14:solidFill>
                </w14:textFill>
              </w:rPr>
            </w:pPr>
          </w:p>
        </w:tc>
        <w:tc>
          <w:tcPr>
            <w:tcW w:w="905" w:type="dxa"/>
            <w:vMerge w:val="continue"/>
            <w:vAlign w:val="center"/>
          </w:tcPr>
          <w:p>
            <w:pPr>
              <w:pStyle w:val="52"/>
              <w:rPr>
                <w:color w:val="000000" w:themeColor="text1"/>
                <w:highlight w:val="none"/>
                <w14:textFill>
                  <w14:solidFill>
                    <w14:schemeClr w14:val="tx1"/>
                  </w14:solidFill>
                </w14:textFill>
              </w:rPr>
            </w:pPr>
          </w:p>
        </w:tc>
        <w:tc>
          <w:tcPr>
            <w:tcW w:w="1027" w:type="dxa"/>
            <w:vMerge w:val="continue"/>
            <w:vAlign w:val="center"/>
          </w:tcPr>
          <w:p>
            <w:pPr>
              <w:pStyle w:val="52"/>
              <w:rPr>
                <w:color w:val="000000" w:themeColor="text1"/>
                <w:highlight w:val="none"/>
                <w14:textFill>
                  <w14:solidFill>
                    <w14:schemeClr w14:val="tx1"/>
                  </w14:solidFill>
                </w14:textFill>
              </w:rPr>
            </w:pPr>
          </w:p>
        </w:tc>
        <w:tc>
          <w:tcPr>
            <w:tcW w:w="1092" w:type="dxa"/>
            <w:vMerge w:val="continue"/>
            <w:vAlign w:val="center"/>
          </w:tcPr>
          <w:p>
            <w:pPr>
              <w:pStyle w:val="52"/>
              <w:rPr>
                <w:color w:val="000000" w:themeColor="text1"/>
                <w:highlight w:val="none"/>
                <w14:textFill>
                  <w14:solidFill>
                    <w14:schemeClr w14:val="tx1"/>
                  </w14:solidFill>
                </w14:textFill>
              </w:rPr>
            </w:pPr>
          </w:p>
        </w:tc>
        <w:tc>
          <w:tcPr>
            <w:tcW w:w="1180" w:type="dxa"/>
            <w:vMerge w:val="continue"/>
            <w:vAlign w:val="center"/>
          </w:tcPr>
          <w:p>
            <w:pPr>
              <w:pStyle w:val="52"/>
              <w:rPr>
                <w:color w:val="000000" w:themeColor="text1"/>
                <w:highlight w:val="none"/>
                <w14:textFill>
                  <w14:solidFill>
                    <w14:schemeClr w14:val="tx1"/>
                  </w14:solidFill>
                </w14:textFill>
              </w:rPr>
            </w:pP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Ⅲ</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一级保护区边界外水域。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整个流域（一级保护区陆域外区域）。</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14</w:t>
            </w:r>
          </w:p>
        </w:tc>
        <w:tc>
          <w:tcPr>
            <w:tcW w:w="90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梅州市</w:t>
            </w:r>
          </w:p>
        </w:tc>
        <w:tc>
          <w:tcPr>
            <w:tcW w:w="1027"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092"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罗浮镇</w:t>
            </w:r>
          </w:p>
        </w:tc>
        <w:tc>
          <w:tcPr>
            <w:tcW w:w="1180"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高坑村罗坑水饮用水源保护区</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水域长度为高坑村罗坑取水拦水坝上游全部水域；水域宽度为5年一遇洪水淹没的区域。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一级保护区水域两岸纵深50米或至第一重山山脊线。</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w:t>
            </w:r>
          </w:p>
        </w:tc>
        <w:tc>
          <w:tcPr>
            <w:tcW w:w="90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梅州市</w:t>
            </w:r>
          </w:p>
        </w:tc>
        <w:tc>
          <w:tcPr>
            <w:tcW w:w="1027"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092"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石马镇</w:t>
            </w:r>
          </w:p>
        </w:tc>
        <w:tc>
          <w:tcPr>
            <w:tcW w:w="1180"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石岌村王正坑水饮用水源保护区</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水域长度为取水口上游全部水域。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一级保护区水域两岸纵深至第一重山山脊线。</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561"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16</w:t>
            </w:r>
          </w:p>
        </w:tc>
        <w:tc>
          <w:tcPr>
            <w:tcW w:w="90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梅州市</w:t>
            </w:r>
          </w:p>
        </w:tc>
        <w:tc>
          <w:tcPr>
            <w:tcW w:w="1027"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092"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径南镇</w:t>
            </w:r>
          </w:p>
        </w:tc>
        <w:tc>
          <w:tcPr>
            <w:tcW w:w="1180"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官亭村旱寨坑饮用水源保护区</w:t>
            </w:r>
          </w:p>
        </w:tc>
        <w:tc>
          <w:tcPr>
            <w:tcW w:w="1289"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975" w:type="dxa"/>
            <w:vAlign w:val="center"/>
          </w:tcPr>
          <w:p>
            <w:pPr>
              <w:pStyle w:val="52"/>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Ⅱ</w:t>
            </w:r>
            <w:r>
              <w:rPr>
                <w:color w:val="000000" w:themeColor="text1"/>
                <w:highlight w:val="none"/>
                <w14:textFill>
                  <w14:solidFill>
                    <w14:schemeClr w14:val="tx1"/>
                  </w14:solidFill>
                </w14:textFill>
              </w:rPr>
              <w:t>类</w:t>
            </w:r>
          </w:p>
        </w:tc>
        <w:tc>
          <w:tcPr>
            <w:tcW w:w="3728"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水域长度为取水口上游全部水域。</w:t>
            </w:r>
          </w:p>
        </w:tc>
        <w:tc>
          <w:tcPr>
            <w:tcW w:w="346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一级保护区水域两岸纵深50米或至第一重山山脊线集雨区。</w:t>
            </w:r>
          </w:p>
        </w:tc>
      </w:tr>
    </w:tbl>
    <w:p>
      <w:pPr>
        <w:rPr>
          <w:color w:val="000000" w:themeColor="text1"/>
          <w:highlight w:val="none"/>
          <w14:textFill>
            <w14:solidFill>
              <w14:schemeClr w14:val="tx1"/>
            </w14:solidFill>
          </w14:textFill>
        </w:rPr>
      </w:pPr>
    </w:p>
    <w:p>
      <w:pPr>
        <w:pStyle w:val="55"/>
        <w:rPr>
          <w:color w:val="000000" w:themeColor="text1"/>
          <w:sz w:val="32"/>
          <w:szCs w:val="32"/>
          <w:highlight w:val="none"/>
          <w14:textFill>
            <w14:solidFill>
              <w14:schemeClr w14:val="tx1"/>
            </w14:solidFill>
          </w14:textFill>
        </w:rPr>
      </w:pPr>
      <w:r>
        <w:rPr>
          <w:color w:val="000000" w:themeColor="text1"/>
          <w:highlight w:val="none"/>
          <w14:textFill>
            <w14:solidFill>
              <w14:schemeClr w14:val="tx1"/>
            </w14:solidFill>
          </w14:textFill>
        </w:rPr>
        <w:t>表</w:t>
      </w:r>
      <w:r>
        <w:rPr>
          <w:rFonts w:hint="eastAsia"/>
          <w:color w:val="000000" w:themeColor="text1"/>
          <w:highlight w:val="none"/>
          <w14:textFill>
            <w14:solidFill>
              <w14:schemeClr w14:val="tx1"/>
            </w14:solidFill>
          </w14:textFill>
        </w:rPr>
        <w:t>6</w:t>
      </w:r>
      <w:r>
        <w:rPr>
          <w:color w:val="000000" w:themeColor="text1"/>
          <w:highlight w:val="none"/>
          <w14:textFill>
            <w14:solidFill>
              <w14:schemeClr w14:val="tx1"/>
            </w14:solidFill>
          </w14:textFill>
        </w:rPr>
        <w:t>.3-</w:t>
      </w:r>
      <w:r>
        <w:rPr>
          <w:rFonts w:hint="eastAsia"/>
          <w:color w:val="000000" w:themeColor="text1"/>
          <w:highlight w:val="none"/>
          <w:lang w:val="en-US" w:eastAsia="zh-CN"/>
          <w14:textFill>
            <w14:solidFill>
              <w14:schemeClr w14:val="tx1"/>
            </w14:solidFill>
          </w14:textFill>
        </w:rPr>
        <w:t>3</w:t>
      </w:r>
      <w:r>
        <w:rPr>
          <w:rFonts w:hint="eastAsia"/>
          <w:color w:val="000000" w:themeColor="text1"/>
          <w:highlight w:val="none"/>
          <w:lang w:eastAsia="zh-CN"/>
          <w14:textFill>
            <w14:solidFill>
              <w14:schemeClr w14:val="tx1"/>
            </w14:solidFill>
          </w14:textFill>
        </w:rPr>
        <w:t>梅州</w:t>
      </w:r>
      <w:r>
        <w:rPr>
          <w:rFonts w:hint="eastAsia"/>
          <w:color w:val="000000" w:themeColor="text1"/>
          <w:highlight w:val="none"/>
          <w14:textFill>
            <w14:solidFill>
              <w14:schemeClr w14:val="tx1"/>
            </w14:solidFill>
          </w14:textFill>
        </w:rPr>
        <w:t>市</w:t>
      </w:r>
      <w:r>
        <w:rPr>
          <w:color w:val="000000" w:themeColor="text1"/>
          <w:highlight w:val="none"/>
          <w14:textFill>
            <w14:solidFill>
              <w14:schemeClr w14:val="tx1"/>
            </w14:solidFill>
          </w14:textFill>
        </w:rPr>
        <w:t>饮用水水源保护区划</w:t>
      </w:r>
      <w:r>
        <w:rPr>
          <w:rFonts w:hint="eastAsia"/>
          <w:color w:val="000000" w:themeColor="text1"/>
          <w:highlight w:val="none"/>
          <w14:textFill>
            <w14:solidFill>
              <w14:schemeClr w14:val="tx1"/>
            </w14:solidFill>
          </w14:textFill>
        </w:rPr>
        <w:t>调整</w:t>
      </w:r>
      <w:r>
        <w:rPr>
          <w:color w:val="000000" w:themeColor="text1"/>
          <w:highlight w:val="none"/>
          <w14:textFill>
            <w14:solidFill>
              <w14:schemeClr w14:val="tx1"/>
            </w14:solidFill>
          </w14:textFill>
        </w:rPr>
        <w:t>方案</w:t>
      </w:r>
      <w:r>
        <w:rPr>
          <w:rFonts w:hint="eastAsia"/>
          <w:color w:val="000000" w:themeColor="text1"/>
          <w:highlight w:val="none"/>
          <w:lang w:eastAsia="zh-CN"/>
          <w14:textFill>
            <w14:solidFill>
              <w14:schemeClr w14:val="tx1"/>
            </w14:solidFill>
          </w14:textFill>
        </w:rPr>
        <w:t>（</w:t>
      </w:r>
      <w:r>
        <w:rPr>
          <w:rFonts w:hint="eastAsia"/>
          <w:color w:val="000000" w:themeColor="text1"/>
          <w:highlight w:val="none"/>
          <w14:textFill>
            <w14:solidFill>
              <w14:schemeClr w14:val="tx1"/>
            </w14:solidFill>
          </w14:textFill>
        </w:rPr>
        <w:t>粤府函[20</w:t>
      </w:r>
      <w:r>
        <w:rPr>
          <w:rFonts w:hint="eastAsia"/>
          <w:color w:val="000000" w:themeColor="text1"/>
          <w:highlight w:val="none"/>
          <w:lang w:val="en-US" w:eastAsia="zh-CN"/>
          <w14:textFill>
            <w14:solidFill>
              <w14:schemeClr w14:val="tx1"/>
            </w14:solidFill>
          </w14:textFill>
        </w:rPr>
        <w:t>18</w:t>
      </w:r>
      <w:r>
        <w:rPr>
          <w:rFonts w:hint="eastAsia"/>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428</w:t>
      </w:r>
      <w:r>
        <w:rPr>
          <w:rFonts w:hint="eastAsia"/>
          <w:color w:val="000000" w:themeColor="text1"/>
          <w:highlight w:val="none"/>
          <w14:textFill>
            <w14:solidFill>
              <w14:schemeClr w14:val="tx1"/>
            </w14:solidFill>
          </w14:textFill>
        </w:rPr>
        <w:t>号</w:t>
      </w:r>
      <w:r>
        <w:rPr>
          <w:rFonts w:hint="eastAsia"/>
          <w:color w:val="000000" w:themeColor="text1"/>
          <w:highlight w:val="none"/>
          <w:lang w:eastAsia="zh-CN"/>
          <w14:textFill>
            <w14:solidFill>
              <w14:schemeClr w14:val="tx1"/>
            </w14:solidFill>
          </w14:textFill>
        </w:rPr>
        <w:t>）</w:t>
      </w:r>
    </w:p>
    <w:tbl>
      <w:tblPr>
        <w:tblStyle w:val="33"/>
        <w:tblW w:w="14174"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501"/>
        <w:gridCol w:w="946"/>
        <w:gridCol w:w="1494"/>
        <w:gridCol w:w="1435"/>
        <w:gridCol w:w="5722"/>
        <w:gridCol w:w="407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blHeader/>
          <w:jc w:val="center"/>
        </w:trPr>
        <w:tc>
          <w:tcPr>
            <w:tcW w:w="501"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序号</w:t>
            </w:r>
          </w:p>
        </w:tc>
        <w:tc>
          <w:tcPr>
            <w:tcW w:w="946"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保护区所在地</w:t>
            </w:r>
          </w:p>
        </w:tc>
        <w:tc>
          <w:tcPr>
            <w:tcW w:w="1494"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保护区名称</w:t>
            </w:r>
          </w:p>
        </w:tc>
        <w:tc>
          <w:tcPr>
            <w:tcW w:w="143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保护区级别</w:t>
            </w:r>
          </w:p>
        </w:tc>
        <w:tc>
          <w:tcPr>
            <w:tcW w:w="5722"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水域保护区范围与保护目标</w:t>
            </w:r>
          </w:p>
        </w:tc>
        <w:tc>
          <w:tcPr>
            <w:tcW w:w="4076"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陆地保护范围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21" w:hRule="atLeast"/>
          <w:jc w:val="center"/>
        </w:trPr>
        <w:tc>
          <w:tcPr>
            <w:tcW w:w="501"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w:t>
            </w:r>
          </w:p>
        </w:tc>
        <w:tc>
          <w:tcPr>
            <w:tcW w:w="946"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兴宁市区</w:t>
            </w:r>
          </w:p>
        </w:tc>
        <w:tc>
          <w:tcPr>
            <w:tcW w:w="1494"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宁江河水源保护区</w:t>
            </w:r>
          </w:p>
          <w:p>
            <w:pPr>
              <w:pStyle w:val="52"/>
              <w:rPr>
                <w:color w:val="000000" w:themeColor="text1"/>
                <w:highlight w:val="none"/>
                <w14:textFill>
                  <w14:solidFill>
                    <w14:schemeClr w14:val="tx1"/>
                  </w14:solidFill>
                </w14:textFill>
              </w:rPr>
            </w:pPr>
          </w:p>
        </w:tc>
        <w:tc>
          <w:tcPr>
            <w:tcW w:w="143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5722" w:type="dxa"/>
            <w:vAlign w:val="center"/>
          </w:tcPr>
          <w:p>
            <w:pPr>
              <w:pStyle w:val="52"/>
              <w:rPr>
                <w:color w:val="000000" w:themeColor="text1"/>
                <w:highlight w:val="none"/>
                <w14:textFill>
                  <w14:solidFill>
                    <w14:schemeClr w14:val="tx1"/>
                  </w14:solidFill>
                </w14:textFill>
              </w:rPr>
            </w:pPr>
            <w:r>
              <w:rPr>
                <w:rFonts w:hint="default"/>
                <w:color w:val="000000" w:themeColor="text1"/>
                <w:highlight w:val="none"/>
                <w14:textFill>
                  <w14:solidFill>
                    <w14:schemeClr w14:val="tx1"/>
                  </w14:solidFill>
                </w14:textFill>
              </w:rPr>
              <w:t>兴宁市宁江供水有限公司</w:t>
            </w:r>
            <w:r>
              <w:rPr>
                <w:rFonts w:hint="default"/>
                <w:color w:val="000000" w:themeColor="text1"/>
                <w:highlight w:val="none"/>
                <w:lang w:eastAsia="zh-CN"/>
                <w14:textFill>
                  <w14:solidFill>
                    <w14:schemeClr w14:val="tx1"/>
                  </w14:solidFill>
                </w14:textFill>
              </w:rPr>
              <w:t>宁江河取</w:t>
            </w:r>
            <w:r>
              <w:rPr>
                <w:rFonts w:hint="default"/>
                <w:color w:val="000000" w:themeColor="text1"/>
                <w:highlight w:val="none"/>
                <w14:textFill>
                  <w14:solidFill>
                    <w14:schemeClr w14:val="tx1"/>
                  </w14:solidFill>
                </w14:textFill>
              </w:rPr>
              <w:t>水</w:t>
            </w:r>
            <w:r>
              <w:rPr>
                <w:rFonts w:hint="default"/>
                <w:color w:val="000000" w:themeColor="text1"/>
                <w:highlight w:val="none"/>
                <w:lang w:eastAsia="zh-CN"/>
                <w14:textFill>
                  <w14:solidFill>
                    <w14:schemeClr w14:val="tx1"/>
                  </w14:solidFill>
                </w14:textFill>
              </w:rPr>
              <w:t>口</w:t>
            </w:r>
            <w:r>
              <w:rPr>
                <w:rFonts w:hint="default"/>
                <w:color w:val="000000" w:themeColor="text1"/>
                <w:highlight w:val="none"/>
                <w14:textFill>
                  <w14:solidFill>
                    <w14:schemeClr w14:val="tx1"/>
                  </w14:solidFill>
                </w14:textFill>
              </w:rPr>
              <w:t>下游116米至上游350米处（合水水库主坝处）水质保护为Ⅱ类。</w:t>
            </w:r>
          </w:p>
        </w:tc>
        <w:tc>
          <w:tcPr>
            <w:tcW w:w="4076" w:type="dxa"/>
            <w:vAlign w:val="center"/>
          </w:tcPr>
          <w:p>
            <w:pPr>
              <w:pStyle w:val="52"/>
              <w:rPr>
                <w:color w:val="000000" w:themeColor="text1"/>
                <w:highlight w:val="none"/>
                <w14:textFill>
                  <w14:solidFill>
                    <w14:schemeClr w14:val="tx1"/>
                  </w14:solidFill>
                </w14:textFill>
              </w:rPr>
            </w:pPr>
            <w:r>
              <w:rPr>
                <w:rFonts w:hint="default"/>
                <w:color w:val="000000" w:themeColor="text1"/>
                <w:highlight w:val="none"/>
                <w14:textFill>
                  <w14:solidFill>
                    <w14:schemeClr w14:val="tx1"/>
                  </w14:solidFill>
                </w14:textFill>
              </w:rPr>
              <w:t>相应一级保护区水域</w:t>
            </w:r>
            <w:r>
              <w:rPr>
                <w:rFonts w:hint="eastAsia"/>
                <w:color w:val="000000" w:themeColor="text1"/>
                <w:highlight w:val="none"/>
                <w14:textFill>
                  <w14:solidFill>
                    <w14:schemeClr w14:val="tx1"/>
                  </w14:solidFill>
                </w14:textFill>
              </w:rPr>
              <w:t>两岸</w:t>
            </w:r>
            <w:r>
              <w:rPr>
                <w:rFonts w:hint="default"/>
                <w:color w:val="000000" w:themeColor="text1"/>
                <w:highlight w:val="none"/>
                <w14:textFill>
                  <w14:solidFill>
                    <w14:schemeClr w14:val="tx1"/>
                  </w14:solidFill>
                </w14:textFill>
              </w:rPr>
              <w:t>向陆纵深50米的</w:t>
            </w:r>
            <w:r>
              <w:rPr>
                <w:rFonts w:hint="eastAsia"/>
                <w:color w:val="000000" w:themeColor="text1"/>
                <w:highlight w:val="none"/>
                <w14:textFill>
                  <w14:solidFill>
                    <w14:schemeClr w14:val="tx1"/>
                  </w14:solidFill>
                </w14:textFill>
              </w:rPr>
              <w:t>陆域</w:t>
            </w:r>
            <w:r>
              <w:rPr>
                <w:rFonts w:hint="default"/>
                <w:color w:val="000000" w:themeColor="text1"/>
                <w:highlight w:val="none"/>
                <w14:textFill>
                  <w14:solidFill>
                    <w14:schemeClr w14:val="tx1"/>
                  </w14:solidFill>
                </w14:textFill>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vMerge w:val="continue"/>
            <w:vAlign w:val="center"/>
          </w:tcPr>
          <w:p>
            <w:pPr>
              <w:pStyle w:val="52"/>
              <w:rPr>
                <w:color w:val="000000" w:themeColor="text1"/>
                <w:highlight w:val="none"/>
                <w14:textFill>
                  <w14:solidFill>
                    <w14:schemeClr w14:val="tx1"/>
                  </w14:solidFill>
                </w14:textFill>
              </w:rPr>
            </w:pPr>
          </w:p>
        </w:tc>
        <w:tc>
          <w:tcPr>
            <w:tcW w:w="946" w:type="dxa"/>
            <w:vMerge w:val="continue"/>
            <w:vAlign w:val="center"/>
          </w:tcPr>
          <w:p>
            <w:pPr>
              <w:pStyle w:val="52"/>
              <w:rPr>
                <w:color w:val="000000" w:themeColor="text1"/>
                <w:highlight w:val="none"/>
                <w14:textFill>
                  <w14:solidFill>
                    <w14:schemeClr w14:val="tx1"/>
                  </w14:solidFill>
                </w14:textFill>
              </w:rPr>
            </w:pPr>
          </w:p>
        </w:tc>
        <w:tc>
          <w:tcPr>
            <w:tcW w:w="1494" w:type="dxa"/>
            <w:vMerge w:val="continue"/>
            <w:vAlign w:val="center"/>
          </w:tcPr>
          <w:p>
            <w:pPr>
              <w:pStyle w:val="52"/>
              <w:rPr>
                <w:color w:val="000000" w:themeColor="text1"/>
                <w:highlight w:val="none"/>
                <w14:textFill>
                  <w14:solidFill>
                    <w14:schemeClr w14:val="tx1"/>
                  </w14:solidFill>
                </w14:textFill>
              </w:rPr>
            </w:pPr>
          </w:p>
        </w:tc>
        <w:tc>
          <w:tcPr>
            <w:tcW w:w="143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二级保护区</w:t>
            </w:r>
          </w:p>
        </w:tc>
        <w:tc>
          <w:tcPr>
            <w:tcW w:w="5722" w:type="dxa"/>
            <w:vAlign w:val="center"/>
          </w:tcPr>
          <w:p>
            <w:pPr>
              <w:pStyle w:val="52"/>
              <w:rPr>
                <w:color w:val="000000" w:themeColor="text1"/>
                <w:highlight w:val="none"/>
                <w14:textFill>
                  <w14:solidFill>
                    <w14:schemeClr w14:val="tx1"/>
                  </w14:solidFill>
                </w14:textFill>
              </w:rPr>
            </w:pPr>
            <w:r>
              <w:rPr>
                <w:rFonts w:hint="default"/>
                <w:color w:val="000000" w:themeColor="text1"/>
                <w:highlight w:val="none"/>
                <w14:textFill>
                  <w14:solidFill>
                    <w14:schemeClr w14:val="tx1"/>
                  </w14:solidFill>
                </w14:textFill>
              </w:rPr>
              <w:t>宁江河一级保护区下边界下延326米的水域。水质保护为Ⅱ类。</w:t>
            </w:r>
          </w:p>
        </w:tc>
        <w:tc>
          <w:tcPr>
            <w:tcW w:w="4076" w:type="dxa"/>
            <w:vAlign w:val="center"/>
          </w:tcPr>
          <w:p>
            <w:pPr>
              <w:pStyle w:val="52"/>
              <w:rPr>
                <w:color w:val="000000" w:themeColor="text1"/>
                <w:highlight w:val="none"/>
                <w14:textFill>
                  <w14:solidFill>
                    <w14:schemeClr w14:val="tx1"/>
                  </w14:solidFill>
                </w14:textFill>
              </w:rPr>
            </w:pPr>
            <w:r>
              <w:rPr>
                <w:rFonts w:hint="default"/>
                <w:color w:val="000000" w:themeColor="text1"/>
                <w:highlight w:val="none"/>
                <w14:textFill>
                  <w14:solidFill>
                    <w14:schemeClr w14:val="tx1"/>
                  </w14:solidFill>
                </w14:textFill>
              </w:rPr>
              <w:t>相应二级水源保护区水域两岸河堤</w:t>
            </w:r>
            <w:r>
              <w:rPr>
                <w:rFonts w:hint="default"/>
                <w:color w:val="000000" w:themeColor="text1"/>
                <w:highlight w:val="none"/>
                <w:lang w:eastAsia="zh-CN"/>
                <w14:textFill>
                  <w14:solidFill>
                    <w14:schemeClr w14:val="tx1"/>
                  </w14:solidFill>
                </w14:textFill>
              </w:rPr>
              <w:t>背水坡脚</w:t>
            </w:r>
            <w:r>
              <w:rPr>
                <w:rFonts w:hint="default"/>
                <w:color w:val="000000" w:themeColor="text1"/>
                <w:highlight w:val="none"/>
                <w14:textFill>
                  <w14:solidFill>
                    <w14:schemeClr w14:val="tx1"/>
                  </w14:solidFill>
                </w14:textFill>
              </w:rPr>
              <w:t>向陆纵深1000米集雨范围内的陆域。</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501"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w:t>
            </w:r>
          </w:p>
        </w:tc>
        <w:tc>
          <w:tcPr>
            <w:tcW w:w="946"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兴宁市区</w:t>
            </w:r>
          </w:p>
        </w:tc>
        <w:tc>
          <w:tcPr>
            <w:tcW w:w="1494"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合水水库水源保护区</w:t>
            </w:r>
          </w:p>
        </w:tc>
        <w:tc>
          <w:tcPr>
            <w:tcW w:w="143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一</w:t>
            </w:r>
            <w:r>
              <w:rPr>
                <w:color w:val="000000" w:themeColor="text1"/>
                <w:highlight w:val="none"/>
                <w14:textFill>
                  <w14:solidFill>
                    <w14:schemeClr w14:val="tx1"/>
                  </w14:solidFill>
                </w14:textFill>
              </w:rPr>
              <w:t>级保护区</w:t>
            </w:r>
          </w:p>
        </w:tc>
        <w:tc>
          <w:tcPr>
            <w:tcW w:w="5722" w:type="dxa"/>
            <w:vAlign w:val="center"/>
          </w:tcPr>
          <w:p>
            <w:pPr>
              <w:pStyle w:val="52"/>
              <w:rPr>
                <w:color w:val="000000" w:themeColor="text1"/>
                <w:highlight w:val="none"/>
                <w14:textFill>
                  <w14:solidFill>
                    <w14:schemeClr w14:val="tx1"/>
                  </w14:solidFill>
                </w14:textFill>
              </w:rPr>
            </w:pPr>
            <w:r>
              <w:rPr>
                <w:rFonts w:hint="default"/>
                <w:color w:val="000000" w:themeColor="text1"/>
                <w:highlight w:val="none"/>
                <w14:textFill>
                  <w14:solidFill>
                    <w14:schemeClr w14:val="tx1"/>
                  </w14:solidFill>
                </w14:textFill>
              </w:rPr>
              <w:t>合水水库以主坝泄洪口为中心点，向水库内延伸约1150米</w:t>
            </w:r>
            <w:r>
              <w:rPr>
                <w:rFonts w:hint="eastAsia"/>
                <w:color w:val="000000" w:themeColor="text1"/>
                <w:highlight w:val="none"/>
                <w14:textFill>
                  <w14:solidFill>
                    <w14:schemeClr w14:val="tx1"/>
                  </w14:solidFill>
                </w14:textFill>
              </w:rPr>
              <w:t>包络</w:t>
            </w:r>
            <w:r>
              <w:rPr>
                <w:rFonts w:hint="default"/>
                <w:color w:val="000000" w:themeColor="text1"/>
                <w:highlight w:val="none"/>
                <w14:textFill>
                  <w14:solidFill>
                    <w14:schemeClr w14:val="tx1"/>
                  </w14:solidFill>
                </w14:textFill>
              </w:rPr>
              <w:t>的水域</w:t>
            </w:r>
            <w:r>
              <w:rPr>
                <w:rFonts w:hint="eastAsia"/>
                <w:color w:val="000000" w:themeColor="text1"/>
                <w:highlight w:val="none"/>
                <w14:textFill>
                  <w14:solidFill>
                    <w14:schemeClr w14:val="tx1"/>
                  </w14:solidFill>
                </w14:textFill>
              </w:rPr>
              <w:t>（西侧边界至排沙沟围堰一线；西北侧至114°41′33.31″，24°15′31.79″控制点；北侧边界为水库主坝泄洪口向水库内延伸1150米所涉及的一线水域；东北侧至115°42′48.28″，24°15′58.81″控制点；东侧至水库防洪应急道路一侧）</w:t>
            </w:r>
            <w:r>
              <w:rPr>
                <w:rFonts w:hint="default"/>
                <w:color w:val="000000" w:themeColor="text1"/>
                <w:highlight w:val="none"/>
                <w14:textFill>
                  <w14:solidFill>
                    <w14:schemeClr w14:val="tx1"/>
                  </w14:solidFill>
                </w14:textFill>
              </w:rPr>
              <w:t>。水质保护目标为Ⅱ类。</w:t>
            </w:r>
          </w:p>
        </w:tc>
        <w:tc>
          <w:tcPr>
            <w:tcW w:w="4076" w:type="dxa"/>
            <w:vAlign w:val="center"/>
          </w:tcPr>
          <w:p>
            <w:pPr>
              <w:pStyle w:val="52"/>
              <w:rPr>
                <w:color w:val="000000" w:themeColor="text1"/>
                <w:highlight w:val="none"/>
                <w14:textFill>
                  <w14:solidFill>
                    <w14:schemeClr w14:val="tx1"/>
                  </w14:solidFill>
                </w14:textFill>
              </w:rPr>
            </w:pPr>
            <w:r>
              <w:rPr>
                <w:rFonts w:hint="default"/>
                <w:color w:val="000000" w:themeColor="text1"/>
                <w:highlight w:val="none"/>
                <w14:textFill>
                  <w14:solidFill>
                    <w14:schemeClr w14:val="tx1"/>
                  </w14:solidFill>
                </w14:textFill>
              </w:rPr>
              <w:t>取水口侧合水水库一级保护区水域</w:t>
            </w:r>
            <w:r>
              <w:rPr>
                <w:rFonts w:hint="eastAsia"/>
                <w:color w:val="000000" w:themeColor="text1"/>
                <w:highlight w:val="none"/>
                <w14:textFill>
                  <w14:solidFill>
                    <w14:schemeClr w14:val="tx1"/>
                  </w14:solidFill>
                </w14:textFill>
              </w:rPr>
              <w:t>向陆</w:t>
            </w:r>
            <w:r>
              <w:rPr>
                <w:rFonts w:hint="default"/>
                <w:color w:val="000000" w:themeColor="text1"/>
                <w:highlight w:val="none"/>
                <w14:textFill>
                  <w14:solidFill>
                    <w14:schemeClr w14:val="tx1"/>
                  </w14:solidFill>
                </w14:textFill>
              </w:rPr>
              <w:t>纵深200米范围内的陆域或至流域分水岭。</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797" w:hRule="atLeast"/>
          <w:jc w:val="center"/>
        </w:trPr>
        <w:tc>
          <w:tcPr>
            <w:tcW w:w="501" w:type="dxa"/>
            <w:vMerge w:val="continue"/>
            <w:vAlign w:val="center"/>
          </w:tcPr>
          <w:p>
            <w:pPr>
              <w:pStyle w:val="52"/>
              <w:rPr>
                <w:color w:val="000000" w:themeColor="text1"/>
                <w:highlight w:val="none"/>
                <w14:textFill>
                  <w14:solidFill>
                    <w14:schemeClr w14:val="tx1"/>
                  </w14:solidFill>
                </w14:textFill>
              </w:rPr>
            </w:pPr>
          </w:p>
        </w:tc>
        <w:tc>
          <w:tcPr>
            <w:tcW w:w="946" w:type="dxa"/>
            <w:vMerge w:val="continue"/>
            <w:vAlign w:val="center"/>
          </w:tcPr>
          <w:p>
            <w:pPr>
              <w:pStyle w:val="52"/>
              <w:rPr>
                <w:color w:val="000000" w:themeColor="text1"/>
                <w:highlight w:val="none"/>
                <w14:textFill>
                  <w14:solidFill>
                    <w14:schemeClr w14:val="tx1"/>
                  </w14:solidFill>
                </w14:textFill>
              </w:rPr>
            </w:pPr>
          </w:p>
        </w:tc>
        <w:tc>
          <w:tcPr>
            <w:tcW w:w="1494" w:type="dxa"/>
            <w:vMerge w:val="continue"/>
            <w:vAlign w:val="center"/>
          </w:tcPr>
          <w:p>
            <w:pPr>
              <w:pStyle w:val="52"/>
              <w:rPr>
                <w:color w:val="000000" w:themeColor="text1"/>
                <w:highlight w:val="none"/>
                <w14:textFill>
                  <w14:solidFill>
                    <w14:schemeClr w14:val="tx1"/>
                  </w14:solidFill>
                </w14:textFill>
              </w:rPr>
            </w:pPr>
          </w:p>
        </w:tc>
        <w:tc>
          <w:tcPr>
            <w:tcW w:w="1435" w:type="dxa"/>
            <w:vAlign w:val="center"/>
          </w:tcPr>
          <w:p>
            <w:pPr>
              <w:pStyle w:val="52"/>
              <w:ind w:firstLine="0"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二级保护区</w:t>
            </w:r>
          </w:p>
        </w:tc>
        <w:tc>
          <w:tcPr>
            <w:tcW w:w="5722" w:type="dxa"/>
            <w:vAlign w:val="center"/>
          </w:tcPr>
          <w:p>
            <w:pPr>
              <w:pStyle w:val="52"/>
              <w:ind w:firstLine="0" w:firstLineChars="0"/>
              <w:rPr>
                <w:rFonts w:hint="default"/>
                <w:color w:val="000000" w:themeColor="text1"/>
                <w:highlight w:val="none"/>
                <w14:textFill>
                  <w14:solidFill>
                    <w14:schemeClr w14:val="tx1"/>
                  </w14:solidFill>
                </w14:textFill>
              </w:rPr>
            </w:pPr>
            <w:r>
              <w:rPr>
                <w:rFonts w:hint="default"/>
                <w:color w:val="000000" w:themeColor="text1"/>
                <w:highlight w:val="none"/>
                <w14:textFill>
                  <w14:solidFill>
                    <w14:schemeClr w14:val="tx1"/>
                  </w14:solidFill>
                </w14:textFill>
              </w:rPr>
              <w:t>合水水库</w:t>
            </w:r>
            <w:r>
              <w:rPr>
                <w:rFonts w:hint="eastAsia"/>
                <w:color w:val="000000" w:themeColor="text1"/>
                <w:highlight w:val="none"/>
                <w14:textFill>
                  <w14:solidFill>
                    <w14:schemeClr w14:val="tx1"/>
                  </w14:solidFill>
                </w14:textFill>
              </w:rPr>
              <w:t>五管区堤围与</w:t>
            </w:r>
            <w:r>
              <w:rPr>
                <w:rFonts w:hint="default"/>
                <w:color w:val="000000" w:themeColor="text1"/>
                <w:highlight w:val="none"/>
                <w14:textFill>
                  <w14:solidFill>
                    <w14:schemeClr w14:val="tx1"/>
                  </w14:solidFill>
                </w14:textFill>
              </w:rPr>
              <w:t>S225</w:t>
            </w:r>
            <w:r>
              <w:rPr>
                <w:rFonts w:hint="eastAsia"/>
                <w:color w:val="000000" w:themeColor="text1"/>
                <w:highlight w:val="none"/>
                <w14:textFill>
                  <w14:solidFill>
                    <w14:schemeClr w14:val="tx1"/>
                  </w14:solidFill>
                </w14:textFill>
              </w:rPr>
              <w:t>省道</w:t>
            </w:r>
            <w:r>
              <w:rPr>
                <w:rFonts w:hint="default"/>
                <w:color w:val="000000" w:themeColor="text1"/>
                <w:highlight w:val="none"/>
                <w14:textFill>
                  <w14:solidFill>
                    <w14:schemeClr w14:val="tx1"/>
                  </w14:solidFill>
                </w14:textFill>
              </w:rPr>
              <w:t>包络的正常水位线（138米）内</w:t>
            </w:r>
            <w:r>
              <w:rPr>
                <w:rFonts w:hint="eastAsia"/>
                <w:color w:val="000000" w:themeColor="text1"/>
                <w:highlight w:val="none"/>
                <w14:textFill>
                  <w14:solidFill>
                    <w14:schemeClr w14:val="tx1"/>
                  </w14:solidFill>
                </w14:textFill>
              </w:rPr>
              <w:t>的</w:t>
            </w:r>
            <w:r>
              <w:rPr>
                <w:rFonts w:hint="default"/>
                <w:color w:val="000000" w:themeColor="text1"/>
                <w:highlight w:val="none"/>
                <w14:textFill>
                  <w14:solidFill>
                    <w14:schemeClr w14:val="tx1"/>
                  </w14:solidFill>
                </w14:textFill>
              </w:rPr>
              <w:t>水域</w:t>
            </w:r>
            <w:r>
              <w:rPr>
                <w:rFonts w:hint="eastAsia"/>
                <w:color w:val="000000" w:themeColor="text1"/>
                <w:highlight w:val="none"/>
                <w14:textFill>
                  <w14:solidFill>
                    <w14:schemeClr w14:val="tx1"/>
                  </w14:solidFill>
                </w14:textFill>
              </w:rPr>
              <w:t>（一级保护区水域除外）</w:t>
            </w:r>
            <w:r>
              <w:rPr>
                <w:rFonts w:hint="default"/>
                <w:color w:val="000000" w:themeColor="text1"/>
                <w:highlight w:val="none"/>
                <w14:textFill>
                  <w14:solidFill>
                    <w14:schemeClr w14:val="tx1"/>
                  </w14:solidFill>
                </w14:textFill>
              </w:rPr>
              <w:t>。水质保护目标为Ⅱ类。</w:t>
            </w:r>
          </w:p>
        </w:tc>
        <w:tc>
          <w:tcPr>
            <w:tcW w:w="4076" w:type="dxa"/>
            <w:vAlign w:val="center"/>
          </w:tcPr>
          <w:p>
            <w:pPr>
              <w:pStyle w:val="52"/>
              <w:ind w:firstLine="0" w:firstLineChars="0"/>
              <w:rPr>
                <w:rFonts w:hint="default"/>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合水水库</w:t>
            </w:r>
            <w:r>
              <w:rPr>
                <w:rFonts w:hint="default"/>
                <w:color w:val="000000" w:themeColor="text1"/>
                <w:highlight w:val="none"/>
                <w14:textFill>
                  <w14:solidFill>
                    <w14:schemeClr w14:val="tx1"/>
                  </w14:solidFill>
                </w14:textFill>
              </w:rPr>
              <w:t>合水镇六管区刘屋山</w:t>
            </w:r>
            <w:r>
              <w:rPr>
                <w:rFonts w:hint="eastAsia"/>
                <w:color w:val="000000" w:themeColor="text1"/>
                <w:highlight w:val="none"/>
                <w14:textFill>
                  <w14:solidFill>
                    <w14:schemeClr w14:val="tx1"/>
                  </w14:solidFill>
                </w14:textFill>
              </w:rPr>
              <w:t>（E115.702175426°，N24.2809010969°）</w:t>
            </w:r>
            <w:r>
              <w:rPr>
                <w:rFonts w:hint="default"/>
                <w:color w:val="000000" w:themeColor="text1"/>
                <w:highlight w:val="none"/>
                <w14:textFill>
                  <w14:solidFill>
                    <w14:schemeClr w14:val="tx1"/>
                  </w14:solidFill>
                </w14:textFill>
              </w:rPr>
              <w:t>至白泡桥</w:t>
            </w:r>
            <w:r>
              <w:rPr>
                <w:rFonts w:hint="eastAsia"/>
                <w:color w:val="000000" w:themeColor="text1"/>
                <w:highlight w:val="none"/>
                <w14:textFill>
                  <w14:solidFill>
                    <w14:schemeClr w14:val="tx1"/>
                  </w14:solidFill>
                </w14:textFill>
              </w:rPr>
              <w:t>（E115.708977448°，N24.2861493594°）</w:t>
            </w:r>
            <w:r>
              <w:rPr>
                <w:rFonts w:hint="default"/>
                <w:color w:val="000000" w:themeColor="text1"/>
                <w:highlight w:val="none"/>
                <w14:textFill>
                  <w14:solidFill>
                    <w14:schemeClr w14:val="tx1"/>
                  </w14:solidFill>
                </w14:textFill>
              </w:rPr>
              <w:t>段</w:t>
            </w:r>
            <w:r>
              <w:rPr>
                <w:rFonts w:hint="eastAsia"/>
                <w:color w:val="000000" w:themeColor="text1"/>
                <w:highlight w:val="none"/>
                <w14:textFill>
                  <w14:solidFill>
                    <w14:schemeClr w14:val="tx1"/>
                  </w14:solidFill>
                </w14:textFill>
              </w:rPr>
              <w:t>二级水域保护区</w:t>
            </w:r>
            <w:r>
              <w:rPr>
                <w:rFonts w:hint="default"/>
                <w:color w:val="000000" w:themeColor="text1"/>
                <w:highlight w:val="none"/>
                <w14:textFill>
                  <w14:solidFill>
                    <w14:schemeClr w14:val="tx1"/>
                  </w14:solidFill>
                </w14:textFill>
              </w:rPr>
              <w:t>向陆纵深100米</w:t>
            </w:r>
            <w:r>
              <w:rPr>
                <w:rFonts w:hint="eastAsia"/>
                <w:color w:val="000000" w:themeColor="text1"/>
                <w:highlight w:val="none"/>
                <w14:textFill>
                  <w14:solidFill>
                    <w14:schemeClr w14:val="tx1"/>
                  </w14:solidFill>
                </w14:textFill>
              </w:rPr>
              <w:t>范围</w:t>
            </w:r>
            <w:r>
              <w:rPr>
                <w:rFonts w:hint="default"/>
                <w:color w:val="000000" w:themeColor="text1"/>
                <w:highlight w:val="none"/>
                <w14:textFill>
                  <w14:solidFill>
                    <w14:schemeClr w14:val="tx1"/>
                  </w14:solidFill>
                </w14:textFill>
              </w:rPr>
              <w:t>内</w:t>
            </w:r>
            <w:r>
              <w:rPr>
                <w:rFonts w:hint="eastAsia"/>
                <w:color w:val="000000" w:themeColor="text1"/>
                <w:highlight w:val="none"/>
                <w14:textFill>
                  <w14:solidFill>
                    <w14:schemeClr w14:val="tx1"/>
                  </w14:solidFill>
                </w14:textFill>
              </w:rPr>
              <w:t>的</w:t>
            </w:r>
            <w:r>
              <w:rPr>
                <w:rFonts w:hint="default"/>
                <w:color w:val="000000" w:themeColor="text1"/>
                <w:highlight w:val="none"/>
                <w14:textFill>
                  <w14:solidFill>
                    <w14:schemeClr w14:val="tx1"/>
                  </w14:solidFill>
                </w14:textFill>
              </w:rPr>
              <w:t>陆域，其余</w:t>
            </w:r>
            <w:r>
              <w:rPr>
                <w:rFonts w:hint="eastAsia"/>
                <w:color w:val="000000" w:themeColor="text1"/>
                <w:highlight w:val="none"/>
                <w14:textFill>
                  <w14:solidFill>
                    <w14:schemeClr w14:val="tx1"/>
                  </w14:solidFill>
                </w14:textFill>
              </w:rPr>
              <w:t>段为水库</w:t>
            </w:r>
            <w:r>
              <w:rPr>
                <w:rFonts w:hint="default"/>
                <w:color w:val="000000" w:themeColor="text1"/>
                <w:highlight w:val="none"/>
                <w14:textFill>
                  <w14:solidFill>
                    <w14:schemeClr w14:val="tx1"/>
                  </w14:solidFill>
                </w14:textFill>
              </w:rPr>
              <w:t>一级和二级</w:t>
            </w:r>
            <w:r>
              <w:rPr>
                <w:rFonts w:hint="eastAsia"/>
                <w:color w:val="000000" w:themeColor="text1"/>
                <w:highlight w:val="none"/>
                <w14:textFill>
                  <w14:solidFill>
                    <w14:schemeClr w14:val="tx1"/>
                  </w14:solidFill>
                </w14:textFill>
              </w:rPr>
              <w:t>水域</w:t>
            </w:r>
            <w:r>
              <w:rPr>
                <w:rFonts w:hint="default"/>
                <w:color w:val="000000" w:themeColor="text1"/>
                <w:highlight w:val="none"/>
                <w14:textFill>
                  <w14:solidFill>
                    <w14:schemeClr w14:val="tx1"/>
                  </w14:solidFill>
                </w14:textFill>
              </w:rPr>
              <w:t>保护区向陆纵深1000米范围内的陆域或至流域分水岭。</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vMerge w:val="continue"/>
            <w:vAlign w:val="center"/>
          </w:tcPr>
          <w:p>
            <w:pPr>
              <w:pStyle w:val="52"/>
              <w:rPr>
                <w:color w:val="000000" w:themeColor="text1"/>
                <w:highlight w:val="none"/>
                <w14:textFill>
                  <w14:solidFill>
                    <w14:schemeClr w14:val="tx1"/>
                  </w14:solidFill>
                </w14:textFill>
              </w:rPr>
            </w:pPr>
          </w:p>
        </w:tc>
        <w:tc>
          <w:tcPr>
            <w:tcW w:w="946" w:type="dxa"/>
            <w:vMerge w:val="continue"/>
            <w:vAlign w:val="center"/>
          </w:tcPr>
          <w:p>
            <w:pPr>
              <w:pStyle w:val="52"/>
              <w:rPr>
                <w:color w:val="000000" w:themeColor="text1"/>
                <w:highlight w:val="none"/>
                <w14:textFill>
                  <w14:solidFill>
                    <w14:schemeClr w14:val="tx1"/>
                  </w14:solidFill>
                </w14:textFill>
              </w:rPr>
            </w:pPr>
          </w:p>
        </w:tc>
        <w:tc>
          <w:tcPr>
            <w:tcW w:w="1494" w:type="dxa"/>
            <w:vMerge w:val="continue"/>
            <w:vAlign w:val="center"/>
          </w:tcPr>
          <w:p>
            <w:pPr>
              <w:pStyle w:val="52"/>
              <w:rPr>
                <w:color w:val="000000" w:themeColor="text1"/>
                <w:highlight w:val="none"/>
                <w14:textFill>
                  <w14:solidFill>
                    <w14:schemeClr w14:val="tx1"/>
                  </w14:solidFill>
                </w14:textFill>
              </w:rPr>
            </w:pPr>
          </w:p>
        </w:tc>
        <w:tc>
          <w:tcPr>
            <w:tcW w:w="143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准保护区</w:t>
            </w:r>
          </w:p>
        </w:tc>
        <w:tc>
          <w:tcPr>
            <w:tcW w:w="5722" w:type="dxa"/>
            <w:vAlign w:val="center"/>
          </w:tcPr>
          <w:p>
            <w:pPr>
              <w:pStyle w:val="52"/>
              <w:rPr>
                <w:color w:val="000000" w:themeColor="text1"/>
                <w:highlight w:val="none"/>
                <w14:textFill>
                  <w14:solidFill>
                    <w14:schemeClr w14:val="tx1"/>
                  </w14:solidFill>
                </w14:textFill>
              </w:rPr>
            </w:pPr>
            <w:r>
              <w:rPr>
                <w:rFonts w:hint="default"/>
                <w:color w:val="000000" w:themeColor="text1"/>
                <w:highlight w:val="none"/>
                <w14:textFill>
                  <w14:solidFill>
                    <w14:schemeClr w14:val="tx1"/>
                  </w14:solidFill>
                </w14:textFill>
              </w:rPr>
              <w:t>合水水库</w:t>
            </w:r>
            <w:r>
              <w:rPr>
                <w:rFonts w:hint="eastAsia"/>
                <w:color w:val="000000" w:themeColor="text1"/>
                <w:highlight w:val="none"/>
                <w14:textFill>
                  <w14:solidFill>
                    <w14:schemeClr w14:val="tx1"/>
                  </w14:solidFill>
                </w14:textFill>
              </w:rPr>
              <w:t>五管区</w:t>
            </w:r>
            <w:r>
              <w:rPr>
                <w:rFonts w:hint="default"/>
                <w:color w:val="000000" w:themeColor="text1"/>
                <w:highlight w:val="none"/>
                <w14:textFill>
                  <w14:solidFill>
                    <w14:schemeClr w14:val="tx1"/>
                  </w14:solidFill>
                </w14:textFill>
              </w:rPr>
              <w:t>堤围</w:t>
            </w:r>
            <w:r>
              <w:rPr>
                <w:rFonts w:hint="eastAsia"/>
                <w:color w:val="000000" w:themeColor="text1"/>
                <w:highlight w:val="none"/>
                <w14:textFill>
                  <w14:solidFill>
                    <w14:schemeClr w14:val="tx1"/>
                  </w14:solidFill>
                </w14:textFill>
              </w:rPr>
              <w:t>和</w:t>
            </w:r>
            <w:r>
              <w:rPr>
                <w:rFonts w:hint="default"/>
                <w:color w:val="000000" w:themeColor="text1"/>
                <w:highlight w:val="none"/>
                <w14:textFill>
                  <w14:solidFill>
                    <w14:schemeClr w14:val="tx1"/>
                  </w14:solidFill>
                </w14:textFill>
              </w:rPr>
              <w:t>S225</w:t>
            </w:r>
            <w:r>
              <w:rPr>
                <w:rFonts w:hint="eastAsia"/>
                <w:color w:val="000000" w:themeColor="text1"/>
                <w:highlight w:val="none"/>
                <w14:textFill>
                  <w14:solidFill>
                    <w14:schemeClr w14:val="tx1"/>
                  </w14:solidFill>
                </w14:textFill>
              </w:rPr>
              <w:t>省道</w:t>
            </w:r>
            <w:r>
              <w:rPr>
                <w:rFonts w:hint="default"/>
                <w:color w:val="000000" w:themeColor="text1"/>
                <w:highlight w:val="none"/>
                <w14:textFill>
                  <w14:solidFill>
                    <w14:schemeClr w14:val="tx1"/>
                  </w14:solidFill>
                </w14:textFill>
              </w:rPr>
              <w:t>分别向上游入库河流上溯5000米河段的水域。水质保护目标为Ⅱ类。</w:t>
            </w:r>
          </w:p>
        </w:tc>
        <w:tc>
          <w:tcPr>
            <w:tcW w:w="4076" w:type="dxa"/>
            <w:vAlign w:val="center"/>
          </w:tcPr>
          <w:p>
            <w:pPr>
              <w:pStyle w:val="52"/>
              <w:rPr>
                <w:color w:val="000000" w:themeColor="text1"/>
                <w:highlight w:val="none"/>
                <w14:textFill>
                  <w14:solidFill>
                    <w14:schemeClr w14:val="tx1"/>
                  </w14:solidFill>
                </w14:textFill>
              </w:rPr>
            </w:pPr>
            <w:r>
              <w:rPr>
                <w:rFonts w:hint="default"/>
                <w:color w:val="000000" w:themeColor="text1"/>
                <w:highlight w:val="none"/>
                <w14:textFill>
                  <w14:solidFill>
                    <w14:schemeClr w14:val="tx1"/>
                  </w14:solidFill>
                </w14:textFill>
              </w:rPr>
              <w:t>相应准保护区水域两岸河堤外坡脚向陆纵深200米的陆域</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vMerge w:val="restart"/>
            <w:vAlign w:val="center"/>
          </w:tcPr>
          <w:p>
            <w:pPr>
              <w:pStyle w:val="52"/>
              <w:rPr>
                <w:rFonts w:hint="eastAsia"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3</w:t>
            </w:r>
          </w:p>
        </w:tc>
        <w:tc>
          <w:tcPr>
            <w:tcW w:w="946" w:type="dxa"/>
            <w:vMerge w:val="restart"/>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494"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溜石塘溪饮用水源保护区</w:t>
            </w:r>
          </w:p>
        </w:tc>
        <w:tc>
          <w:tcPr>
            <w:tcW w:w="143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5722" w:type="dxa"/>
            <w:vAlign w:val="center"/>
          </w:tcPr>
          <w:p>
            <w:pPr>
              <w:pStyle w:val="52"/>
              <w:rPr>
                <w:rFonts w:hint="default"/>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溜石塘溪吸水点下游</w:t>
            </w:r>
            <w:r>
              <w:rPr>
                <w:color w:val="000000" w:themeColor="text1"/>
                <w:highlight w:val="none"/>
                <w14:textFill>
                  <w14:solidFill>
                    <w14:schemeClr w14:val="tx1"/>
                  </w14:solidFill>
                </w14:textFill>
              </w:rPr>
              <w:t>100</w:t>
            </w:r>
            <w:r>
              <w:rPr>
                <w:rFonts w:hint="eastAsia"/>
                <w:color w:val="000000" w:themeColor="text1"/>
                <w:highlight w:val="none"/>
                <w14:textFill>
                  <w14:solidFill>
                    <w14:schemeClr w14:val="tx1"/>
                  </w14:solidFill>
                </w14:textFill>
              </w:rPr>
              <w:t>米起至福利水电站拦</w:t>
            </w:r>
            <w:r>
              <w:rPr>
                <w:color w:val="000000" w:themeColor="text1"/>
                <w:highlight w:val="none"/>
                <w14:textFill>
                  <w14:solidFill>
                    <w14:schemeClr w14:val="tx1"/>
                  </w14:solidFill>
                </w14:textFill>
              </w:rPr>
              <w:t>水</w:t>
            </w:r>
            <w:r>
              <w:rPr>
                <w:rFonts w:hint="eastAsia"/>
                <w:color w:val="000000" w:themeColor="text1"/>
                <w:highlight w:val="none"/>
                <w14:textFill>
                  <w14:solidFill>
                    <w14:schemeClr w14:val="tx1"/>
                  </w14:solidFill>
                </w14:textFill>
              </w:rPr>
              <w:t>坝的水域。面积为</w:t>
            </w:r>
            <w:r>
              <w:rPr>
                <w:color w:val="000000" w:themeColor="text1"/>
                <w:highlight w:val="none"/>
                <w14:textFill>
                  <w14:solidFill>
                    <w14:schemeClr w14:val="tx1"/>
                  </w14:solidFill>
                </w14:textFill>
              </w:rPr>
              <w:t>0.02717</w:t>
            </w:r>
            <w:r>
              <w:rPr>
                <w:rFonts w:hint="eastAsia"/>
                <w:color w:val="000000" w:themeColor="text1"/>
                <w:highlight w:val="none"/>
                <w14:textFill>
                  <w14:solidFill>
                    <w14:schemeClr w14:val="tx1"/>
                  </w14:solidFill>
                </w14:textFill>
              </w:rPr>
              <w:t>平方公里。</w:t>
            </w:r>
            <w:r>
              <w:rPr>
                <w:rFonts w:hint="default"/>
                <w:color w:val="000000" w:themeColor="text1"/>
                <w:highlight w:val="none"/>
                <w14:textFill>
                  <w14:solidFill>
                    <w14:schemeClr w14:val="tx1"/>
                  </w14:solidFill>
                </w14:textFill>
              </w:rPr>
              <w:t>水质保护目标为Ⅱ类。</w:t>
            </w:r>
          </w:p>
        </w:tc>
        <w:tc>
          <w:tcPr>
            <w:tcW w:w="4076" w:type="dxa"/>
            <w:vAlign w:val="center"/>
          </w:tcPr>
          <w:p>
            <w:pPr>
              <w:pStyle w:val="52"/>
              <w:rPr>
                <w:rFonts w:hint="default"/>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相应一级保护区水域两岸向</w:t>
            </w:r>
            <w:r>
              <w:rPr>
                <w:color w:val="000000" w:themeColor="text1"/>
                <w:highlight w:val="none"/>
                <w14:textFill>
                  <w14:solidFill>
                    <w14:schemeClr w14:val="tx1"/>
                  </w14:solidFill>
                </w14:textFill>
              </w:rPr>
              <w:t>外</w:t>
            </w:r>
            <w:r>
              <w:rPr>
                <w:rFonts w:hint="eastAsia"/>
                <w:color w:val="000000" w:themeColor="text1"/>
                <w:highlight w:val="none"/>
                <w14:textFill>
                  <w14:solidFill>
                    <w14:schemeClr w14:val="tx1"/>
                  </w14:solidFill>
                </w14:textFill>
              </w:rPr>
              <w:t>5</w:t>
            </w:r>
            <w:r>
              <w:rPr>
                <w:color w:val="000000" w:themeColor="text1"/>
                <w:highlight w:val="none"/>
                <w14:textFill>
                  <w14:solidFill>
                    <w14:schemeClr w14:val="tx1"/>
                  </w14:solidFill>
                </w14:textFill>
              </w:rPr>
              <w:t>0m的陆域范围</w:t>
            </w:r>
            <w:r>
              <w:rPr>
                <w:rFonts w:hint="eastAsia"/>
                <w:color w:val="000000" w:themeColor="text1"/>
                <w:highlight w:val="none"/>
                <w14:textFill>
                  <w14:solidFill>
                    <w14:schemeClr w14:val="tx1"/>
                  </w14:solidFill>
                </w14:textFill>
              </w:rPr>
              <w:t>，面积为</w:t>
            </w:r>
            <w:r>
              <w:rPr>
                <w:color w:val="000000" w:themeColor="text1"/>
                <w:highlight w:val="none"/>
                <w14:textFill>
                  <w14:solidFill>
                    <w14:schemeClr w14:val="tx1"/>
                  </w14:solidFill>
                </w14:textFill>
              </w:rPr>
              <w:t>0.14365</w:t>
            </w:r>
            <w:r>
              <w:rPr>
                <w:rFonts w:hint="eastAsia"/>
                <w:color w:val="000000" w:themeColor="text1"/>
                <w:highlight w:val="none"/>
                <w14:textFill>
                  <w14:solidFill>
                    <w14:schemeClr w14:val="tx1"/>
                  </w14:solidFill>
                </w14:textFill>
              </w:rPr>
              <w:t>平方公里。</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vMerge w:val="continue"/>
            <w:vAlign w:val="center"/>
          </w:tcPr>
          <w:p>
            <w:pPr>
              <w:pStyle w:val="52"/>
              <w:rPr>
                <w:color w:val="000000" w:themeColor="text1"/>
                <w:highlight w:val="none"/>
                <w14:textFill>
                  <w14:solidFill>
                    <w14:schemeClr w14:val="tx1"/>
                  </w14:solidFill>
                </w14:textFill>
              </w:rPr>
            </w:pPr>
          </w:p>
        </w:tc>
        <w:tc>
          <w:tcPr>
            <w:tcW w:w="946" w:type="dxa"/>
            <w:vMerge w:val="continue"/>
            <w:vAlign w:val="center"/>
          </w:tcPr>
          <w:p>
            <w:pPr>
              <w:pStyle w:val="52"/>
              <w:rPr>
                <w:color w:val="000000" w:themeColor="text1"/>
                <w:highlight w:val="none"/>
                <w14:textFill>
                  <w14:solidFill>
                    <w14:schemeClr w14:val="tx1"/>
                  </w14:solidFill>
                </w14:textFill>
              </w:rPr>
            </w:pPr>
          </w:p>
        </w:tc>
        <w:tc>
          <w:tcPr>
            <w:tcW w:w="1494" w:type="dxa"/>
            <w:vMerge w:val="continue"/>
            <w:vAlign w:val="center"/>
          </w:tcPr>
          <w:p>
            <w:pPr>
              <w:pStyle w:val="52"/>
              <w:rPr>
                <w:color w:val="000000" w:themeColor="text1"/>
                <w:highlight w:val="none"/>
                <w14:textFill>
                  <w14:solidFill>
                    <w14:schemeClr w14:val="tx1"/>
                  </w14:solidFill>
                </w14:textFill>
              </w:rPr>
            </w:pPr>
          </w:p>
        </w:tc>
        <w:tc>
          <w:tcPr>
            <w:tcW w:w="143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二级保护区</w:t>
            </w:r>
          </w:p>
        </w:tc>
        <w:tc>
          <w:tcPr>
            <w:tcW w:w="5722" w:type="dxa"/>
            <w:vAlign w:val="center"/>
          </w:tcPr>
          <w:p>
            <w:pPr>
              <w:pStyle w:val="52"/>
              <w:rPr>
                <w:rFonts w:hint="default"/>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从一级保护区水域上边界上溯至溜石塘溪上游</w:t>
            </w:r>
            <w:r>
              <w:rPr>
                <w:color w:val="000000" w:themeColor="text1"/>
                <w:highlight w:val="none"/>
                <w14:textFill>
                  <w14:solidFill>
                    <w14:schemeClr w14:val="tx1"/>
                  </w14:solidFill>
                </w14:textFill>
              </w:rPr>
              <w:t>两支流交汇处（2600</w:t>
            </w:r>
            <w:r>
              <w:rPr>
                <w:rFonts w:hint="eastAsia"/>
                <w:color w:val="000000" w:themeColor="text1"/>
                <w:highlight w:val="none"/>
                <w14:textFill>
                  <w14:solidFill>
                    <w14:schemeClr w14:val="tx1"/>
                  </w14:solidFill>
                </w14:textFill>
              </w:rPr>
              <w:t>米）、下边界下溯至福利水电站（240</w:t>
            </w:r>
            <w:r>
              <w:rPr>
                <w:color w:val="000000" w:themeColor="text1"/>
                <w:highlight w:val="none"/>
                <w14:textFill>
                  <w14:solidFill>
                    <w14:schemeClr w14:val="tx1"/>
                  </w14:solidFill>
                </w14:textFill>
              </w:rPr>
              <w:t>m）</w:t>
            </w:r>
            <w:r>
              <w:rPr>
                <w:rFonts w:hint="eastAsia"/>
                <w:color w:val="000000" w:themeColor="text1"/>
                <w:highlight w:val="none"/>
                <w14:textFill>
                  <w14:solidFill>
                    <w14:schemeClr w14:val="tx1"/>
                  </w14:solidFill>
                </w14:textFill>
              </w:rPr>
              <w:t>的水域范围。面积为</w:t>
            </w:r>
            <w:r>
              <w:rPr>
                <w:color w:val="000000" w:themeColor="text1"/>
                <w:highlight w:val="none"/>
                <w14:textFill>
                  <w14:solidFill>
                    <w14:schemeClr w14:val="tx1"/>
                  </w14:solidFill>
                </w14:textFill>
              </w:rPr>
              <w:t>0.07462</w:t>
            </w:r>
            <w:r>
              <w:rPr>
                <w:rFonts w:hint="eastAsia"/>
                <w:color w:val="000000" w:themeColor="text1"/>
                <w:highlight w:val="none"/>
                <w14:textFill>
                  <w14:solidFill>
                    <w14:schemeClr w14:val="tx1"/>
                  </w14:solidFill>
                </w14:textFill>
              </w:rPr>
              <w:t>平方公里。</w:t>
            </w:r>
            <w:r>
              <w:rPr>
                <w:rFonts w:hint="default"/>
                <w:color w:val="000000" w:themeColor="text1"/>
                <w:highlight w:val="none"/>
                <w14:textFill>
                  <w14:solidFill>
                    <w14:schemeClr w14:val="tx1"/>
                  </w14:solidFill>
                </w14:textFill>
              </w:rPr>
              <w:t>水质保护目标为</w:t>
            </w:r>
            <w:r>
              <w:rPr>
                <w:rFonts w:hint="eastAsia" w:ascii="宋体" w:hAnsi="宋体" w:cs="宋体"/>
                <w:color w:val="000000" w:themeColor="text1"/>
                <w:highlight w:val="none"/>
                <w14:textFill>
                  <w14:solidFill>
                    <w14:schemeClr w14:val="tx1"/>
                  </w14:solidFill>
                </w14:textFill>
              </w:rPr>
              <w:t>Ⅲ</w:t>
            </w:r>
            <w:r>
              <w:rPr>
                <w:rFonts w:hint="default"/>
                <w:color w:val="000000" w:themeColor="text1"/>
                <w:highlight w:val="none"/>
                <w14:textFill>
                  <w14:solidFill>
                    <w14:schemeClr w14:val="tx1"/>
                  </w14:solidFill>
                </w14:textFill>
              </w:rPr>
              <w:t>类。</w:t>
            </w:r>
          </w:p>
        </w:tc>
        <w:tc>
          <w:tcPr>
            <w:tcW w:w="4076" w:type="dxa"/>
            <w:vAlign w:val="center"/>
          </w:tcPr>
          <w:p>
            <w:pPr>
              <w:pStyle w:val="52"/>
              <w:rPr>
                <w:rFonts w:hint="default"/>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相应一级</w:t>
            </w:r>
            <w:r>
              <w:rPr>
                <w:color w:val="000000" w:themeColor="text1"/>
                <w:highlight w:val="none"/>
                <w14:textFill>
                  <w14:solidFill>
                    <w14:schemeClr w14:val="tx1"/>
                  </w14:solidFill>
                </w14:textFill>
              </w:rPr>
              <w:t>保护</w:t>
            </w:r>
            <w:r>
              <w:rPr>
                <w:rFonts w:hint="eastAsia"/>
                <w:color w:val="000000" w:themeColor="text1"/>
                <w:highlight w:val="none"/>
                <w14:textFill>
                  <w14:solidFill>
                    <w14:schemeClr w14:val="tx1"/>
                  </w14:solidFill>
                </w14:textFill>
              </w:rPr>
              <w:t>水</w:t>
            </w:r>
            <w:r>
              <w:rPr>
                <w:color w:val="000000" w:themeColor="text1"/>
                <w:highlight w:val="none"/>
                <w14:textFill>
                  <w14:solidFill>
                    <w14:schemeClr w14:val="tx1"/>
                  </w14:solidFill>
                </w14:textFill>
              </w:rPr>
              <w:t>域和</w:t>
            </w:r>
            <w:r>
              <w:rPr>
                <w:rFonts w:hint="eastAsia"/>
                <w:color w:val="000000" w:themeColor="text1"/>
                <w:highlight w:val="none"/>
                <w14:textFill>
                  <w14:solidFill>
                    <w14:schemeClr w14:val="tx1"/>
                  </w14:solidFill>
                </w14:textFill>
              </w:rPr>
              <w:t>二级保护区水域两岸向外纵深</w:t>
            </w:r>
            <w:r>
              <w:rPr>
                <w:color w:val="000000" w:themeColor="text1"/>
                <w:highlight w:val="none"/>
                <w14:textFill>
                  <w14:solidFill>
                    <w14:schemeClr w14:val="tx1"/>
                  </w14:solidFill>
                </w14:textFill>
              </w:rPr>
              <w:t>1000m</w:t>
            </w:r>
            <w:r>
              <w:rPr>
                <w:rFonts w:hint="eastAsia"/>
                <w:color w:val="000000" w:themeColor="text1"/>
                <w:highlight w:val="none"/>
                <w14:textFill>
                  <w14:solidFill>
                    <w14:schemeClr w14:val="tx1"/>
                  </w14:solidFill>
                </w14:textFill>
              </w:rPr>
              <w:t>的集水范围，面积为</w:t>
            </w:r>
            <w:r>
              <w:rPr>
                <w:color w:val="000000" w:themeColor="text1"/>
                <w:highlight w:val="none"/>
                <w14:textFill>
                  <w14:solidFill>
                    <w14:schemeClr w14:val="tx1"/>
                  </w14:solidFill>
                </w14:textFill>
              </w:rPr>
              <w:t>5.03866</w:t>
            </w:r>
            <w:r>
              <w:rPr>
                <w:rFonts w:hint="eastAsia"/>
                <w:color w:val="000000" w:themeColor="text1"/>
                <w:highlight w:val="none"/>
                <w14:textFill>
                  <w14:solidFill>
                    <w14:schemeClr w14:val="tx1"/>
                  </w14:solidFill>
                </w14:textFill>
              </w:rPr>
              <w:t>平方公里。</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501" w:type="dxa"/>
            <w:vAlign w:val="center"/>
          </w:tcPr>
          <w:p>
            <w:pPr>
              <w:pStyle w:val="52"/>
              <w:rPr>
                <w:rFonts w:hint="eastAsia"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4</w:t>
            </w:r>
          </w:p>
        </w:tc>
        <w:tc>
          <w:tcPr>
            <w:tcW w:w="946"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兴宁市</w:t>
            </w:r>
          </w:p>
        </w:tc>
        <w:tc>
          <w:tcPr>
            <w:tcW w:w="1494"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黄坭坑水库饮用水源保护区</w:t>
            </w:r>
          </w:p>
        </w:tc>
        <w:tc>
          <w:tcPr>
            <w:tcW w:w="1435" w:type="dxa"/>
            <w:vAlign w:val="center"/>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一级保护区</w:t>
            </w:r>
          </w:p>
        </w:tc>
        <w:tc>
          <w:tcPr>
            <w:tcW w:w="5722" w:type="dxa"/>
            <w:vAlign w:val="center"/>
          </w:tcPr>
          <w:p>
            <w:pPr>
              <w:pStyle w:val="52"/>
              <w:rPr>
                <w:rFonts w:hint="default"/>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水库正常水位线以下的全部水域，面积为</w:t>
            </w:r>
            <w:r>
              <w:rPr>
                <w:color w:val="000000" w:themeColor="text1"/>
                <w:highlight w:val="none"/>
                <w14:textFill>
                  <w14:solidFill>
                    <w14:schemeClr w14:val="tx1"/>
                  </w14:solidFill>
                </w14:textFill>
              </w:rPr>
              <w:t>0.02851</w:t>
            </w:r>
            <w:r>
              <w:rPr>
                <w:rFonts w:hint="eastAsia"/>
                <w:color w:val="000000" w:themeColor="text1"/>
                <w:highlight w:val="none"/>
                <w14:textFill>
                  <w14:solidFill>
                    <w14:schemeClr w14:val="tx1"/>
                  </w14:solidFill>
                </w14:textFill>
              </w:rPr>
              <w:t>平方公里。</w:t>
            </w:r>
            <w:r>
              <w:rPr>
                <w:rFonts w:hint="default"/>
                <w:color w:val="000000" w:themeColor="text1"/>
                <w:highlight w:val="none"/>
                <w14:textFill>
                  <w14:solidFill>
                    <w14:schemeClr w14:val="tx1"/>
                  </w14:solidFill>
                </w14:textFill>
              </w:rPr>
              <w:t>水质保护目标为Ⅱ类。</w:t>
            </w:r>
          </w:p>
        </w:tc>
        <w:tc>
          <w:tcPr>
            <w:tcW w:w="4076" w:type="dxa"/>
            <w:vAlign w:val="center"/>
          </w:tcPr>
          <w:p>
            <w:pPr>
              <w:pStyle w:val="52"/>
              <w:rPr>
                <w:rFonts w:hint="default"/>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水库正常水位线至流域分水岭的陆域范围，面积为</w:t>
            </w:r>
            <w:r>
              <w:rPr>
                <w:color w:val="000000" w:themeColor="text1"/>
                <w:highlight w:val="none"/>
                <w14:textFill>
                  <w14:solidFill>
                    <w14:schemeClr w14:val="tx1"/>
                  </w14:solidFill>
                </w14:textFill>
              </w:rPr>
              <w:t>1.82954</w:t>
            </w:r>
            <w:r>
              <w:rPr>
                <w:rFonts w:hint="eastAsia"/>
                <w:color w:val="000000" w:themeColor="text1"/>
                <w:highlight w:val="none"/>
                <w14:textFill>
                  <w14:solidFill>
                    <w14:schemeClr w14:val="tx1"/>
                  </w14:solidFill>
                </w14:textFill>
              </w:rPr>
              <w:t>平方公里。</w:t>
            </w:r>
          </w:p>
        </w:tc>
      </w:tr>
    </w:tbl>
    <w:p>
      <w:pPr>
        <w:ind w:left="0" w:leftChars="0" w:firstLine="0" w:firstLineChars="0"/>
        <w:jc w:val="center"/>
        <w:rPr>
          <w:color w:val="000000" w:themeColor="text1"/>
          <w:highlight w:val="none"/>
          <w14:textFill>
            <w14:solidFill>
              <w14:schemeClr w14:val="tx1"/>
            </w14:solidFill>
          </w14:textFill>
        </w:rPr>
      </w:pPr>
      <w:r>
        <w:rPr>
          <w:b/>
          <w:bCs/>
          <w:color w:val="000000" w:themeColor="text1"/>
          <w:highlight w:val="none"/>
          <w14:textFill>
            <w14:solidFill>
              <w14:schemeClr w14:val="tx1"/>
            </w14:solidFill>
          </w14:textFill>
        </w:rPr>
        <w:t>表</w:t>
      </w:r>
      <w:r>
        <w:rPr>
          <w:rFonts w:hint="eastAsia"/>
          <w:b/>
          <w:bCs/>
          <w:color w:val="000000" w:themeColor="text1"/>
          <w:highlight w:val="none"/>
          <w14:textFill>
            <w14:solidFill>
              <w14:schemeClr w14:val="tx1"/>
            </w14:solidFill>
          </w14:textFill>
        </w:rPr>
        <w:t>6</w:t>
      </w:r>
      <w:r>
        <w:rPr>
          <w:b/>
          <w:bCs/>
          <w:color w:val="000000" w:themeColor="text1"/>
          <w:highlight w:val="none"/>
          <w14:textFill>
            <w14:solidFill>
              <w14:schemeClr w14:val="tx1"/>
            </w14:solidFill>
          </w14:textFill>
        </w:rPr>
        <w:t>.3-</w:t>
      </w:r>
      <w:r>
        <w:rPr>
          <w:rFonts w:hint="eastAsia"/>
          <w:b/>
          <w:bCs/>
          <w:color w:val="000000" w:themeColor="text1"/>
          <w:highlight w:val="none"/>
          <w:lang w:val="en-US" w:eastAsia="zh-CN"/>
          <w14:textFill>
            <w14:solidFill>
              <w14:schemeClr w14:val="tx1"/>
            </w14:solidFill>
          </w14:textFill>
        </w:rPr>
        <w:t>4</w:t>
      </w:r>
      <w:r>
        <w:rPr>
          <w:rFonts w:hint="eastAsia"/>
          <w:b/>
          <w:bCs/>
          <w:color w:val="000000" w:themeColor="text1"/>
          <w:highlight w:val="none"/>
          <w:lang w:eastAsia="zh-CN"/>
          <w14:textFill>
            <w14:solidFill>
              <w14:schemeClr w14:val="tx1"/>
            </w14:solidFill>
          </w14:textFill>
        </w:rPr>
        <w:t>梅州市梅县畲江镇饮用水源保护区范围（粤府函[20</w:t>
      </w:r>
      <w:r>
        <w:rPr>
          <w:rFonts w:hint="eastAsia"/>
          <w:b/>
          <w:bCs/>
          <w:color w:val="000000" w:themeColor="text1"/>
          <w:highlight w:val="none"/>
          <w:lang w:val="en-US" w:eastAsia="zh-CN"/>
          <w14:textFill>
            <w14:solidFill>
              <w14:schemeClr w14:val="tx1"/>
            </w14:solidFill>
          </w14:textFill>
        </w:rPr>
        <w:t>09</w:t>
      </w:r>
      <w:r>
        <w:rPr>
          <w:rFonts w:hint="eastAsia"/>
          <w:b/>
          <w:bCs/>
          <w:color w:val="000000" w:themeColor="text1"/>
          <w:highlight w:val="none"/>
          <w:lang w:eastAsia="zh-CN"/>
          <w14:textFill>
            <w14:solidFill>
              <w14:schemeClr w14:val="tx1"/>
            </w14:solidFill>
          </w14:textFill>
        </w:rPr>
        <w:t>]</w:t>
      </w:r>
      <w:r>
        <w:rPr>
          <w:rFonts w:hint="eastAsia"/>
          <w:b/>
          <w:bCs/>
          <w:color w:val="000000" w:themeColor="text1"/>
          <w:highlight w:val="none"/>
          <w:lang w:val="en-US" w:eastAsia="zh-CN"/>
          <w14:textFill>
            <w14:solidFill>
              <w14:schemeClr w14:val="tx1"/>
            </w14:solidFill>
          </w14:textFill>
        </w:rPr>
        <w:t>997</w:t>
      </w:r>
      <w:r>
        <w:rPr>
          <w:rFonts w:hint="eastAsia"/>
          <w:b/>
          <w:bCs/>
          <w:color w:val="000000" w:themeColor="text1"/>
          <w:highlight w:val="none"/>
          <w:lang w:eastAsia="zh-CN"/>
          <w14:textFill>
            <w14:solidFill>
              <w14:schemeClr w14:val="tx1"/>
            </w14:solidFill>
          </w14:textFill>
        </w:rPr>
        <w:t>号）</w:t>
      </w:r>
    </w:p>
    <w:tbl>
      <w:tblPr>
        <w:tblStyle w:val="34"/>
        <w:tblW w:w="141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7"/>
        <w:gridCol w:w="2025"/>
        <w:gridCol w:w="4785"/>
        <w:gridCol w:w="3645"/>
        <w:gridCol w:w="21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1557"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保护区所在地</w:t>
            </w:r>
          </w:p>
        </w:tc>
        <w:tc>
          <w:tcPr>
            <w:tcW w:w="2025"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保护区名称和级别</w:t>
            </w:r>
          </w:p>
        </w:tc>
        <w:tc>
          <w:tcPr>
            <w:tcW w:w="4785"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水域保护范围与水质保护目标</w:t>
            </w:r>
          </w:p>
        </w:tc>
        <w:tc>
          <w:tcPr>
            <w:tcW w:w="3645"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陆域保护范围</w:t>
            </w:r>
          </w:p>
        </w:tc>
        <w:tc>
          <w:tcPr>
            <w:tcW w:w="2103"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57" w:type="dxa"/>
            <w:vMerge w:val="restart"/>
            <w:noWrap w:val="0"/>
            <w:vAlign w:val="center"/>
          </w:tcPr>
          <w:p>
            <w:pPr>
              <w:ind w:left="0" w:leftChars="0" w:firstLine="0" w:firstLineChars="0"/>
              <w:jc w:val="both"/>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梅县畲江镇</w:t>
            </w:r>
          </w:p>
        </w:tc>
        <w:tc>
          <w:tcPr>
            <w:tcW w:w="2025" w:type="dxa"/>
            <w:noWrap w:val="0"/>
            <w:vAlign w:val="center"/>
          </w:tcPr>
          <w:p>
            <w:pPr>
              <w:keepNext w:val="0"/>
              <w:keepLines w:val="0"/>
              <w:pageBreakBefore w:val="0"/>
              <w:widowControl/>
              <w:kinsoku/>
              <w:wordWrap/>
              <w:overflowPunct/>
              <w:topLinePunct w:val="0"/>
              <w:autoSpaceDE/>
              <w:autoSpaceDN/>
              <w:bidi w:val="0"/>
              <w:adjustRightInd/>
              <w:snapToGrid/>
              <w:spacing w:line="440" w:lineRule="exact"/>
              <w:ind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畲江镇饮用水源一级保护区</w:t>
            </w:r>
          </w:p>
        </w:tc>
        <w:tc>
          <w:tcPr>
            <w:tcW w:w="4785" w:type="dxa"/>
            <w:noWrap w:val="0"/>
            <w:vAlign w:val="center"/>
          </w:tcPr>
          <w:p>
            <w:pPr>
              <w:keepNext w:val="0"/>
              <w:keepLines w:val="0"/>
              <w:pageBreakBefore w:val="0"/>
              <w:widowControl/>
              <w:kinsoku/>
              <w:wordWrap/>
              <w:overflowPunct/>
              <w:topLinePunct w:val="0"/>
              <w:autoSpaceDE/>
              <w:autoSpaceDN/>
              <w:bidi w:val="0"/>
              <w:adjustRightInd/>
              <w:snapToGrid/>
              <w:spacing w:line="440" w:lineRule="exact"/>
              <w:ind w:firstLine="0" w:firstLineChars="0"/>
              <w:jc w:val="center"/>
              <w:textAlignment w:val="auto"/>
              <w:rPr>
                <w:rFonts w:hint="default"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水口镇黎光村双全坝自然村处至松陂河汇入梅江口上游400米处约</w:t>
            </w:r>
            <w:r>
              <w:rPr>
                <w:rFonts w:hint="eastAsia" w:cstheme="majorBidi"/>
                <w:b w:val="0"/>
                <w:color w:val="000000" w:themeColor="text1"/>
                <w:sz w:val="21"/>
                <w:szCs w:val="24"/>
                <w:highlight w:val="none"/>
                <w:lang w:val="en-US" w:eastAsia="zh-CN" w:bidi="ar-SA"/>
                <w14:textFill>
                  <w14:solidFill>
                    <w14:schemeClr w14:val="tx1"/>
                  </w14:solidFill>
                </w14:textFill>
              </w:rPr>
              <w:t>1.1</w:t>
            </w: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公里梅江干流河段，5年一遇洪水所能淹没的水域，水质保护目标为Ⅱ类</w:t>
            </w:r>
          </w:p>
        </w:tc>
        <w:tc>
          <w:tcPr>
            <w:tcW w:w="3645" w:type="dxa"/>
            <w:noWrap w:val="0"/>
            <w:vAlign w:val="center"/>
          </w:tcPr>
          <w:p>
            <w:pPr>
              <w:keepNext w:val="0"/>
              <w:keepLines w:val="0"/>
              <w:pageBreakBefore w:val="0"/>
              <w:widowControl/>
              <w:kinsoku/>
              <w:wordWrap/>
              <w:overflowPunct/>
              <w:topLinePunct w:val="0"/>
              <w:autoSpaceDE/>
              <w:autoSpaceDN/>
              <w:bidi w:val="0"/>
              <w:adjustRightInd/>
              <w:snapToGrid/>
              <w:spacing w:line="440" w:lineRule="exact"/>
              <w:ind w:firstLine="0" w:firstLineChars="0"/>
              <w:jc w:val="center"/>
              <w:textAlignment w:val="auto"/>
              <w:rPr>
                <w:rFonts w:hint="default"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相应一级保护区水域两岸河堤外坡脚向陆纵深50米的陆域范围（包括取水点周边半径100米的扇形区域）</w:t>
            </w:r>
          </w:p>
        </w:tc>
        <w:tc>
          <w:tcPr>
            <w:tcW w:w="2103" w:type="dxa"/>
            <w:vMerge w:val="restart"/>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default"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cstheme="majorBidi"/>
                <w:b w:val="0"/>
                <w:color w:val="000000" w:themeColor="text1"/>
                <w:sz w:val="21"/>
                <w:szCs w:val="24"/>
                <w:highlight w:val="none"/>
                <w:lang w:val="en-US" w:eastAsia="zh-CN" w:bidi="ar-SA"/>
                <w14:textFill>
                  <w14:solidFill>
                    <w14:schemeClr w14:val="tx1"/>
                  </w14:solidFill>
                </w14:textFill>
              </w:rPr>
              <w:t>畲江</w:t>
            </w: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自来水厂取水口位于松陂河汇入梅江口上游500米处梅江干流右侧，经度115°56′52″，纬度24°00′15″。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1557" w:type="dxa"/>
            <w:vMerge w:val="continue"/>
            <w:noWrap w:val="0"/>
            <w:vAlign w:val="center"/>
          </w:tcPr>
          <w:p>
            <w:pPr>
              <w:jc w:val="center"/>
              <w:rPr>
                <w:rFonts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p>
        </w:tc>
        <w:tc>
          <w:tcPr>
            <w:tcW w:w="2025" w:type="dxa"/>
            <w:noWrap w:val="0"/>
            <w:vAlign w:val="center"/>
          </w:tcPr>
          <w:p>
            <w:pPr>
              <w:keepNext w:val="0"/>
              <w:keepLines w:val="0"/>
              <w:pageBreakBefore w:val="0"/>
              <w:widowControl/>
              <w:kinsoku/>
              <w:wordWrap/>
              <w:overflowPunct/>
              <w:topLinePunct w:val="0"/>
              <w:autoSpaceDE/>
              <w:autoSpaceDN/>
              <w:bidi w:val="0"/>
              <w:adjustRightInd/>
              <w:snapToGrid/>
              <w:spacing w:line="440" w:lineRule="exact"/>
              <w:ind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畲江镇饮用水源二级保护区</w:t>
            </w:r>
          </w:p>
        </w:tc>
        <w:tc>
          <w:tcPr>
            <w:tcW w:w="4785" w:type="dxa"/>
            <w:noWrap w:val="0"/>
            <w:vAlign w:val="center"/>
          </w:tcPr>
          <w:p>
            <w:pPr>
              <w:keepNext w:val="0"/>
              <w:keepLines w:val="0"/>
              <w:pageBreakBefore w:val="0"/>
              <w:widowControl/>
              <w:kinsoku/>
              <w:wordWrap/>
              <w:overflowPunct/>
              <w:topLinePunct w:val="0"/>
              <w:autoSpaceDE/>
              <w:autoSpaceDN/>
              <w:bidi w:val="0"/>
              <w:adjustRightInd/>
              <w:snapToGrid/>
              <w:spacing w:line="440" w:lineRule="exact"/>
              <w:ind w:firstLine="0" w:firstLineChars="0"/>
              <w:jc w:val="center"/>
              <w:textAlignment w:val="auto"/>
              <w:rPr>
                <w:rFonts w:hint="default"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宋声河汇入梅江口处至松陂河汇入梅江口上游200米处约3.3公里梅江干流河段，一级保护区水域边界外延至两岸10年一遇洪水所能淹没的水域（一级保护区水域范围除外）。水质保护目标为Ⅱ类</w:t>
            </w:r>
          </w:p>
        </w:tc>
        <w:tc>
          <w:tcPr>
            <w:tcW w:w="3645" w:type="dxa"/>
            <w:noWrap w:val="0"/>
            <w:vAlign w:val="center"/>
          </w:tcPr>
          <w:p>
            <w:pPr>
              <w:keepNext w:val="0"/>
              <w:keepLines w:val="0"/>
              <w:pageBreakBefore w:val="0"/>
              <w:widowControl/>
              <w:kinsoku/>
              <w:wordWrap/>
              <w:overflowPunct/>
              <w:topLinePunct w:val="0"/>
              <w:autoSpaceDE/>
              <w:autoSpaceDN/>
              <w:bidi w:val="0"/>
              <w:adjustRightInd/>
              <w:snapToGrid/>
              <w:spacing w:line="440" w:lineRule="exact"/>
              <w:ind w:firstLine="0" w:firstLineChars="0"/>
              <w:jc w:val="center"/>
              <w:textAlignment w:val="auto"/>
              <w:rPr>
                <w:rFonts w:hint="default"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相应一、二级保护区水域两岸河堤外坡脚向陆纵深1000米的陆域范围（一级保护区陆域范围除外）。</w:t>
            </w:r>
          </w:p>
        </w:tc>
        <w:tc>
          <w:tcPr>
            <w:tcW w:w="2103"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p>
        </w:tc>
      </w:tr>
    </w:tbl>
    <w:p>
      <w:pPr>
        <w:ind w:left="0" w:leftChars="0" w:firstLine="0" w:firstLineChars="0"/>
        <w:jc w:val="center"/>
        <w:rPr>
          <w:color w:val="000000" w:themeColor="text1"/>
          <w:highlight w:val="none"/>
          <w14:textFill>
            <w14:solidFill>
              <w14:schemeClr w14:val="tx1"/>
            </w14:solidFill>
          </w14:textFill>
        </w:rPr>
      </w:pPr>
    </w:p>
    <w:p>
      <w:pPr>
        <w:ind w:left="0" w:leftChars="0" w:firstLine="0" w:firstLineChars="0"/>
        <w:jc w:val="center"/>
        <w:rPr>
          <w:b/>
          <w:bCs/>
          <w:color w:val="000000" w:themeColor="text1"/>
          <w:highlight w:val="none"/>
          <w14:textFill>
            <w14:solidFill>
              <w14:schemeClr w14:val="tx1"/>
            </w14:solidFill>
          </w14:textFill>
        </w:rPr>
      </w:pPr>
      <w:r>
        <w:rPr>
          <w:b/>
          <w:bCs/>
          <w:color w:val="000000" w:themeColor="text1"/>
          <w:highlight w:val="none"/>
          <w14:textFill>
            <w14:solidFill>
              <w14:schemeClr w14:val="tx1"/>
            </w14:solidFill>
          </w14:textFill>
        </w:rPr>
        <w:t>表</w:t>
      </w:r>
      <w:r>
        <w:rPr>
          <w:rFonts w:hint="eastAsia"/>
          <w:b/>
          <w:bCs/>
          <w:color w:val="000000" w:themeColor="text1"/>
          <w:highlight w:val="none"/>
          <w14:textFill>
            <w14:solidFill>
              <w14:schemeClr w14:val="tx1"/>
            </w14:solidFill>
          </w14:textFill>
        </w:rPr>
        <w:t>6</w:t>
      </w:r>
      <w:r>
        <w:rPr>
          <w:b/>
          <w:bCs/>
          <w:color w:val="000000" w:themeColor="text1"/>
          <w:highlight w:val="none"/>
          <w14:textFill>
            <w14:solidFill>
              <w14:schemeClr w14:val="tx1"/>
            </w14:solidFill>
          </w14:textFill>
        </w:rPr>
        <w:t>.3-</w:t>
      </w:r>
      <w:r>
        <w:rPr>
          <w:rFonts w:hint="eastAsia"/>
          <w:b/>
          <w:bCs/>
          <w:color w:val="000000" w:themeColor="text1"/>
          <w:highlight w:val="none"/>
          <w:lang w:val="en-US" w:eastAsia="zh-CN"/>
          <w14:textFill>
            <w14:solidFill>
              <w14:schemeClr w14:val="tx1"/>
            </w14:solidFill>
          </w14:textFill>
        </w:rPr>
        <w:t>5</w:t>
      </w:r>
      <w:r>
        <w:rPr>
          <w:rFonts w:hint="eastAsia"/>
          <w:b/>
          <w:bCs/>
          <w:color w:val="000000" w:themeColor="text1"/>
          <w:highlight w:val="none"/>
          <w:lang w:eastAsia="zh-CN"/>
          <w14:textFill>
            <w14:solidFill>
              <w14:schemeClr w14:val="tx1"/>
            </w14:solidFill>
          </w14:textFill>
        </w:rPr>
        <w:t>关于梅州市生活饮用水地标水源保护区划分方案的批复（粤府函[</w:t>
      </w:r>
      <w:r>
        <w:rPr>
          <w:rFonts w:hint="eastAsia"/>
          <w:b/>
          <w:bCs/>
          <w:color w:val="000000" w:themeColor="text1"/>
          <w:highlight w:val="none"/>
          <w:lang w:val="en-US" w:eastAsia="zh-CN"/>
          <w14:textFill>
            <w14:solidFill>
              <w14:schemeClr w14:val="tx1"/>
            </w14:solidFill>
          </w14:textFill>
        </w:rPr>
        <w:t>1999</w:t>
      </w:r>
      <w:r>
        <w:rPr>
          <w:rFonts w:hint="eastAsia"/>
          <w:b/>
          <w:bCs/>
          <w:color w:val="000000" w:themeColor="text1"/>
          <w:highlight w:val="none"/>
          <w:lang w:eastAsia="zh-CN"/>
          <w14:textFill>
            <w14:solidFill>
              <w14:schemeClr w14:val="tx1"/>
            </w14:solidFill>
          </w14:textFill>
        </w:rPr>
        <w:t>]</w:t>
      </w:r>
      <w:r>
        <w:rPr>
          <w:rFonts w:hint="eastAsia"/>
          <w:b/>
          <w:bCs/>
          <w:color w:val="000000" w:themeColor="text1"/>
          <w:highlight w:val="none"/>
          <w:lang w:val="en-US" w:eastAsia="zh-CN"/>
          <w14:textFill>
            <w14:solidFill>
              <w14:schemeClr w14:val="tx1"/>
            </w14:solidFill>
          </w14:textFill>
        </w:rPr>
        <w:t>42</w:t>
      </w:r>
      <w:r>
        <w:rPr>
          <w:rFonts w:hint="eastAsia"/>
          <w:b/>
          <w:bCs/>
          <w:color w:val="000000" w:themeColor="text1"/>
          <w:highlight w:val="none"/>
          <w:lang w:eastAsia="zh-CN"/>
          <w14:textFill>
            <w14:solidFill>
              <w14:schemeClr w14:val="tx1"/>
            </w14:solidFill>
          </w14:textFill>
        </w:rPr>
        <w:t>号）</w:t>
      </w:r>
    </w:p>
    <w:tbl>
      <w:tblPr>
        <w:tblStyle w:val="34"/>
        <w:tblW w:w="141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7"/>
        <w:gridCol w:w="2025"/>
        <w:gridCol w:w="4785"/>
        <w:gridCol w:w="3645"/>
        <w:gridCol w:w="21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1557"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保护区所在地</w:t>
            </w:r>
          </w:p>
        </w:tc>
        <w:tc>
          <w:tcPr>
            <w:tcW w:w="2025"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保护区名称和级别</w:t>
            </w:r>
          </w:p>
        </w:tc>
        <w:tc>
          <w:tcPr>
            <w:tcW w:w="4785"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水域保护范围与水质保护目标</w:t>
            </w:r>
          </w:p>
        </w:tc>
        <w:tc>
          <w:tcPr>
            <w:tcW w:w="3645"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陆域保护范围</w:t>
            </w:r>
          </w:p>
        </w:tc>
        <w:tc>
          <w:tcPr>
            <w:tcW w:w="2103"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57" w:type="dxa"/>
            <w:vMerge w:val="restart"/>
            <w:noWrap w:val="0"/>
            <w:vAlign w:val="center"/>
          </w:tcPr>
          <w:p>
            <w:pPr>
              <w:ind w:left="0" w:leftChars="0" w:firstLine="0" w:firstLineChars="0"/>
              <w:jc w:val="both"/>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cstheme="majorBidi"/>
                <w:b w:val="0"/>
                <w:color w:val="000000" w:themeColor="text1"/>
                <w:sz w:val="21"/>
                <w:szCs w:val="24"/>
                <w:highlight w:val="none"/>
                <w:lang w:val="en-US" w:eastAsia="zh-CN" w:bidi="ar-SA"/>
                <w14:textFill>
                  <w14:solidFill>
                    <w14:schemeClr w14:val="tx1"/>
                  </w14:solidFill>
                </w14:textFill>
              </w:rPr>
              <w:t>兴宁市福岭水库</w:t>
            </w:r>
          </w:p>
        </w:tc>
        <w:tc>
          <w:tcPr>
            <w:tcW w:w="2025"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cstheme="majorBidi"/>
                <w:b w:val="0"/>
                <w:color w:val="000000" w:themeColor="text1"/>
                <w:sz w:val="21"/>
                <w:szCs w:val="24"/>
                <w:highlight w:val="none"/>
                <w:lang w:val="en-US" w:eastAsia="zh-CN" w:bidi="ar-SA"/>
                <w14:textFill>
                  <w14:solidFill>
                    <w14:schemeClr w14:val="tx1"/>
                  </w14:solidFill>
                </w14:textFill>
              </w:rPr>
              <w:t>兴宁市区饮用水源</w:t>
            </w: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一级保护区</w:t>
            </w:r>
          </w:p>
        </w:tc>
        <w:tc>
          <w:tcPr>
            <w:tcW w:w="4785"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cstheme="majorBidi"/>
                <w:b w:val="0"/>
                <w:color w:val="000000" w:themeColor="text1"/>
                <w:sz w:val="21"/>
                <w:szCs w:val="24"/>
                <w:highlight w:val="none"/>
                <w:lang w:val="en-US" w:eastAsia="zh-CN" w:bidi="ar-SA"/>
                <w14:textFill>
                  <w14:solidFill>
                    <w14:schemeClr w14:val="tx1"/>
                  </w14:solidFill>
                </w14:textFill>
              </w:rPr>
              <w:t>福岭水库库区向兴宁机场供水点为中心100米范围内的水域，水质保护目标为</w:t>
            </w: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Ⅱ类</w:t>
            </w:r>
          </w:p>
        </w:tc>
        <w:tc>
          <w:tcPr>
            <w:tcW w:w="3645"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color w:val="000000" w:themeColor="text1"/>
                <w:highlight w:val="none"/>
                <w14:textFill>
                  <w14:solidFill>
                    <w14:schemeClr w14:val="tx1"/>
                  </w14:solidFill>
                </w14:textFill>
              </w:rPr>
              <w:t>—</w:t>
            </w:r>
          </w:p>
        </w:tc>
        <w:tc>
          <w:tcPr>
            <w:tcW w:w="2103" w:type="dxa"/>
            <w:vMerge w:val="restart"/>
            <w:noWrap w:val="0"/>
            <w:vAlign w:val="center"/>
          </w:tcPr>
          <w:p>
            <w:pPr>
              <w:ind w:left="0" w:leftChars="0" w:firstLine="0" w:firstLineChars="0"/>
              <w:jc w:val="center"/>
              <w:rPr>
                <w:rFonts w:hint="default"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color w:val="000000" w:themeColor="text1"/>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1557" w:type="dxa"/>
            <w:vMerge w:val="continue"/>
            <w:noWrap w:val="0"/>
            <w:vAlign w:val="center"/>
          </w:tcPr>
          <w:p>
            <w:pPr>
              <w:jc w:val="center"/>
              <w:rPr>
                <w:rFonts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p>
        </w:tc>
        <w:tc>
          <w:tcPr>
            <w:tcW w:w="2025"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cstheme="majorBidi"/>
                <w:b w:val="0"/>
                <w:color w:val="000000" w:themeColor="text1"/>
                <w:sz w:val="21"/>
                <w:szCs w:val="24"/>
                <w:highlight w:val="none"/>
                <w:lang w:val="en-US" w:eastAsia="zh-CN" w:bidi="ar-SA"/>
                <w14:textFill>
                  <w14:solidFill>
                    <w14:schemeClr w14:val="tx1"/>
                  </w14:solidFill>
                </w14:textFill>
              </w:rPr>
              <w:t>兴宁市区饮用水源</w:t>
            </w: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二级保护区</w:t>
            </w:r>
          </w:p>
        </w:tc>
        <w:tc>
          <w:tcPr>
            <w:tcW w:w="4785"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cstheme="majorBidi"/>
                <w:b w:val="0"/>
                <w:color w:val="000000" w:themeColor="text1"/>
                <w:sz w:val="21"/>
                <w:szCs w:val="24"/>
                <w:highlight w:val="none"/>
                <w:lang w:val="en-US" w:eastAsia="zh-CN" w:bidi="ar-SA"/>
                <w14:textFill>
                  <w14:solidFill>
                    <w14:schemeClr w14:val="tx1"/>
                  </w14:solidFill>
                </w14:textFill>
              </w:rPr>
              <w:t>福岭水库正常水位线内除一级保护区外的水域，入库河流上游1000米的水域</w:t>
            </w: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。水质保护目标为Ⅱ类</w:t>
            </w:r>
          </w:p>
        </w:tc>
        <w:tc>
          <w:tcPr>
            <w:tcW w:w="3645"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cstheme="majorBidi"/>
                <w:b w:val="0"/>
                <w:color w:val="000000" w:themeColor="text1"/>
                <w:sz w:val="21"/>
                <w:szCs w:val="24"/>
                <w:highlight w:val="none"/>
                <w:lang w:val="en-US" w:eastAsia="zh-CN" w:bidi="ar-SA"/>
                <w14:textFill>
                  <w14:solidFill>
                    <w14:schemeClr w14:val="tx1"/>
                  </w14:solidFill>
                </w14:textFill>
              </w:rPr>
              <w:t>福岭水库正常水位线向外延伸1000米的陆域，入库河流相应二级保护区水域向外延伸100米的陆域</w:t>
            </w: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w:t>
            </w:r>
          </w:p>
        </w:tc>
        <w:tc>
          <w:tcPr>
            <w:tcW w:w="2103" w:type="dxa"/>
            <w:vMerge w:val="continue"/>
            <w:noWrap w:val="0"/>
            <w:vAlign w:val="center"/>
          </w:tcPr>
          <w:p>
            <w:pPr>
              <w:jc w:val="center"/>
              <w:rPr>
                <w:rFonts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p>
        </w:tc>
      </w:tr>
    </w:tbl>
    <w:p>
      <w:pPr>
        <w:ind w:left="0" w:leftChars="0" w:firstLine="0" w:firstLineChars="0"/>
        <w:rPr>
          <w:color w:val="000000" w:themeColor="text1"/>
          <w:highlight w:val="none"/>
          <w14:textFill>
            <w14:solidFill>
              <w14:schemeClr w14:val="tx1"/>
            </w14:solidFill>
          </w14:textFill>
        </w:rPr>
        <w:sectPr>
          <w:type w:val="continuous"/>
          <w:pgSz w:w="16838" w:h="11906" w:orient="landscape"/>
          <w:pgMar w:top="1418" w:right="1418" w:bottom="1418" w:left="1418" w:header="851" w:footer="992" w:gutter="0"/>
          <w:cols w:space="425" w:num="1"/>
          <w:docGrid w:type="lines" w:linePitch="326" w:charSpace="0"/>
        </w:sectPr>
      </w:pPr>
    </w:p>
    <w:p>
      <w:pPr>
        <w:pStyle w:val="5"/>
        <w:rPr>
          <w:color w:val="000000" w:themeColor="text1"/>
          <w:highlight w:val="none"/>
          <w14:textFill>
            <w14:solidFill>
              <w14:schemeClr w14:val="tx1"/>
            </w14:solidFill>
          </w14:textFill>
        </w:rPr>
      </w:pPr>
      <w:bookmarkStart w:id="32" w:name="_Toc3743"/>
      <w:r>
        <w:rPr>
          <w:rFonts w:hint="eastAsia"/>
          <w:color w:val="000000" w:themeColor="text1"/>
          <w:highlight w:val="none"/>
          <w14:textFill>
            <w14:solidFill>
              <w14:schemeClr w14:val="tx1"/>
            </w14:solidFill>
          </w14:textFill>
        </w:rPr>
        <w:t>饮用水源保护区评价</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（1）水资源总量与地下水资源量小</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地表年平均产水总量31.93亿立方米，地下水储量6.86亿立方米，地表水资源量是地下水资源量的4.6倍。平均产水量每平方公里64.8万立方米，相当于梅州地区每平方公里产水量80.6万立方米的80.4％，是梅州水量最少的地区。</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（2）境内大部分水环境质量较好</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境内河水一般属无色、无味、无臭、透明的淡水，宜作工农业供水，边缘山区可作生活用水。由于植被不良，水土流失严重，雨天河水混浊，悬浮物含量高，丰水期水质相对较差。地下水除红色岩系中深部的硫酸钙型水(SO</w:t>
      </w:r>
      <w:r>
        <w:rPr>
          <w:rFonts w:hint="eastAsia"/>
          <w:color w:val="000000" w:themeColor="text1"/>
          <w:highlight w:val="none"/>
          <w:vertAlign w:val="subscript"/>
          <w14:textFill>
            <w14:solidFill>
              <w14:schemeClr w14:val="tx1"/>
            </w14:solidFill>
          </w14:textFill>
        </w:rPr>
        <w:t>4</w:t>
      </w:r>
      <w:r>
        <w:rPr>
          <w:rFonts w:hint="eastAsia"/>
          <w:color w:val="000000" w:themeColor="text1"/>
          <w:highlight w:val="none"/>
          <w14:textFill>
            <w14:solidFill>
              <w14:schemeClr w14:val="tx1"/>
            </w14:solidFill>
          </w14:textFill>
        </w:rPr>
        <w:t>—Ca)及部分高温热水，不宜作工业和生活用水外，一般符合生活用水及工农业供水要求，属无色、无味、无臭、透明的淡水。</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（3）地下热水与热能资源丰富</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地下热水资源丰富，分布在叶南、坭陂汤湖、罗岗溪尾等地，日产流量达到5963立方米，温泉水质较好，能治病健身。水能蕴藏量丰富，理论蕴藏量4.75万千瓦，可开发利用的装机容量为2.86千瓦，年发电量7961万千瓦时。</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（4）部分地区水土流失相对严重</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据《2006年广东省土壤侵蚀遥感调查项目报告》，兴宁市水土流失面积711.84平方公里，占国土面积34.30%，其中自然侵蚀面积473.64平方公里，人为侵蚀面积238.20平方公里。</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从侵蚀强度分，中度和强度侵蚀面积分别占总侵蚀面积的38.99%、22.10%，说明侵蚀强度以中度至强度为主；从侵蚀类型分，各类人为土壤侵蚀中，火烧迹地造成的水土流失面积177.87平方公里，占人为侵蚀面积的74.67%，是人为侵蚀的主要形式。</w:t>
      </w:r>
    </w:p>
    <w:p>
      <w:pPr>
        <w:pStyle w:val="4"/>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森林公园保护区</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目前兴宁市共有森林公园1</w:t>
      </w:r>
      <w:r>
        <w:rPr>
          <w:rFonts w:hint="eastAsia"/>
          <w:color w:val="000000" w:themeColor="text1"/>
          <w:highlight w:val="none"/>
          <w:lang w:val="en-US" w:eastAsia="zh-CN"/>
          <w14:textFill>
            <w14:solidFill>
              <w14:schemeClr w14:val="tx1"/>
            </w14:solidFill>
          </w14:textFill>
        </w:rPr>
        <w:t>4</w:t>
      </w:r>
      <w:r>
        <w:rPr>
          <w:rFonts w:hint="eastAsia"/>
          <w:color w:val="000000" w:themeColor="text1"/>
          <w:highlight w:val="none"/>
          <w14:textFill>
            <w14:solidFill>
              <w14:schemeClr w14:val="tx1"/>
            </w14:solidFill>
          </w14:textFill>
        </w:rPr>
        <w:t>个。</w:t>
      </w:r>
    </w:p>
    <w:p>
      <w:pPr>
        <w:pStyle w:val="5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表6.3-</w:t>
      </w:r>
      <w:r>
        <w:rPr>
          <w:rFonts w:hint="eastAsia"/>
          <w:color w:val="000000" w:themeColor="text1"/>
          <w:highlight w:val="none"/>
          <w:lang w:val="en-US" w:eastAsia="zh-CN"/>
          <w14:textFill>
            <w14:solidFill>
              <w14:schemeClr w14:val="tx1"/>
            </w14:solidFill>
          </w14:textFill>
        </w:rPr>
        <w:t>6</w:t>
      </w:r>
      <w:r>
        <w:rPr>
          <w:rFonts w:hint="eastAsia"/>
          <w:color w:val="000000" w:themeColor="text1"/>
          <w:highlight w:val="none"/>
          <w14:textFill>
            <w14:solidFill>
              <w14:schemeClr w14:val="tx1"/>
            </w14:solidFill>
          </w14:textFill>
        </w:rPr>
        <w:t xml:space="preserve">   兴宁市现有森林公园一览表</w:t>
      </w:r>
    </w:p>
    <w:tbl>
      <w:tblPr>
        <w:tblStyle w:val="33"/>
        <w:tblW w:w="9286" w:type="dxa"/>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817"/>
        <w:gridCol w:w="3544"/>
        <w:gridCol w:w="2126"/>
        <w:gridCol w:w="1418"/>
        <w:gridCol w:w="1381"/>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blHeader/>
          <w:jc w:val="center"/>
        </w:trPr>
        <w:tc>
          <w:tcPr>
            <w:tcW w:w="817"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序号</w:t>
            </w:r>
          </w:p>
        </w:tc>
        <w:tc>
          <w:tcPr>
            <w:tcW w:w="3544"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名称</w:t>
            </w:r>
          </w:p>
        </w:tc>
        <w:tc>
          <w:tcPr>
            <w:tcW w:w="2126"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所在行政区域</w:t>
            </w:r>
          </w:p>
        </w:tc>
        <w:tc>
          <w:tcPr>
            <w:tcW w:w="1418"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级别</w:t>
            </w:r>
          </w:p>
        </w:tc>
        <w:tc>
          <w:tcPr>
            <w:tcW w:w="1381"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面积（km</w:t>
            </w:r>
            <w:r>
              <w:rPr>
                <w:rFonts w:hint="eastAsia"/>
                <w:color w:val="000000" w:themeColor="text1"/>
                <w:highlight w:val="none"/>
                <w:vertAlign w:val="superscript"/>
                <w14:textFill>
                  <w14:solidFill>
                    <w14:schemeClr w14:val="tx1"/>
                  </w14:solidFill>
                </w14:textFill>
              </w:rPr>
              <w:t>2</w:t>
            </w:r>
            <w:r>
              <w:rPr>
                <w:rFonts w:hint="eastAsia"/>
                <w:color w:val="000000" w:themeColor="text1"/>
                <w:highlight w:val="none"/>
                <w14:textFill>
                  <w14:solidFill>
                    <w14:schemeClr w14:val="tx1"/>
                  </w14:solidFill>
                </w14:textFill>
              </w:rPr>
              <w:t>）</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17" w:type="dxa"/>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w:t>
            </w:r>
          </w:p>
        </w:tc>
        <w:tc>
          <w:tcPr>
            <w:tcW w:w="3544"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神光山国家森林公园</w:t>
            </w:r>
          </w:p>
        </w:tc>
        <w:tc>
          <w:tcPr>
            <w:tcW w:w="2126"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w:t>
            </w:r>
          </w:p>
        </w:tc>
        <w:tc>
          <w:tcPr>
            <w:tcW w:w="1418"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国家级</w:t>
            </w:r>
          </w:p>
        </w:tc>
        <w:tc>
          <w:tcPr>
            <w:tcW w:w="1381"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6.75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17" w:type="dxa"/>
            <w:vAlign w:val="top"/>
          </w:tcPr>
          <w:p>
            <w:pPr>
              <w:pStyle w:val="52"/>
              <w:ind w:firstLine="0"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w:t>
            </w:r>
          </w:p>
        </w:tc>
        <w:tc>
          <w:tcPr>
            <w:tcW w:w="3544" w:type="dxa"/>
          </w:tcPr>
          <w:p>
            <w:pPr>
              <w:pStyle w:val="52"/>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兴宁黄龙寨市级森林公园</w:t>
            </w:r>
          </w:p>
        </w:tc>
        <w:tc>
          <w:tcPr>
            <w:tcW w:w="2126" w:type="dxa"/>
          </w:tcPr>
          <w:p>
            <w:pPr>
              <w:pStyle w:val="52"/>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兴宁市罗岗镇</w:t>
            </w:r>
          </w:p>
        </w:tc>
        <w:tc>
          <w:tcPr>
            <w:tcW w:w="1418" w:type="dxa"/>
          </w:tcPr>
          <w:p>
            <w:pPr>
              <w:pStyle w:val="52"/>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市级</w:t>
            </w:r>
          </w:p>
        </w:tc>
        <w:tc>
          <w:tcPr>
            <w:tcW w:w="1381" w:type="dxa"/>
          </w:tcPr>
          <w:p>
            <w:pPr>
              <w:pStyle w:val="52"/>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1.74</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17" w:type="dxa"/>
            <w:vAlign w:val="top"/>
          </w:tcPr>
          <w:p>
            <w:pPr>
              <w:pStyle w:val="52"/>
              <w:ind w:firstLine="0"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3</w:t>
            </w:r>
          </w:p>
        </w:tc>
        <w:tc>
          <w:tcPr>
            <w:tcW w:w="3544" w:type="dxa"/>
          </w:tcPr>
          <w:p>
            <w:pPr>
              <w:pStyle w:val="52"/>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兴宁龙田市级森林公园</w:t>
            </w:r>
          </w:p>
        </w:tc>
        <w:tc>
          <w:tcPr>
            <w:tcW w:w="2126" w:type="dxa"/>
          </w:tcPr>
          <w:p>
            <w:pPr>
              <w:pStyle w:val="52"/>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兴宁市龙田镇</w:t>
            </w:r>
          </w:p>
        </w:tc>
        <w:tc>
          <w:tcPr>
            <w:tcW w:w="1418" w:type="dxa"/>
          </w:tcPr>
          <w:p>
            <w:pPr>
              <w:pStyle w:val="52"/>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市级</w:t>
            </w:r>
          </w:p>
        </w:tc>
        <w:tc>
          <w:tcPr>
            <w:tcW w:w="1381" w:type="dxa"/>
          </w:tcPr>
          <w:p>
            <w:pPr>
              <w:pStyle w:val="52"/>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1.98</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17" w:type="dxa"/>
            <w:vAlign w:val="top"/>
          </w:tcPr>
          <w:p>
            <w:pPr>
              <w:pStyle w:val="52"/>
              <w:ind w:firstLine="0"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w:t>
            </w:r>
          </w:p>
        </w:tc>
        <w:tc>
          <w:tcPr>
            <w:tcW w:w="3544"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兴宁和山岩森林公园</w:t>
            </w:r>
          </w:p>
        </w:tc>
        <w:tc>
          <w:tcPr>
            <w:tcW w:w="2126"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兴宁市宁塘镇</w:t>
            </w:r>
          </w:p>
        </w:tc>
        <w:tc>
          <w:tcPr>
            <w:tcW w:w="1418"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县级</w:t>
            </w:r>
          </w:p>
        </w:tc>
        <w:tc>
          <w:tcPr>
            <w:tcW w:w="1381" w:type="dxa"/>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17" w:type="dxa"/>
            <w:vAlign w:val="top"/>
          </w:tcPr>
          <w:p>
            <w:pPr>
              <w:pStyle w:val="52"/>
              <w:ind w:firstLine="0"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5</w:t>
            </w:r>
          </w:p>
        </w:tc>
        <w:tc>
          <w:tcPr>
            <w:tcW w:w="3544"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兴宁鸡鸣山森林公园</w:t>
            </w:r>
          </w:p>
        </w:tc>
        <w:tc>
          <w:tcPr>
            <w:tcW w:w="2126"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兴宁市永和镇</w:t>
            </w:r>
          </w:p>
        </w:tc>
        <w:tc>
          <w:tcPr>
            <w:tcW w:w="1418"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县级</w:t>
            </w:r>
          </w:p>
        </w:tc>
        <w:tc>
          <w:tcPr>
            <w:tcW w:w="1381" w:type="dxa"/>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w:t>
            </w:r>
            <w:r>
              <w:rPr>
                <w:rFonts w:hint="eastAsia"/>
                <w:color w:val="000000" w:themeColor="text1"/>
                <w:highlight w:val="none"/>
                <w14:textFill>
                  <w14:solidFill>
                    <w14:schemeClr w14:val="tx1"/>
                  </w14:solidFill>
                </w14:textFill>
              </w:rPr>
              <w:t>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17" w:type="dxa"/>
            <w:vAlign w:val="top"/>
          </w:tcPr>
          <w:p>
            <w:pPr>
              <w:pStyle w:val="52"/>
              <w:ind w:firstLine="0"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6</w:t>
            </w:r>
          </w:p>
        </w:tc>
        <w:tc>
          <w:tcPr>
            <w:tcW w:w="3544"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兴宁武仙岩森林公园</w:t>
            </w:r>
          </w:p>
        </w:tc>
        <w:tc>
          <w:tcPr>
            <w:tcW w:w="2126"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兴宁市龙田镇</w:t>
            </w:r>
          </w:p>
        </w:tc>
        <w:tc>
          <w:tcPr>
            <w:tcW w:w="1418"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县级</w:t>
            </w:r>
          </w:p>
        </w:tc>
        <w:tc>
          <w:tcPr>
            <w:tcW w:w="1381" w:type="dxa"/>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17" w:type="dxa"/>
            <w:vAlign w:val="top"/>
          </w:tcPr>
          <w:p>
            <w:pPr>
              <w:pStyle w:val="52"/>
              <w:ind w:firstLine="0"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7</w:t>
            </w:r>
          </w:p>
        </w:tc>
        <w:tc>
          <w:tcPr>
            <w:tcW w:w="3544"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兴宁狮子岩森林公园</w:t>
            </w:r>
          </w:p>
        </w:tc>
        <w:tc>
          <w:tcPr>
            <w:tcW w:w="2126"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兴宁市水口镇</w:t>
            </w:r>
          </w:p>
        </w:tc>
        <w:tc>
          <w:tcPr>
            <w:tcW w:w="1418"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县级</w:t>
            </w:r>
          </w:p>
        </w:tc>
        <w:tc>
          <w:tcPr>
            <w:tcW w:w="1381" w:type="dxa"/>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18</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17" w:type="dxa"/>
            <w:vAlign w:val="top"/>
          </w:tcPr>
          <w:p>
            <w:pPr>
              <w:pStyle w:val="52"/>
              <w:ind w:firstLine="0"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8</w:t>
            </w:r>
          </w:p>
        </w:tc>
        <w:tc>
          <w:tcPr>
            <w:tcW w:w="3544"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兴宁龙母嶂森林公园</w:t>
            </w:r>
          </w:p>
        </w:tc>
        <w:tc>
          <w:tcPr>
            <w:tcW w:w="2126"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兴宁市罗岗镇</w:t>
            </w:r>
          </w:p>
        </w:tc>
        <w:tc>
          <w:tcPr>
            <w:tcW w:w="1418"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县级</w:t>
            </w:r>
          </w:p>
        </w:tc>
        <w:tc>
          <w:tcPr>
            <w:tcW w:w="1381" w:type="dxa"/>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17" w:type="dxa"/>
            <w:vAlign w:val="top"/>
          </w:tcPr>
          <w:p>
            <w:pPr>
              <w:pStyle w:val="52"/>
              <w:ind w:firstLine="0"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9</w:t>
            </w:r>
          </w:p>
        </w:tc>
        <w:tc>
          <w:tcPr>
            <w:tcW w:w="3544"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兴宁白沙宫森林公园</w:t>
            </w:r>
          </w:p>
        </w:tc>
        <w:tc>
          <w:tcPr>
            <w:tcW w:w="2126"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兴宁市罗浮镇</w:t>
            </w:r>
          </w:p>
        </w:tc>
        <w:tc>
          <w:tcPr>
            <w:tcW w:w="1418"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县级</w:t>
            </w:r>
          </w:p>
        </w:tc>
        <w:tc>
          <w:tcPr>
            <w:tcW w:w="1381" w:type="dxa"/>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18</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17" w:type="dxa"/>
            <w:vAlign w:val="top"/>
          </w:tcPr>
          <w:p>
            <w:pPr>
              <w:pStyle w:val="52"/>
              <w:ind w:firstLine="0" w:firstLineChars="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10</w:t>
            </w:r>
          </w:p>
        </w:tc>
        <w:tc>
          <w:tcPr>
            <w:tcW w:w="3544"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兴宁乐仙森林公园</w:t>
            </w:r>
          </w:p>
        </w:tc>
        <w:tc>
          <w:tcPr>
            <w:tcW w:w="2126"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兴宁市新陂镇</w:t>
            </w:r>
          </w:p>
        </w:tc>
        <w:tc>
          <w:tcPr>
            <w:tcW w:w="1418"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县级</w:t>
            </w:r>
          </w:p>
        </w:tc>
        <w:tc>
          <w:tcPr>
            <w:tcW w:w="1381" w:type="dxa"/>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17" w:type="dxa"/>
            <w:vAlign w:val="top"/>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color w:val="000000" w:themeColor="text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11</w:t>
            </w:r>
          </w:p>
        </w:tc>
        <w:tc>
          <w:tcPr>
            <w:tcW w:w="3544"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兴宁温公森林公园</w:t>
            </w:r>
          </w:p>
        </w:tc>
        <w:tc>
          <w:tcPr>
            <w:tcW w:w="2126"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兴宁市黄陂镇</w:t>
            </w:r>
          </w:p>
        </w:tc>
        <w:tc>
          <w:tcPr>
            <w:tcW w:w="1418"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县级</w:t>
            </w:r>
          </w:p>
        </w:tc>
        <w:tc>
          <w:tcPr>
            <w:tcW w:w="1381" w:type="dxa"/>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17" w:type="dxa"/>
            <w:vAlign w:val="top"/>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color w:val="000000" w:themeColor="text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12</w:t>
            </w:r>
          </w:p>
        </w:tc>
        <w:tc>
          <w:tcPr>
            <w:tcW w:w="3544"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兴宁宝山森林公园</w:t>
            </w:r>
          </w:p>
        </w:tc>
        <w:tc>
          <w:tcPr>
            <w:tcW w:w="2126"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兴宁市径南镇</w:t>
            </w:r>
          </w:p>
        </w:tc>
        <w:tc>
          <w:tcPr>
            <w:tcW w:w="1418"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县级</w:t>
            </w:r>
          </w:p>
        </w:tc>
        <w:tc>
          <w:tcPr>
            <w:tcW w:w="1381" w:type="dxa"/>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12</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18" w:hRule="atLeast"/>
          <w:jc w:val="center"/>
        </w:trPr>
        <w:tc>
          <w:tcPr>
            <w:tcW w:w="817" w:type="dxa"/>
            <w:vAlign w:val="center"/>
          </w:tcPr>
          <w:p>
            <w:pPr>
              <w:pStyle w:val="52"/>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13</w:t>
            </w:r>
          </w:p>
        </w:tc>
        <w:tc>
          <w:tcPr>
            <w:tcW w:w="3544" w:type="dxa"/>
            <w:vAlign w:val="center"/>
          </w:tcPr>
          <w:p>
            <w:pPr>
              <w:pStyle w:val="52"/>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兴宁熙和湾森林公园</w:t>
            </w:r>
          </w:p>
        </w:tc>
        <w:tc>
          <w:tcPr>
            <w:tcW w:w="2126" w:type="dxa"/>
            <w:vAlign w:val="center"/>
          </w:tcPr>
          <w:p>
            <w:pPr>
              <w:pStyle w:val="52"/>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兴宁市永和镇</w:t>
            </w:r>
          </w:p>
        </w:tc>
        <w:tc>
          <w:tcPr>
            <w:tcW w:w="1418" w:type="dxa"/>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县级</w:t>
            </w:r>
          </w:p>
        </w:tc>
        <w:tc>
          <w:tcPr>
            <w:tcW w:w="1381" w:type="dxa"/>
            <w:vAlign w:val="center"/>
          </w:tcPr>
          <w:p>
            <w:pPr>
              <w:pStyle w:val="52"/>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1.42</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17" w:type="dxa"/>
            <w:vAlign w:val="center"/>
          </w:tcPr>
          <w:p>
            <w:pPr>
              <w:pStyle w:val="52"/>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14</w:t>
            </w:r>
          </w:p>
        </w:tc>
        <w:tc>
          <w:tcPr>
            <w:tcW w:w="3544" w:type="dxa"/>
            <w:vAlign w:val="center"/>
          </w:tcPr>
          <w:p>
            <w:pPr>
              <w:pStyle w:val="52"/>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兴宁朱岭寨森林公园</w:t>
            </w:r>
          </w:p>
        </w:tc>
        <w:tc>
          <w:tcPr>
            <w:tcW w:w="2126" w:type="dxa"/>
            <w:vAlign w:val="center"/>
          </w:tcPr>
          <w:p>
            <w:pPr>
              <w:pStyle w:val="52"/>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兴宁市黄陂镇</w:t>
            </w:r>
          </w:p>
        </w:tc>
        <w:tc>
          <w:tcPr>
            <w:tcW w:w="1418" w:type="dxa"/>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县级</w:t>
            </w:r>
          </w:p>
        </w:tc>
        <w:tc>
          <w:tcPr>
            <w:tcW w:w="1381" w:type="dxa"/>
            <w:vAlign w:val="center"/>
          </w:tcPr>
          <w:p>
            <w:pPr>
              <w:pStyle w:val="52"/>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1.01</w:t>
            </w:r>
          </w:p>
        </w:tc>
      </w:tr>
    </w:tbl>
    <w:p>
      <w:pPr>
        <w:pStyle w:val="4"/>
        <w:spacing w:before="156" w:after="156"/>
        <w:rPr>
          <w:color w:val="000000" w:themeColor="text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湿地公园</w:t>
      </w:r>
    </w:p>
    <w:p>
      <w:pPr>
        <w:pStyle w:val="5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表6.3-</w:t>
      </w:r>
      <w:r>
        <w:rPr>
          <w:rFonts w:hint="eastAsia"/>
          <w:color w:val="000000" w:themeColor="text1"/>
          <w:highlight w:val="none"/>
          <w:lang w:val="en-US" w:eastAsia="zh-CN"/>
          <w14:textFill>
            <w14:solidFill>
              <w14:schemeClr w14:val="tx1"/>
            </w14:solidFill>
          </w14:textFill>
        </w:rPr>
        <w:t>7</w:t>
      </w:r>
      <w:r>
        <w:rPr>
          <w:rFonts w:hint="eastAsia"/>
          <w:color w:val="000000" w:themeColor="text1"/>
          <w:highlight w:val="none"/>
          <w14:textFill>
            <w14:solidFill>
              <w14:schemeClr w14:val="tx1"/>
            </w14:solidFill>
          </w14:textFill>
        </w:rPr>
        <w:t xml:space="preserve">   兴宁市现有</w:t>
      </w:r>
      <w:r>
        <w:rPr>
          <w:rFonts w:hint="eastAsia"/>
          <w:color w:val="000000" w:themeColor="text1"/>
          <w:highlight w:val="none"/>
          <w:lang w:eastAsia="zh-CN"/>
          <w14:textFill>
            <w14:solidFill>
              <w14:schemeClr w14:val="tx1"/>
            </w14:solidFill>
          </w14:textFill>
        </w:rPr>
        <w:t>湿地</w:t>
      </w:r>
      <w:r>
        <w:rPr>
          <w:rFonts w:hint="eastAsia"/>
          <w:color w:val="000000" w:themeColor="text1"/>
          <w:highlight w:val="none"/>
          <w14:textFill>
            <w14:solidFill>
              <w14:schemeClr w14:val="tx1"/>
            </w14:solidFill>
          </w14:textFill>
        </w:rPr>
        <w:t>公园一览表</w:t>
      </w:r>
    </w:p>
    <w:tbl>
      <w:tblPr>
        <w:tblStyle w:val="33"/>
        <w:tblW w:w="9286" w:type="dxa"/>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817"/>
        <w:gridCol w:w="3544"/>
        <w:gridCol w:w="2126"/>
        <w:gridCol w:w="1418"/>
        <w:gridCol w:w="1381"/>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blHeader/>
          <w:jc w:val="center"/>
        </w:trPr>
        <w:tc>
          <w:tcPr>
            <w:tcW w:w="817"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序号</w:t>
            </w:r>
          </w:p>
        </w:tc>
        <w:tc>
          <w:tcPr>
            <w:tcW w:w="3544"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名称</w:t>
            </w:r>
          </w:p>
        </w:tc>
        <w:tc>
          <w:tcPr>
            <w:tcW w:w="2126"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所在行政区域</w:t>
            </w:r>
          </w:p>
        </w:tc>
        <w:tc>
          <w:tcPr>
            <w:tcW w:w="1418"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级别</w:t>
            </w:r>
          </w:p>
        </w:tc>
        <w:tc>
          <w:tcPr>
            <w:tcW w:w="1381" w:type="dxa"/>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面积（km</w:t>
            </w:r>
            <w:r>
              <w:rPr>
                <w:rFonts w:hint="eastAsia"/>
                <w:color w:val="000000" w:themeColor="text1"/>
                <w:highlight w:val="none"/>
                <w:vertAlign w:val="superscript"/>
                <w14:textFill>
                  <w14:solidFill>
                    <w14:schemeClr w14:val="tx1"/>
                  </w14:solidFill>
                </w14:textFill>
              </w:rPr>
              <w:t>2</w:t>
            </w:r>
            <w:r>
              <w:rPr>
                <w:rFonts w:hint="eastAsia"/>
                <w:color w:val="000000" w:themeColor="text1"/>
                <w:highlight w:val="none"/>
                <w14:textFill>
                  <w14:solidFill>
                    <w14:schemeClr w14:val="tx1"/>
                  </w14:solidFill>
                </w14:textFill>
              </w:rPr>
              <w:t>）</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17" w:type="dxa"/>
          </w:tcPr>
          <w:p>
            <w:pPr>
              <w:pStyle w:val="5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w:t>
            </w:r>
          </w:p>
        </w:tc>
        <w:tc>
          <w:tcPr>
            <w:tcW w:w="3544" w:type="dxa"/>
          </w:tcPr>
          <w:p>
            <w:pPr>
              <w:pStyle w:val="52"/>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兴宁梅子县级湿地公园</w:t>
            </w:r>
          </w:p>
        </w:tc>
        <w:tc>
          <w:tcPr>
            <w:tcW w:w="2126" w:type="dxa"/>
          </w:tcPr>
          <w:p>
            <w:pPr>
              <w:pStyle w:val="52"/>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兴宁市</w:t>
            </w:r>
            <w:r>
              <w:rPr>
                <w:rFonts w:hint="eastAsia"/>
                <w:color w:val="000000" w:themeColor="text1"/>
                <w:highlight w:val="none"/>
                <w:lang w:eastAsia="zh-CN"/>
                <w14:textFill>
                  <w14:solidFill>
                    <w14:schemeClr w14:val="tx1"/>
                  </w14:solidFill>
                </w14:textFill>
              </w:rPr>
              <w:t>福兴街道办</w:t>
            </w:r>
          </w:p>
        </w:tc>
        <w:tc>
          <w:tcPr>
            <w:tcW w:w="1418" w:type="dxa"/>
          </w:tcPr>
          <w:p>
            <w:pPr>
              <w:pStyle w:val="52"/>
              <w:rPr>
                <w:color w:val="000000" w:themeColor="text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县</w:t>
            </w:r>
            <w:r>
              <w:rPr>
                <w:rFonts w:hint="eastAsia"/>
                <w:color w:val="000000" w:themeColor="text1"/>
                <w:highlight w:val="none"/>
                <w14:textFill>
                  <w14:solidFill>
                    <w14:schemeClr w14:val="tx1"/>
                  </w14:solidFill>
                </w14:textFill>
              </w:rPr>
              <w:t>级</w:t>
            </w:r>
          </w:p>
        </w:tc>
        <w:tc>
          <w:tcPr>
            <w:tcW w:w="1381" w:type="dxa"/>
          </w:tcPr>
          <w:p>
            <w:pPr>
              <w:pStyle w:val="52"/>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1.24</w:t>
            </w:r>
          </w:p>
        </w:tc>
      </w:tr>
    </w:tbl>
    <w:p>
      <w:pPr>
        <w:pStyle w:val="4"/>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山林资源</w:t>
      </w:r>
    </w:p>
    <w:p>
      <w:pPr>
        <w:pStyle w:val="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山地资源</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内山地254.43平方公里，占总面积的12.1％。绝大部分是海拔400至800米的低山，海拔800米以上的山仅1.4平方公里。主要分布于罗浮、罗岗、大坪、黄陂、黄槐、石马、径南、径心、水口等地，构成县区分界岭。市域范围内高程在800米以上山峰12座，最高峰阳天嶂（海拔1017米）。莲花山脉：铁牛牯、狮子岩；武夷山南脉：阳天嶂、黄茅嶂、嶂顶上、莲花寨、四望嶂、马子山、冬瓜嶂、铁山嶂、宝山、鸡鸣山、南蛇岗、和山岩、狐子嶂、龙母嶂、神光山等。</w:t>
      </w:r>
    </w:p>
    <w:p>
      <w:pPr>
        <w:pStyle w:val="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林地资源</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兴宁市现有林业用地面积1365.12平方公里，占全市国土总面积的65.87%。森林覆盖率</w:t>
      </w:r>
      <w:r>
        <w:rPr>
          <w:rFonts w:hint="eastAsia"/>
          <w:color w:val="000000" w:themeColor="text1"/>
          <w:highlight w:val="none"/>
          <w:lang w:val="en-US" w:eastAsia="zh-CN"/>
          <w14:textFill>
            <w14:solidFill>
              <w14:schemeClr w14:val="tx1"/>
            </w14:solidFill>
          </w14:textFill>
        </w:rPr>
        <w:t>67.65</w:t>
      </w:r>
      <w:r>
        <w:rPr>
          <w:rFonts w:hint="eastAsia"/>
          <w:color w:val="000000" w:themeColor="text1"/>
          <w:highlight w:val="none"/>
          <w14:textFill>
            <w14:solidFill>
              <w14:schemeClr w14:val="tx1"/>
            </w14:solidFill>
          </w14:textFill>
        </w:rPr>
        <w:t>%，林木绿化率</w:t>
      </w:r>
      <w:r>
        <w:rPr>
          <w:rFonts w:hint="eastAsia"/>
          <w:color w:val="000000" w:themeColor="text1"/>
          <w:highlight w:val="none"/>
          <w:lang w:val="en-US" w:eastAsia="zh-CN"/>
          <w14:textFill>
            <w14:solidFill>
              <w14:schemeClr w14:val="tx1"/>
            </w14:solidFill>
          </w14:textFill>
        </w:rPr>
        <w:t>98.8</w:t>
      </w:r>
      <w:r>
        <w:rPr>
          <w:rFonts w:hint="eastAsia"/>
          <w:color w:val="000000" w:themeColor="text1"/>
          <w:highlight w:val="none"/>
          <w14:textFill>
            <w14:solidFill>
              <w14:schemeClr w14:val="tx1"/>
            </w14:solidFill>
          </w14:textFill>
        </w:rPr>
        <w:t>％。植物资源丰富，种类繁多，计约600多种。</w:t>
      </w:r>
    </w:p>
    <w:p>
      <w:pPr>
        <w:pStyle w:val="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山林资源评价</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（1）林业保存面积较大，植被覆盖度较高。</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现全市林业用地面积1365.12平方公里，森林覆盖率达6</w:t>
      </w:r>
      <w:r>
        <w:rPr>
          <w:rFonts w:hint="eastAsia"/>
          <w:color w:val="000000" w:themeColor="text1"/>
          <w:highlight w:val="none"/>
          <w:lang w:val="en-US" w:eastAsia="zh-CN"/>
          <w14:textFill>
            <w14:solidFill>
              <w14:schemeClr w14:val="tx1"/>
            </w14:solidFill>
          </w14:textFill>
        </w:rPr>
        <w:t>7.65</w:t>
      </w:r>
      <w:r>
        <w:rPr>
          <w:rFonts w:hint="eastAsia"/>
          <w:color w:val="000000" w:themeColor="text1"/>
          <w:highlight w:val="none"/>
          <w14:textFill>
            <w14:solidFill>
              <w14:schemeClr w14:val="tx1"/>
            </w14:solidFill>
          </w14:textFill>
        </w:rPr>
        <w:t>%。</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建有自然保护区7个（其中省级1个，市级5个，县级1个），森林保护区10个（其中国家级1个，县级9处），总生物资源面积260.27平方公里。</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（2）林业资源比重较大，形成城市建设用地自然边界。</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全市林地比重大，可开发为建设用地的土地十分有限，且山区有相对丰富的水源和野生动植物资源，当经济社会发展向山区蔓延时，因涉及到水源林保护、水土流失防治、泥石流灾害防治等问题，开发成本相对较大，林地资源成为城市无序蔓延的天然屏障，成为城市建设用地的绿色边界。</w:t>
      </w:r>
    </w:p>
    <w:p>
      <w:pPr>
        <w:pStyle w:val="4"/>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生物资料</w:t>
      </w:r>
    </w:p>
    <w:p>
      <w:pPr>
        <w:pStyle w:val="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生物资料现状</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兴宁市动物资源丰富，主要动物有100多种，包括兽、禽、爬行类软体动物、鱼、昆虫等5类。</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植物种类繁多，计有600多种，其中草药300多种，包括：乔木、灌木206种，主要中草药157种，另有野生中草药300多种，农作物，花卉，其他属一级保护的珍稀树种有香檀等。</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主要经济作物包括水稻、甘薯(红薯)、小麦、大麦、油茶、密味和山枇杷、石马咸味花生、清甜宝山柿、龙田龙眼、合水柑橙、龙北板栗、黄陂姜、铁山及黄蜂窝单丛、奇兰茶等，在全省乃至全国都具有较高知名度。</w:t>
      </w:r>
    </w:p>
    <w:p>
      <w:pPr>
        <w:pStyle w:val="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生物资源评价</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森林保育良好，植物种类丰富。兴宁市内大面积的森林是生物多样性保护和恢复的庇护所，有很多没有人工雕琢痕迹的原生态的自然环境，是天然“氧吧”，具备有建立森林及珍稀动物自然保护区的自然条件。</w:t>
      </w:r>
    </w:p>
    <w:p>
      <w:pPr>
        <w:pStyle w:val="3"/>
        <w:spacing w:before="156" w:after="156"/>
        <w:rPr>
          <w:color w:val="000000" w:themeColor="text1"/>
          <w:highlight w:val="none"/>
          <w14:textFill>
            <w14:solidFill>
              <w14:schemeClr w14:val="tx1"/>
            </w14:solidFill>
          </w14:textFill>
        </w:rPr>
      </w:pPr>
      <w:bookmarkStart w:id="33" w:name="_Toc29533"/>
      <w:bookmarkStart w:id="34" w:name="_Toc459110726"/>
      <w:r>
        <w:rPr>
          <w:rFonts w:hint="eastAsia"/>
          <w:color w:val="000000" w:themeColor="text1"/>
          <w:highlight w:val="none"/>
          <w14:textFill>
            <w14:solidFill>
              <w14:schemeClr w14:val="tx1"/>
            </w14:solidFill>
          </w14:textFill>
        </w:rPr>
        <w:t>主要生态问题</w:t>
      </w:r>
      <w:bookmarkEnd w:id="32"/>
      <w:bookmarkEnd w:id="33"/>
      <w:bookmarkEnd w:id="34"/>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（1）饮水保护区</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目前兴宁市兴田街道办、合水镇、龙田镇、叶塘镇、新陂镇、福兴镇、宁新镇、宁中镇、刁坊镇、永和镇及坭陂镇以合水水库作为为</w:t>
      </w:r>
      <w:r>
        <w:rPr>
          <w:color w:val="000000" w:themeColor="text1"/>
          <w:highlight w:val="none"/>
          <w14:textFill>
            <w14:solidFill>
              <w14:schemeClr w14:val="tx1"/>
            </w14:solidFill>
          </w14:textFill>
        </w:rPr>
        <w:t>兴宁市城区主要水源，和山岩水库作为应急水源</w:t>
      </w:r>
      <w:r>
        <w:rPr>
          <w:rFonts w:hint="eastAsia"/>
          <w:color w:val="000000" w:themeColor="text1"/>
          <w:highlight w:val="none"/>
          <w14:textFill>
            <w14:solidFill>
              <w14:schemeClr w14:val="tx1"/>
            </w14:solidFill>
          </w14:textFill>
        </w:rPr>
        <w:t>，其他镇、村大部分以水库、地表水为饮用水源。</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（2）“三废”排放情况</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环境统计资料表明，</w:t>
      </w:r>
      <w:r>
        <w:rPr>
          <w:color w:val="000000" w:themeColor="text1"/>
          <w:highlight w:val="none"/>
          <w14:textFill>
            <w14:solidFill>
              <w14:schemeClr w14:val="tx1"/>
            </w14:solidFill>
          </w14:textFill>
        </w:rPr>
        <w:t>201</w:t>
      </w:r>
      <w:r>
        <w:rPr>
          <w:rFonts w:hint="eastAsia"/>
          <w:color w:val="000000" w:themeColor="text1"/>
          <w:highlight w:val="none"/>
          <w:lang w:val="en-US" w:eastAsia="zh-CN"/>
          <w14:textFill>
            <w14:solidFill>
              <w14:schemeClr w14:val="tx1"/>
            </w14:solidFill>
          </w14:textFill>
        </w:rPr>
        <w:t>8</w:t>
      </w:r>
      <w:r>
        <w:rPr>
          <w:rFonts w:hint="eastAsia"/>
          <w:color w:val="000000" w:themeColor="text1"/>
          <w:highlight w:val="none"/>
          <w14:textFill>
            <w14:solidFill>
              <w14:schemeClr w14:val="tx1"/>
            </w14:solidFill>
          </w14:textFill>
        </w:rPr>
        <w:t>年兴宁市工业废水处理设施处理量为</w:t>
      </w:r>
      <w:r>
        <w:rPr>
          <w:rFonts w:hint="eastAsia"/>
          <w:color w:val="000000" w:themeColor="text1"/>
          <w:highlight w:val="none"/>
          <w:lang w:val="en-US" w:eastAsia="zh-CN"/>
          <w14:textFill>
            <w14:solidFill>
              <w14:schemeClr w14:val="tx1"/>
            </w14:solidFill>
          </w14:textFill>
        </w:rPr>
        <w:t>1.2292</w:t>
      </w:r>
      <w:r>
        <w:rPr>
          <w:rFonts w:hint="eastAsia"/>
          <w:color w:val="000000" w:themeColor="text1"/>
          <w:highlight w:val="none"/>
          <w14:textFill>
            <w14:solidFill>
              <w14:schemeClr w14:val="tx1"/>
            </w14:solidFill>
          </w14:textFill>
        </w:rPr>
        <w:t>万</w:t>
      </w:r>
      <w:r>
        <w:rPr>
          <w:color w:val="000000" w:themeColor="text1"/>
          <w:highlight w:val="none"/>
          <w14:textFill>
            <w14:solidFill>
              <w14:schemeClr w14:val="tx1"/>
            </w14:solidFill>
          </w14:textFill>
        </w:rPr>
        <w:t>t/a</w:t>
      </w:r>
      <w:r>
        <w:rPr>
          <w:rFonts w:hint="eastAsia"/>
          <w:color w:val="000000" w:themeColor="text1"/>
          <w:highlight w:val="none"/>
          <w14:textFill>
            <w14:solidFill>
              <w14:schemeClr w14:val="tx1"/>
            </w14:solidFill>
          </w14:textFill>
        </w:rPr>
        <w:t>，工业废水排放总量为</w:t>
      </w:r>
      <w:r>
        <w:rPr>
          <w:rFonts w:hint="eastAsia"/>
          <w:color w:val="000000" w:themeColor="text1"/>
          <w:highlight w:val="none"/>
          <w:lang w:val="en-US" w:eastAsia="zh-CN"/>
          <w14:textFill>
            <w14:solidFill>
              <w14:schemeClr w14:val="tx1"/>
            </w14:solidFill>
          </w14:textFill>
        </w:rPr>
        <w:t>68.237</w:t>
      </w:r>
      <w:r>
        <w:rPr>
          <w:rFonts w:hint="eastAsia"/>
          <w:color w:val="000000" w:themeColor="text1"/>
          <w:highlight w:val="none"/>
          <w14:textFill>
            <w14:solidFill>
              <w14:schemeClr w14:val="tx1"/>
            </w14:solidFill>
          </w14:textFill>
        </w:rPr>
        <w:t>万</w:t>
      </w:r>
      <w:r>
        <w:rPr>
          <w:rFonts w:hint="eastAsia"/>
          <w:color w:val="000000" w:themeColor="text1"/>
          <w:highlight w:val="none"/>
          <w:lang w:eastAsia="zh-CN"/>
          <w14:textFill>
            <w14:solidFill>
              <w14:schemeClr w14:val="tx1"/>
            </w14:solidFill>
          </w14:textFill>
        </w:rPr>
        <w:t>吨</w:t>
      </w:r>
      <w:r>
        <w:rPr>
          <w:rFonts w:hint="eastAsia"/>
          <w:color w:val="000000" w:themeColor="text1"/>
          <w:highlight w:val="none"/>
          <w14:textFill>
            <w14:solidFill>
              <w14:schemeClr w14:val="tx1"/>
            </w14:solidFill>
          </w14:textFill>
        </w:rPr>
        <w:t>，城镇生活污水排放量为</w:t>
      </w:r>
      <w:r>
        <w:rPr>
          <w:rFonts w:hint="eastAsia"/>
          <w:color w:val="000000" w:themeColor="text1"/>
          <w:highlight w:val="none"/>
          <w:lang w:val="en-US" w:eastAsia="zh-CN"/>
          <w14:textFill>
            <w14:solidFill>
              <w14:schemeClr w14:val="tx1"/>
            </w14:solidFill>
          </w14:textFill>
        </w:rPr>
        <w:t>2064.973</w:t>
      </w:r>
      <w:r>
        <w:rPr>
          <w:rFonts w:hint="eastAsia"/>
          <w:color w:val="000000" w:themeColor="text1"/>
          <w:highlight w:val="none"/>
          <w14:textFill>
            <w14:solidFill>
              <w14:schemeClr w14:val="tx1"/>
            </w14:solidFill>
          </w14:textFill>
        </w:rPr>
        <w:t>万吨；目前，兴宁市建成城镇污水处理厂处理能力为</w:t>
      </w:r>
      <w:r>
        <w:rPr>
          <w:color w:val="000000" w:themeColor="text1"/>
          <w:highlight w:val="none"/>
          <w14:textFill>
            <w14:solidFill>
              <w14:schemeClr w14:val="tx1"/>
            </w14:solidFill>
          </w14:textFill>
        </w:rPr>
        <w:t>5</w:t>
      </w:r>
      <w:r>
        <w:rPr>
          <w:rFonts w:hint="eastAsia"/>
          <w:color w:val="000000" w:themeColor="text1"/>
          <w:highlight w:val="none"/>
          <w14:textFill>
            <w14:solidFill>
              <w14:schemeClr w14:val="tx1"/>
            </w14:solidFill>
          </w14:textFill>
        </w:rPr>
        <w:t>万</w:t>
      </w:r>
      <w:r>
        <w:rPr>
          <w:color w:val="000000" w:themeColor="text1"/>
          <w:highlight w:val="none"/>
          <w14:textFill>
            <w14:solidFill>
              <w14:schemeClr w14:val="tx1"/>
            </w14:solidFill>
          </w14:textFill>
        </w:rPr>
        <w:t>t/d</w:t>
      </w:r>
      <w:r>
        <w:rPr>
          <w:rFonts w:hint="eastAsia"/>
          <w:color w:val="000000" w:themeColor="text1"/>
          <w:highlight w:val="none"/>
          <w14:textFill>
            <w14:solidFill>
              <w14:schemeClr w14:val="tx1"/>
            </w14:solidFill>
          </w14:textFill>
        </w:rPr>
        <w:t>，兴宁市工业园污水处理厂处理能力为</w:t>
      </w:r>
      <w:r>
        <w:rPr>
          <w:color w:val="000000" w:themeColor="text1"/>
          <w:highlight w:val="none"/>
          <w14:textFill>
            <w14:solidFill>
              <w14:schemeClr w14:val="tx1"/>
            </w14:solidFill>
          </w14:textFill>
        </w:rPr>
        <w:t>1</w:t>
      </w:r>
      <w:r>
        <w:rPr>
          <w:rFonts w:hint="eastAsia"/>
          <w:color w:val="000000" w:themeColor="text1"/>
          <w:highlight w:val="none"/>
          <w14:textFill>
            <w14:solidFill>
              <w14:schemeClr w14:val="tx1"/>
            </w14:solidFill>
          </w14:textFill>
        </w:rPr>
        <w:t>万</w:t>
      </w:r>
      <w:r>
        <w:rPr>
          <w:color w:val="000000" w:themeColor="text1"/>
          <w:highlight w:val="none"/>
          <w14:textFill>
            <w14:solidFill>
              <w14:schemeClr w14:val="tx1"/>
            </w14:solidFill>
          </w14:textFill>
        </w:rPr>
        <w:t>t/d</w:t>
      </w:r>
      <w:r>
        <w:rPr>
          <w:rFonts w:hint="eastAsia"/>
          <w:color w:val="000000" w:themeColor="text1"/>
          <w:highlight w:val="none"/>
          <w14:textFill>
            <w14:solidFill>
              <w14:schemeClr w14:val="tx1"/>
            </w14:solidFill>
          </w14:textFill>
        </w:rPr>
        <w:t>，与现实生活污水处理率仍有较大距离；畜禽养殖是农业污染源的重要来源之一，发达的禽畜养殖业产生数量巨大的禽畜粪便，成了重要的污染源。化肥、农药及类激素等农用化学物质的大量使用，使水体、土壤受污染的情况进一步加重。另外，城市污水管网配套设施滞后，城市雨污分流率、污水收集率较低，进一步造成水体的污染。</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兴宁市工业固体废物综合利用水平和生活垃圾、污水处理厂污泥等的无害化处理处置能力较低。一般工业固体废物综合利用率年际变化较大，危险废物综合利用率较低。目前兴宁市建成</w:t>
      </w:r>
      <w:r>
        <w:rPr>
          <w:rFonts w:hint="eastAsia"/>
          <w:color w:val="000000" w:themeColor="text1"/>
          <w:highlight w:val="none"/>
          <w:lang w:eastAsia="zh-CN"/>
          <w14:textFill>
            <w14:solidFill>
              <w14:schemeClr w14:val="tx1"/>
            </w14:solidFill>
          </w14:textFill>
        </w:rPr>
        <w:t>垃</w:t>
      </w:r>
      <w:r>
        <w:rPr>
          <w:rFonts w:hint="eastAsia"/>
          <w:color w:val="000000" w:themeColor="text1"/>
          <w:highlight w:val="none"/>
          <w14:textFill>
            <w14:solidFill>
              <w14:schemeClr w14:val="tx1"/>
            </w14:solidFill>
          </w14:textFill>
        </w:rPr>
        <w:t>圾填埋场仅1个，日收集垃圾量超过4</w:t>
      </w:r>
      <w:r>
        <w:rPr>
          <w:color w:val="000000" w:themeColor="text1"/>
          <w:highlight w:val="none"/>
          <w14:textFill>
            <w14:solidFill>
              <w14:schemeClr w14:val="tx1"/>
            </w14:solidFill>
          </w14:textFill>
        </w:rPr>
        <w:t>00t</w:t>
      </w:r>
      <w:r>
        <w:rPr>
          <w:rFonts w:hint="eastAsia"/>
          <w:color w:val="000000" w:themeColor="text1"/>
          <w:highlight w:val="none"/>
          <w14:textFill>
            <w14:solidFill>
              <w14:schemeClr w14:val="tx1"/>
            </w14:solidFill>
          </w14:textFill>
        </w:rPr>
        <w:t>，仅黄泥坑垃圾填埋场符合无害化填埋场的建设标准，但已达到设计库容，已不能满足使用需求。环卫基础设施的处理能力和水平明显滞后于社会经济的发展需求。目前污水处理厂污泥主要通过简易填埋的方式进行处置，未能达到无害化处理要求。</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（3）森林生态系统</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森林生态系统方面，尽管兴宁市森林覆盖率达到</w:t>
      </w:r>
      <w:r>
        <w:rPr>
          <w:rFonts w:hint="eastAsia"/>
          <w:color w:val="000000" w:themeColor="text1"/>
          <w:highlight w:val="none"/>
          <w:lang w:eastAsia="zh-CN"/>
          <w14:textFill>
            <w14:solidFill>
              <w14:schemeClr w14:val="tx1"/>
            </w14:solidFill>
          </w14:textFill>
        </w:rPr>
        <w:t>67.65</w:t>
      </w:r>
      <w:r>
        <w:rPr>
          <w:rFonts w:hint="eastAsia"/>
          <w:color w:val="000000" w:themeColor="text1"/>
          <w:highlight w:val="none"/>
          <w14:textFill>
            <w14:solidFill>
              <w14:schemeClr w14:val="tx1"/>
            </w14:solidFill>
          </w14:textFill>
        </w:rPr>
        <w:t>%，但由于人工林的林种、树种结构简单，林地面积、森林覆盖率、木材蓄积量的大幅度增加并没有从根本上遏制森林资源整体质量低下、生态效益偏低及局部地区水土流失严重的趋势，造成森林生态系统抗干扰、抗病虫害、抗灾能力较弱，森林生态系统较为脆弱。</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4</w:t>
      </w:r>
      <w:r>
        <w:rPr>
          <w:rFonts w:hint="eastAsia"/>
          <w:color w:val="000000" w:themeColor="text1"/>
          <w:highlight w:val="none"/>
          <w14:textFill>
            <w14:solidFill>
              <w14:schemeClr w14:val="tx1"/>
            </w14:solidFill>
          </w14:textFill>
        </w:rPr>
        <w:t>）小结</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总体上看，兴宁市整体生态环境较好。但长期以来，受自然与人为因素的综合影响，特别是矿产资源开发和基础设施项目建设等人为干扰，导致局部地区地质灾害形势依然严峻。发展模式粗放，建设用地高度分散，主导性发展空间缺乏，空间利用低效。水资源总量与地下水资源量小，境内大部分水环境质量较好，地下热水与热能资源丰富，部分地区水土流失相对严重，兴宁市部分河段由于开发不当受到一定影响，水系受到局部污染。林业保存面积较大，植被覆盖度较高，林业资源比重较大，形成城市建设用地自然边界。森林保育良好，植物种类丰富。</w:t>
      </w:r>
    </w:p>
    <w:p>
      <w:pPr>
        <w:ind w:firstLine="0" w:firstLineChars="0"/>
        <w:rPr>
          <w:color w:val="000000" w:themeColor="text1"/>
          <w:spacing w:val="-1"/>
          <w:highlight w:val="none"/>
          <w14:textFill>
            <w14:solidFill>
              <w14:schemeClr w14:val="tx1"/>
            </w14:solidFill>
          </w14:textFill>
        </w:rPr>
      </w:pPr>
      <w:r>
        <w:rPr>
          <w:color w:val="000000" w:themeColor="text1"/>
          <w:spacing w:val="-1"/>
          <w:highlight w:val="none"/>
          <w14:textFill>
            <w14:solidFill>
              <w14:schemeClr w14:val="tx1"/>
            </w14:solidFill>
          </w14:textFill>
        </w:rPr>
        <w:br w:type="page"/>
      </w:r>
    </w:p>
    <w:p>
      <w:pPr>
        <w:pStyle w:val="2"/>
        <w:rPr>
          <w:color w:val="000000" w:themeColor="text1"/>
          <w:highlight w:val="none"/>
          <w14:textFill>
            <w14:solidFill>
              <w14:schemeClr w14:val="tx1"/>
            </w14:solidFill>
          </w14:textFill>
        </w:rPr>
      </w:pPr>
      <w:bookmarkStart w:id="35" w:name="_Toc527706828"/>
      <w:bookmarkStart w:id="36" w:name="_Toc5371"/>
      <w:r>
        <w:rPr>
          <w:rFonts w:hint="eastAsia"/>
          <w:color w:val="000000" w:themeColor="text1"/>
          <w:highlight w:val="none"/>
          <w14:textFill>
            <w14:solidFill>
              <w14:schemeClr w14:val="tx1"/>
            </w14:solidFill>
          </w14:textFill>
        </w:rPr>
        <w:t>划分类型</w:t>
      </w:r>
      <w:bookmarkEnd w:id="35"/>
      <w:bookmarkEnd w:id="36"/>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全市</w:t>
      </w:r>
      <w:r>
        <w:rPr>
          <w:color w:val="000000" w:themeColor="text1"/>
          <w:highlight w:val="none"/>
          <w14:textFill>
            <w14:solidFill>
              <w14:schemeClr w14:val="tx1"/>
            </w14:solidFill>
          </w14:textFill>
        </w:rPr>
        <w:t>畜禽养殖区划分禁止养殖区</w:t>
      </w:r>
      <w:r>
        <w:rPr>
          <w:rFonts w:hint="eastAsia"/>
          <w:color w:val="000000" w:themeColor="text1"/>
          <w:highlight w:val="none"/>
          <w:lang w:eastAsia="zh-CN"/>
          <w14:textFill>
            <w14:solidFill>
              <w14:schemeClr w14:val="tx1"/>
            </w14:solidFill>
          </w14:textFill>
        </w:rPr>
        <w:t>类型一览表</w:t>
      </w:r>
      <w:r>
        <w:rPr>
          <w:color w:val="000000" w:themeColor="text1"/>
          <w:highlight w:val="none"/>
          <w14:textFill>
            <w14:solidFill>
              <w14:schemeClr w14:val="tx1"/>
            </w14:solidFill>
          </w14:textFill>
        </w:rPr>
        <w:t>。</w:t>
      </w:r>
    </w:p>
    <w:p>
      <w:pPr>
        <w:pStyle w:val="5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表7.1-1   禁养区划分类型一览表</w:t>
      </w:r>
    </w:p>
    <w:tbl>
      <w:tblPr>
        <w:tblStyle w:val="34"/>
        <w:tblW w:w="92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0"/>
        <w:gridCol w:w="3940"/>
        <w:gridCol w:w="42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1100" w:type="dxa"/>
            <w:vAlign w:val="center"/>
          </w:tcPr>
          <w:p>
            <w:pPr>
              <w:pStyle w:val="52"/>
              <w:rPr>
                <w:b/>
                <w:color w:val="000000" w:themeColor="text1"/>
                <w:highlight w:val="none"/>
                <w14:textFill>
                  <w14:solidFill>
                    <w14:schemeClr w14:val="tx1"/>
                  </w14:solidFill>
                </w14:textFill>
              </w:rPr>
            </w:pPr>
            <w:r>
              <w:rPr>
                <w:rFonts w:hint="eastAsia"/>
                <w:b/>
                <w:color w:val="000000" w:themeColor="text1"/>
                <w:highlight w:val="none"/>
                <w14:textFill>
                  <w14:solidFill>
                    <w14:schemeClr w14:val="tx1"/>
                  </w14:solidFill>
                </w14:textFill>
              </w:rPr>
              <w:t>项目</w:t>
            </w:r>
          </w:p>
        </w:tc>
        <w:tc>
          <w:tcPr>
            <w:tcW w:w="3940" w:type="dxa"/>
            <w:vAlign w:val="center"/>
          </w:tcPr>
          <w:p>
            <w:pPr>
              <w:pStyle w:val="52"/>
              <w:rPr>
                <w:b/>
                <w:color w:val="000000" w:themeColor="text1"/>
                <w:highlight w:val="none"/>
                <w14:textFill>
                  <w14:solidFill>
                    <w14:schemeClr w14:val="tx1"/>
                  </w14:solidFill>
                </w14:textFill>
              </w:rPr>
            </w:pPr>
            <w:r>
              <w:rPr>
                <w:rFonts w:hint="eastAsia"/>
                <w:b/>
                <w:color w:val="000000" w:themeColor="text1"/>
                <w:highlight w:val="none"/>
                <w14:textFill>
                  <w14:solidFill>
                    <w14:schemeClr w14:val="tx1"/>
                  </w14:solidFill>
                </w14:textFill>
              </w:rPr>
              <w:t>划定范围</w:t>
            </w:r>
          </w:p>
        </w:tc>
        <w:tc>
          <w:tcPr>
            <w:tcW w:w="4240" w:type="dxa"/>
            <w:vAlign w:val="center"/>
          </w:tcPr>
          <w:p>
            <w:pPr>
              <w:pStyle w:val="52"/>
              <w:rPr>
                <w:b/>
                <w:color w:val="000000" w:themeColor="text1"/>
                <w:highlight w:val="none"/>
                <w14:textFill>
                  <w14:solidFill>
                    <w14:schemeClr w14:val="tx1"/>
                  </w14:solidFill>
                </w14:textFill>
              </w:rPr>
            </w:pPr>
            <w:r>
              <w:rPr>
                <w:rFonts w:hint="eastAsia"/>
                <w:b/>
                <w:color w:val="000000" w:themeColor="text1"/>
                <w:highlight w:val="none"/>
                <w14:textFill>
                  <w14:solidFill>
                    <w14:schemeClr w14:val="tx1"/>
                  </w14:solidFill>
                </w14:textFill>
              </w:rPr>
              <w:t>划定法律、法规依据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1100"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禁养区</w:t>
            </w:r>
          </w:p>
        </w:tc>
        <w:tc>
          <w:tcPr>
            <w:tcW w:w="3940"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饮用水源保护区水域、陆域保护范围</w:t>
            </w:r>
          </w:p>
        </w:tc>
        <w:tc>
          <w:tcPr>
            <w:tcW w:w="4240" w:type="dxa"/>
            <w:vMerge w:val="restart"/>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firstLine="0" w:firstLineChars="0"/>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《水污染防治行动计划》</w:t>
            </w:r>
          </w:p>
          <w:p>
            <w:pPr>
              <w:pStyle w:val="52"/>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《中华人民共和国畜牧法》</w:t>
            </w:r>
          </w:p>
          <w:p>
            <w:pPr>
              <w:pStyle w:val="52"/>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《畜禽规模养殖污染防治条例》</w:t>
            </w:r>
          </w:p>
          <w:p>
            <w:pPr>
              <w:pStyle w:val="52"/>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《中华人民共和国环境保护法》</w:t>
            </w:r>
          </w:p>
          <w:p>
            <w:pPr>
              <w:pStyle w:val="52"/>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color w:val="000000" w:themeColor="text1"/>
                <w:sz w:val="20"/>
                <w:szCs w:val="20"/>
                <w:highlight w:val="none"/>
                <w:lang w:eastAsia="zh-CN"/>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《广东省环境保护条例》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trPr>
        <w:tc>
          <w:tcPr>
            <w:tcW w:w="1100" w:type="dxa"/>
            <w:vMerge w:val="continue"/>
            <w:vAlign w:val="center"/>
          </w:tcPr>
          <w:p>
            <w:pPr>
              <w:pStyle w:val="52"/>
              <w:rPr>
                <w:color w:val="000000" w:themeColor="text1"/>
                <w:highlight w:val="none"/>
                <w14:textFill>
                  <w14:solidFill>
                    <w14:schemeClr w14:val="tx1"/>
                  </w14:solidFill>
                </w14:textFill>
              </w:rPr>
            </w:pPr>
          </w:p>
        </w:tc>
        <w:tc>
          <w:tcPr>
            <w:tcW w:w="3940"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各级自然保护区核心区和缓冲区</w:t>
            </w:r>
          </w:p>
        </w:tc>
        <w:tc>
          <w:tcPr>
            <w:tcW w:w="4240" w:type="dxa"/>
            <w:vMerge w:val="continue"/>
            <w:vAlign w:val="center"/>
          </w:tcPr>
          <w:p>
            <w:pPr>
              <w:pStyle w:val="52"/>
              <w:rPr>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1100" w:type="dxa"/>
            <w:vMerge w:val="continue"/>
            <w:vAlign w:val="center"/>
          </w:tcPr>
          <w:p>
            <w:pPr>
              <w:pStyle w:val="52"/>
              <w:rPr>
                <w:color w:val="000000" w:themeColor="text1"/>
                <w:highlight w:val="none"/>
                <w14:textFill>
                  <w14:solidFill>
                    <w14:schemeClr w14:val="tx1"/>
                  </w14:solidFill>
                </w14:textFill>
              </w:rPr>
            </w:pPr>
          </w:p>
        </w:tc>
        <w:tc>
          <w:tcPr>
            <w:tcW w:w="3940"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城市建成区</w:t>
            </w:r>
            <w:r>
              <w:rPr>
                <w:rFonts w:hint="eastAsia"/>
                <w:color w:val="000000" w:themeColor="text1"/>
                <w:highlight w:val="none"/>
                <w:lang w:eastAsia="zh-CN"/>
                <w14:textFill>
                  <w14:solidFill>
                    <w14:schemeClr w14:val="tx1"/>
                  </w14:solidFill>
                </w14:textFill>
              </w:rPr>
              <w:t>（包括</w:t>
            </w:r>
            <w:r>
              <w:rPr>
                <w:rFonts w:hint="eastAsia"/>
                <w:color w:val="000000" w:themeColor="text1"/>
                <w:highlight w:val="none"/>
                <w14:textFill>
                  <w14:solidFill>
                    <w14:schemeClr w14:val="tx1"/>
                  </w14:solidFill>
                </w14:textFill>
              </w:rPr>
              <w:t>城镇居民区、文化教育科学研究区</w:t>
            </w:r>
            <w:r>
              <w:rPr>
                <w:rFonts w:hint="eastAsia"/>
                <w:color w:val="000000" w:themeColor="text1"/>
                <w:highlight w:val="none"/>
                <w:lang w:eastAsia="zh-CN"/>
                <w14:textFill>
                  <w14:solidFill>
                    <w14:schemeClr w14:val="tx1"/>
                  </w14:solidFill>
                </w14:textFill>
              </w:rPr>
              <w:t>、工业园区）</w:t>
            </w:r>
            <w:r>
              <w:rPr>
                <w:rFonts w:hint="eastAsia"/>
                <w:color w:val="000000" w:themeColor="text1"/>
                <w:highlight w:val="none"/>
                <w14:textFill>
                  <w14:solidFill>
                    <w14:schemeClr w14:val="tx1"/>
                  </w14:solidFill>
                </w14:textFill>
              </w:rPr>
              <w:t>等人口集中区域范围</w:t>
            </w:r>
          </w:p>
        </w:tc>
        <w:tc>
          <w:tcPr>
            <w:tcW w:w="4240" w:type="dxa"/>
            <w:vMerge w:val="continue"/>
            <w:vAlign w:val="center"/>
          </w:tcPr>
          <w:p>
            <w:pPr>
              <w:pStyle w:val="52"/>
              <w:rPr>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1100" w:type="dxa"/>
            <w:vMerge w:val="continue"/>
            <w:vAlign w:val="center"/>
          </w:tcPr>
          <w:p>
            <w:pPr>
              <w:pStyle w:val="52"/>
              <w:rPr>
                <w:color w:val="000000" w:themeColor="text1"/>
                <w:highlight w:val="none"/>
                <w14:textFill>
                  <w14:solidFill>
                    <w14:schemeClr w14:val="tx1"/>
                  </w14:solidFill>
                </w14:textFill>
              </w:rPr>
            </w:pPr>
          </w:p>
        </w:tc>
        <w:tc>
          <w:tcPr>
            <w:tcW w:w="3940" w:type="dxa"/>
            <w:vAlign w:val="center"/>
          </w:tcPr>
          <w:p>
            <w:pPr>
              <w:widowControl w:val="0"/>
              <w:adjustRightInd w:val="0"/>
              <w:snapToGrid w:val="0"/>
              <w:spacing w:line="300" w:lineRule="exact"/>
              <w:ind w:firstLine="0" w:firstLineChars="0"/>
              <w:jc w:val="center"/>
              <w:rPr>
                <w:rFonts w:hint="eastAsia"/>
                <w:color w:val="000000" w:themeColor="text1"/>
                <w:highlight w:val="none"/>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高速公路两侧三十米，国道两侧二十米，省道两侧十五米；铁路两侧12米；</w:t>
            </w:r>
          </w:p>
        </w:tc>
        <w:tc>
          <w:tcPr>
            <w:tcW w:w="4240" w:type="dxa"/>
            <w:vAlign w:val="center"/>
          </w:tcPr>
          <w:p>
            <w:pPr>
              <w:widowControl w:val="0"/>
              <w:adjustRightInd w:val="0"/>
              <w:snapToGrid w:val="0"/>
              <w:spacing w:line="300" w:lineRule="exact"/>
              <w:ind w:left="0" w:leftChars="0" w:firstLine="0" w:firstLineChars="0"/>
              <w:jc w:val="center"/>
              <w:rPr>
                <w:color w:val="000000" w:themeColor="text1"/>
                <w:highlight w:val="none"/>
                <w14:textFill>
                  <w14:solidFill>
                    <w14:schemeClr w14:val="tx1"/>
                  </w14:solidFill>
                </w14:textFill>
              </w:rPr>
            </w:pPr>
            <w:r>
              <w:rPr>
                <w:rFonts w:hint="eastAsia" w:ascii="Times New Roman" w:hAnsi="Times New Roman" w:eastAsia="宋体" w:cstheme="majorBidi"/>
                <w:b w:val="0"/>
                <w:color w:val="000000" w:themeColor="text1"/>
                <w:sz w:val="21"/>
                <w:szCs w:val="24"/>
                <w:highlight w:val="none"/>
                <w:lang w:val="en-US" w:eastAsia="zh-CN" w:bidi="ar-SA"/>
                <w14:textFill>
                  <w14:solidFill>
                    <w14:schemeClr w14:val="tx1"/>
                  </w14:solidFill>
                </w14:textFill>
              </w:rPr>
              <w:t>《中华人民共和国公路法》、《公路安全保护条例》、《铁路安全管理条例》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1100" w:type="dxa"/>
            <w:vMerge w:val="continue"/>
            <w:vAlign w:val="center"/>
          </w:tcPr>
          <w:p>
            <w:pPr>
              <w:pStyle w:val="52"/>
              <w:rPr>
                <w:color w:val="000000" w:themeColor="text1"/>
                <w:highlight w:val="none"/>
                <w14:textFill>
                  <w14:solidFill>
                    <w14:schemeClr w14:val="tx1"/>
                  </w14:solidFill>
                </w14:textFill>
              </w:rPr>
            </w:pPr>
          </w:p>
        </w:tc>
        <w:tc>
          <w:tcPr>
            <w:tcW w:w="3940" w:type="dxa"/>
            <w:vAlign w:val="center"/>
          </w:tcPr>
          <w:p>
            <w:pPr>
              <w:pStyle w:val="52"/>
              <w:ind w:firstLine="0" w:firstLineChars="0"/>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法律、法规、行政规章规定的其他禁止畜禽养殖的区域（森林公园、基本农田等）</w:t>
            </w:r>
          </w:p>
        </w:tc>
        <w:tc>
          <w:tcPr>
            <w:tcW w:w="4240" w:type="dxa"/>
            <w:vAlign w:val="center"/>
          </w:tcPr>
          <w:p>
            <w:pPr>
              <w:pStyle w:val="52"/>
              <w:ind w:firstLine="0" w:firstLineChars="0"/>
              <w:jc w:val="center"/>
              <w:rPr>
                <w:rFonts w:hint="default" w:eastAsia="宋体"/>
                <w:color w:val="000000" w:themeColor="text1"/>
                <w:highlight w:val="none"/>
                <w:lang w:val="en-US" w:eastAsia="zh-CN"/>
                <w14:textFill>
                  <w14:solidFill>
                    <w14:schemeClr w14:val="tx1"/>
                  </w14:solidFill>
                </w14:textFill>
              </w:rPr>
            </w:pPr>
            <w:r>
              <w:rPr>
                <w:rFonts w:hint="default" w:eastAsia="宋体"/>
                <w:color w:val="000000" w:themeColor="text1"/>
                <w:highlight w:val="none"/>
                <w:lang w:val="en-US" w:eastAsia="zh-CN"/>
                <w14:textFill>
                  <w14:solidFill>
                    <w14:schemeClr w14:val="tx1"/>
                  </w14:solidFill>
                </w14:textFill>
              </w:rPr>
              <w:t>其他有关法律法规和技术规范</w:t>
            </w:r>
            <w:r>
              <w:rPr>
                <w:rFonts w:hint="eastAsia"/>
                <w:color w:val="000000" w:themeColor="text1"/>
                <w:highlight w:val="none"/>
                <w:lang w:val="en-US" w:eastAsia="zh-CN"/>
                <w14:textFill>
                  <w14:solidFill>
                    <w14:schemeClr w14:val="tx1"/>
                  </w14:solidFill>
                </w14:textFill>
              </w:rPr>
              <w:t>等</w:t>
            </w:r>
          </w:p>
        </w:tc>
      </w:tr>
    </w:tbl>
    <w:p>
      <w:pPr>
        <w:ind w:firstLine="476"/>
        <w:jc w:val="left"/>
        <w:rPr>
          <w:color w:val="000000" w:themeColor="text1"/>
          <w:spacing w:val="-1"/>
          <w:highlight w:val="none"/>
          <w14:textFill>
            <w14:solidFill>
              <w14:schemeClr w14:val="tx1"/>
            </w14:solidFill>
          </w14:textFill>
        </w:rPr>
      </w:pPr>
    </w:p>
    <w:p>
      <w:pPr>
        <w:ind w:firstLine="476"/>
        <w:jc w:val="left"/>
        <w:rPr>
          <w:color w:val="000000" w:themeColor="text1"/>
          <w:spacing w:val="-1"/>
          <w:highlight w:val="none"/>
          <w14:textFill>
            <w14:solidFill>
              <w14:schemeClr w14:val="tx1"/>
            </w14:solidFill>
          </w14:textFill>
        </w:rPr>
      </w:pPr>
    </w:p>
    <w:p>
      <w:pPr>
        <w:ind w:firstLine="476"/>
        <w:jc w:val="left"/>
        <w:rPr>
          <w:color w:val="000000" w:themeColor="text1"/>
          <w:spacing w:val="-1"/>
          <w:highlight w:val="none"/>
          <w14:textFill>
            <w14:solidFill>
              <w14:schemeClr w14:val="tx1"/>
            </w14:solidFill>
          </w14:textFill>
        </w:rPr>
      </w:pPr>
    </w:p>
    <w:p>
      <w:pPr>
        <w:ind w:firstLine="476"/>
        <w:jc w:val="left"/>
        <w:rPr>
          <w:color w:val="000000" w:themeColor="text1"/>
          <w:spacing w:val="-1"/>
          <w:highlight w:val="none"/>
          <w14:textFill>
            <w14:solidFill>
              <w14:schemeClr w14:val="tx1"/>
            </w14:solidFill>
          </w14:textFill>
        </w:rPr>
      </w:pPr>
    </w:p>
    <w:p>
      <w:pPr>
        <w:ind w:firstLine="476"/>
        <w:jc w:val="left"/>
        <w:rPr>
          <w:color w:val="000000" w:themeColor="text1"/>
          <w:spacing w:val="-1"/>
          <w:highlight w:val="none"/>
          <w14:textFill>
            <w14:solidFill>
              <w14:schemeClr w14:val="tx1"/>
            </w14:solidFill>
          </w14:textFill>
        </w:rPr>
      </w:pPr>
    </w:p>
    <w:p>
      <w:pPr>
        <w:ind w:firstLine="476"/>
        <w:jc w:val="left"/>
        <w:rPr>
          <w:color w:val="000000" w:themeColor="text1"/>
          <w:spacing w:val="-1"/>
          <w:highlight w:val="none"/>
          <w14:textFill>
            <w14:solidFill>
              <w14:schemeClr w14:val="tx1"/>
            </w14:solidFill>
          </w14:textFill>
        </w:rPr>
      </w:pPr>
    </w:p>
    <w:p>
      <w:pPr>
        <w:ind w:firstLine="476"/>
        <w:jc w:val="left"/>
        <w:rPr>
          <w:color w:val="000000" w:themeColor="text1"/>
          <w:spacing w:val="-1"/>
          <w:highlight w:val="none"/>
          <w14:textFill>
            <w14:solidFill>
              <w14:schemeClr w14:val="tx1"/>
            </w14:solidFill>
          </w14:textFill>
        </w:rPr>
      </w:pPr>
    </w:p>
    <w:p>
      <w:pPr>
        <w:ind w:firstLine="476"/>
        <w:jc w:val="left"/>
        <w:rPr>
          <w:color w:val="000000" w:themeColor="text1"/>
          <w:spacing w:val="-1"/>
          <w:highlight w:val="none"/>
          <w14:textFill>
            <w14:solidFill>
              <w14:schemeClr w14:val="tx1"/>
            </w14:solidFill>
          </w14:textFill>
        </w:rPr>
      </w:pPr>
    </w:p>
    <w:p>
      <w:pPr>
        <w:ind w:firstLine="476"/>
        <w:jc w:val="left"/>
        <w:rPr>
          <w:color w:val="000000" w:themeColor="text1"/>
          <w:spacing w:val="-1"/>
          <w:highlight w:val="none"/>
          <w14:textFill>
            <w14:solidFill>
              <w14:schemeClr w14:val="tx1"/>
            </w14:solidFill>
          </w14:textFill>
        </w:rPr>
      </w:pPr>
    </w:p>
    <w:p>
      <w:pPr>
        <w:pStyle w:val="2"/>
        <w:rPr>
          <w:color w:val="000000" w:themeColor="text1"/>
          <w:highlight w:val="none"/>
          <w14:textFill>
            <w14:solidFill>
              <w14:schemeClr w14:val="tx1"/>
            </w14:solidFill>
          </w14:textFill>
        </w:rPr>
      </w:pPr>
      <w:bookmarkStart w:id="37" w:name="_Toc8451"/>
      <w:r>
        <w:rPr>
          <w:rFonts w:hint="eastAsia"/>
          <w:color w:val="000000" w:themeColor="text1"/>
          <w:highlight w:val="none"/>
          <w14:textFill>
            <w14:solidFill>
              <w14:schemeClr w14:val="tx1"/>
            </w14:solidFill>
          </w14:textFill>
        </w:rPr>
        <w:t>工作流程</w:t>
      </w:r>
      <w:bookmarkEnd w:id="37"/>
    </w:p>
    <w:p>
      <w:pPr>
        <w:pStyle w:val="3"/>
        <w:spacing w:before="156" w:after="156"/>
        <w:rPr>
          <w:color w:val="000000" w:themeColor="text1"/>
          <w:highlight w:val="none"/>
          <w14:textFill>
            <w14:solidFill>
              <w14:schemeClr w14:val="tx1"/>
            </w14:solidFill>
          </w14:textFill>
        </w:rPr>
      </w:pPr>
      <w:bookmarkStart w:id="38" w:name="_Toc23544"/>
      <w:r>
        <w:rPr>
          <w:rFonts w:hint="eastAsia"/>
          <w:color w:val="000000" w:themeColor="text1"/>
          <w:highlight w:val="none"/>
          <w14:textFill>
            <w14:solidFill>
              <w14:schemeClr w14:val="tx1"/>
            </w14:solidFill>
          </w14:textFill>
        </w:rPr>
        <w:t>摸清</w:t>
      </w:r>
      <w:r>
        <w:rPr>
          <w:rFonts w:hint="eastAsia" w:ascii="宋体" w:hAnsi="宋体" w:cs="宋体"/>
          <w:color w:val="000000" w:themeColor="text1"/>
          <w:highlight w:val="none"/>
          <w14:textFill>
            <w14:solidFill>
              <w14:schemeClr w14:val="tx1"/>
            </w14:solidFill>
          </w14:textFill>
        </w:rPr>
        <w:t>底</w:t>
      </w:r>
      <w:r>
        <w:rPr>
          <w:rFonts w:hint="eastAsia" w:ascii="Z@R2FE.tmp" w:hAnsi="Z@R2FE.tmp" w:eastAsia="Z@R2FE.tmp" w:cs="Z@R2FE.tmp"/>
          <w:color w:val="000000" w:themeColor="text1"/>
          <w:highlight w:val="none"/>
          <w14:textFill>
            <w14:solidFill>
              <w14:schemeClr w14:val="tx1"/>
            </w14:solidFill>
          </w14:textFill>
        </w:rPr>
        <w:t>数</w:t>
      </w:r>
      <w:bookmarkEnd w:id="38"/>
    </w:p>
    <w:p>
      <w:pPr>
        <w:rPr>
          <w:rFonts w:ascii="仿宋" w:eastAsia="仿宋" w:cs="仿宋" w:hAnsiTheme="minorHAnsi"/>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由</w:t>
      </w:r>
      <w:r>
        <w:rPr>
          <w:rFonts w:hint="eastAsia"/>
          <w:color w:val="000000" w:themeColor="text1"/>
          <w:highlight w:val="none"/>
          <w:lang w:eastAsia="zh-CN"/>
          <w14:textFill>
            <w14:solidFill>
              <w14:schemeClr w14:val="tx1"/>
            </w14:solidFill>
          </w14:textFill>
        </w:rPr>
        <w:t>生态环境</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农业农村</w:t>
      </w:r>
      <w:r>
        <w:rPr>
          <w:rFonts w:hint="eastAsia"/>
          <w:color w:val="000000" w:themeColor="text1"/>
          <w:highlight w:val="none"/>
          <w14:textFill>
            <w14:solidFill>
              <w14:schemeClr w14:val="tx1"/>
            </w14:solidFill>
          </w14:textFill>
        </w:rPr>
        <w:t>部门会同有关部门依据国家和地方法律、法规等，结合当地经济社会发展规划、生态环境保护规划、畜牧业发展规划等，识别和初步确定禁养区划定范围。</w:t>
      </w:r>
    </w:p>
    <w:p>
      <w:pPr>
        <w:pStyle w:val="3"/>
        <w:spacing w:before="156" w:after="156"/>
        <w:rPr>
          <w:color w:val="000000" w:themeColor="text1"/>
          <w:highlight w:val="none"/>
          <w14:textFill>
            <w14:solidFill>
              <w14:schemeClr w14:val="tx1"/>
            </w14:solidFill>
          </w14:textFill>
        </w:rPr>
      </w:pPr>
      <w:bookmarkStart w:id="39" w:name="_Toc14557"/>
      <w:r>
        <w:rPr>
          <w:rFonts w:hint="eastAsia"/>
          <w:color w:val="000000" w:themeColor="text1"/>
          <w:highlight w:val="none"/>
          <w14:textFill>
            <w14:solidFill>
              <w14:schemeClr w14:val="tx1"/>
            </w14:solidFill>
          </w14:textFill>
        </w:rPr>
        <w:t>核定边界</w:t>
      </w:r>
      <w:bookmarkEnd w:id="39"/>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在初步确定划定范围的基础上，组织开展实地勘察，调查禁养区划定相关基础信息（包括有关地物信息，养殖场分布、养殖规模等），明确拟划定禁养区范围边界拐点，形成禁养区划定初步方案，包括比例尺一般不低于</w:t>
      </w:r>
      <w:r>
        <w:rPr>
          <w:color w:val="000000" w:themeColor="text1"/>
          <w:highlight w:val="none"/>
          <w14:textFill>
            <w14:solidFill>
              <w14:schemeClr w14:val="tx1"/>
            </w14:solidFill>
          </w14:textFill>
        </w:rPr>
        <w:t>1</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50000</w:t>
      </w:r>
      <w:r>
        <w:rPr>
          <w:rFonts w:hint="eastAsia"/>
          <w:color w:val="000000" w:themeColor="text1"/>
          <w:highlight w:val="none"/>
          <w14:textFill>
            <w14:solidFill>
              <w14:schemeClr w14:val="tx1"/>
            </w14:solidFill>
          </w14:textFill>
        </w:rPr>
        <w:t>的畜禽禁养区分布图，以及禁养区划定范围的文字描述等。</w:t>
      </w:r>
    </w:p>
    <w:p>
      <w:pPr>
        <w:pStyle w:val="3"/>
        <w:spacing w:before="156" w:after="156"/>
        <w:rPr>
          <w:color w:val="000000" w:themeColor="text1"/>
          <w:highlight w:val="none"/>
          <w14:textFill>
            <w14:solidFill>
              <w14:schemeClr w14:val="tx1"/>
            </w14:solidFill>
          </w14:textFill>
        </w:rPr>
      </w:pPr>
      <w:bookmarkStart w:id="40" w:name="_Toc14349"/>
      <w:r>
        <w:rPr>
          <w:rFonts w:hint="eastAsia"/>
          <w:color w:val="000000" w:themeColor="text1"/>
          <w:highlight w:val="none"/>
          <w14:textFill>
            <w14:solidFill>
              <w14:schemeClr w14:val="tx1"/>
            </w14:solidFill>
          </w14:textFill>
        </w:rPr>
        <w:t>征求意见</w:t>
      </w:r>
      <w:bookmarkEnd w:id="40"/>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禁养区划定初步方案征求同级有关部门意见，并向社会公开征求意见。根据反馈意见进行修正，必要的进行现场勘核，形成禁养区划定方案（送审稿）。</w:t>
      </w:r>
    </w:p>
    <w:p>
      <w:pPr>
        <w:pStyle w:val="3"/>
        <w:spacing w:before="156" w:after="156"/>
        <w:rPr>
          <w:color w:val="000000" w:themeColor="text1"/>
          <w:highlight w:val="none"/>
          <w14:textFill>
            <w14:solidFill>
              <w14:schemeClr w14:val="tx1"/>
            </w14:solidFill>
          </w14:textFill>
        </w:rPr>
      </w:pPr>
      <w:bookmarkStart w:id="41" w:name="_Toc31573"/>
      <w:r>
        <w:rPr>
          <w:rFonts w:hint="eastAsia"/>
          <w:color w:val="000000" w:themeColor="text1"/>
          <w:highlight w:val="none"/>
          <w14:textFill>
            <w14:solidFill>
              <w14:schemeClr w14:val="tx1"/>
            </w14:solidFill>
          </w14:textFill>
        </w:rPr>
        <w:t>报批公布</w:t>
      </w:r>
      <w:bookmarkEnd w:id="41"/>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由</w:t>
      </w:r>
      <w:r>
        <w:rPr>
          <w:rFonts w:hint="eastAsia"/>
          <w:color w:val="000000" w:themeColor="text1"/>
          <w:highlight w:val="none"/>
          <w:lang w:eastAsia="zh-CN"/>
          <w14:textFill>
            <w14:solidFill>
              <w14:schemeClr w14:val="tx1"/>
            </w14:solidFill>
          </w14:textFill>
        </w:rPr>
        <w:t>生态环境</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农业农村</w:t>
      </w:r>
      <w:r>
        <w:rPr>
          <w:rFonts w:hint="eastAsia"/>
          <w:color w:val="000000" w:themeColor="text1"/>
          <w:highlight w:val="none"/>
          <w14:textFill>
            <w14:solidFill>
              <w14:schemeClr w14:val="tx1"/>
            </w14:solidFill>
          </w14:textFill>
        </w:rPr>
        <w:t>部门将禁养区划定方案（送审稿）报上一级地方</w:t>
      </w:r>
      <w:r>
        <w:rPr>
          <w:rFonts w:hint="eastAsia"/>
          <w:color w:val="000000" w:themeColor="text1"/>
          <w:highlight w:val="none"/>
          <w:lang w:eastAsia="zh-CN"/>
          <w14:textFill>
            <w14:solidFill>
              <w14:schemeClr w14:val="tx1"/>
            </w14:solidFill>
          </w14:textFill>
        </w:rPr>
        <w:t>生态环境部门</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农业农村</w:t>
      </w:r>
      <w:r>
        <w:rPr>
          <w:rFonts w:hint="eastAsia"/>
          <w:color w:val="000000" w:themeColor="text1"/>
          <w:highlight w:val="none"/>
          <w14:textFill>
            <w14:solidFill>
              <w14:schemeClr w14:val="tx1"/>
            </w14:solidFill>
          </w14:textFill>
        </w:rPr>
        <w:t>部门进行技术审核后，报请同级人民政府批准并向社会公布。上级</w:t>
      </w:r>
      <w:r>
        <w:rPr>
          <w:rFonts w:hint="eastAsia"/>
          <w:color w:val="000000" w:themeColor="text1"/>
          <w:highlight w:val="none"/>
          <w:lang w:eastAsia="zh-CN"/>
          <w14:textFill>
            <w14:solidFill>
              <w14:schemeClr w14:val="tx1"/>
            </w14:solidFill>
          </w14:textFill>
        </w:rPr>
        <w:t>生态环境</w:t>
      </w:r>
      <w:r>
        <w:rPr>
          <w:rFonts w:hint="eastAsia"/>
          <w:color w:val="000000" w:themeColor="text1"/>
          <w:highlight w:val="none"/>
          <w14:textFill>
            <w14:solidFill>
              <w14:schemeClr w14:val="tx1"/>
            </w14:solidFill>
          </w14:textFill>
        </w:rPr>
        <w:t>、农业</w:t>
      </w:r>
      <w:r>
        <w:rPr>
          <w:rFonts w:hint="eastAsia"/>
          <w:color w:val="000000" w:themeColor="text1"/>
          <w:highlight w:val="none"/>
          <w:lang w:eastAsia="zh-CN"/>
          <w14:textFill>
            <w14:solidFill>
              <w14:schemeClr w14:val="tx1"/>
            </w14:solidFill>
          </w14:textFill>
        </w:rPr>
        <w:t>农村</w:t>
      </w:r>
      <w:r>
        <w:rPr>
          <w:rFonts w:hint="eastAsia"/>
          <w:color w:val="000000" w:themeColor="text1"/>
          <w:highlight w:val="none"/>
          <w14:textFill>
            <w14:solidFill>
              <w14:schemeClr w14:val="tx1"/>
            </w14:solidFill>
          </w14:textFill>
        </w:rPr>
        <w:t>部门应当及时掌握本行政区域禁养区划定情况，并定期向</w:t>
      </w:r>
      <w:r>
        <w:rPr>
          <w:rFonts w:hint="eastAsia"/>
          <w:color w:val="000000" w:themeColor="text1"/>
          <w:highlight w:val="none"/>
          <w:lang w:eastAsia="zh-CN"/>
          <w14:textFill>
            <w14:solidFill>
              <w14:schemeClr w14:val="tx1"/>
            </w14:solidFill>
          </w14:textFill>
        </w:rPr>
        <w:t>生态</w:t>
      </w:r>
      <w:r>
        <w:rPr>
          <w:rFonts w:hint="eastAsia"/>
          <w:color w:val="000000" w:themeColor="text1"/>
          <w:highlight w:val="none"/>
          <w14:textFill>
            <w14:solidFill>
              <w14:schemeClr w14:val="tx1"/>
            </w14:solidFill>
          </w14:textFill>
        </w:rPr>
        <w:t>环境部、农业</w:t>
      </w:r>
      <w:r>
        <w:rPr>
          <w:rFonts w:hint="eastAsia"/>
          <w:color w:val="000000" w:themeColor="text1"/>
          <w:highlight w:val="none"/>
          <w:lang w:eastAsia="zh-CN"/>
          <w14:textFill>
            <w14:solidFill>
              <w14:schemeClr w14:val="tx1"/>
            </w14:solidFill>
          </w14:textFill>
        </w:rPr>
        <w:t>农村</w:t>
      </w:r>
      <w:r>
        <w:rPr>
          <w:rFonts w:hint="eastAsia"/>
          <w:color w:val="000000" w:themeColor="text1"/>
          <w:highlight w:val="none"/>
          <w14:textFill>
            <w14:solidFill>
              <w14:schemeClr w14:val="tx1"/>
            </w14:solidFill>
          </w14:textFill>
        </w:rPr>
        <w:t>部报送工作进展情况。</w:t>
      </w:r>
    </w:p>
    <w:p>
      <w:pPr>
        <w:pStyle w:val="3"/>
        <w:spacing w:before="156" w:after="156"/>
        <w:rPr>
          <w:color w:val="000000" w:themeColor="text1"/>
          <w:highlight w:val="none"/>
          <w14:textFill>
            <w14:solidFill>
              <w14:schemeClr w14:val="tx1"/>
            </w14:solidFill>
          </w14:textFill>
        </w:rPr>
      </w:pPr>
      <w:bookmarkStart w:id="42" w:name="_Toc10154"/>
      <w:r>
        <w:rPr>
          <w:rFonts w:hint="eastAsia"/>
          <w:color w:val="000000" w:themeColor="text1"/>
          <w:highlight w:val="none"/>
          <w14:textFill>
            <w14:solidFill>
              <w14:schemeClr w14:val="tx1"/>
            </w14:solidFill>
          </w14:textFill>
        </w:rPr>
        <w:t>其他</w:t>
      </w:r>
      <w:bookmarkEnd w:id="42"/>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（1）根据</w:t>
      </w:r>
      <w:r>
        <w:rPr>
          <w:rFonts w:hint="eastAsia"/>
          <w:color w:val="000000" w:themeColor="text1"/>
          <w:highlight w:val="none"/>
          <w:lang w:eastAsia="zh-CN"/>
          <w14:textFill>
            <w14:solidFill>
              <w14:schemeClr w14:val="tx1"/>
            </w14:solidFill>
          </w14:textFill>
        </w:rPr>
        <w:t>法律、法规以及参照《</w:t>
      </w:r>
      <w:r>
        <w:rPr>
          <w:rFonts w:hint="eastAsia"/>
          <w:color w:val="000000" w:themeColor="text1"/>
          <w:highlight w:val="none"/>
          <w14:textFill>
            <w14:solidFill>
              <w14:schemeClr w14:val="tx1"/>
            </w14:solidFill>
          </w14:textFill>
        </w:rPr>
        <w:t>兴宁市畜禽养殖禁养区划分方案</w:t>
      </w:r>
      <w:r>
        <w:rPr>
          <w:rFonts w:hint="eastAsia"/>
          <w:color w:val="000000" w:themeColor="text1"/>
          <w:highlight w:val="none"/>
          <w:lang w:eastAsia="zh-CN"/>
          <w14:textFill>
            <w14:solidFill>
              <w14:schemeClr w14:val="tx1"/>
            </w14:solidFill>
          </w14:textFill>
        </w:rPr>
        <w:t>》（</w:t>
      </w:r>
      <w:r>
        <w:rPr>
          <w:rFonts w:hint="eastAsia"/>
          <w:color w:val="000000" w:themeColor="text1"/>
          <w:highlight w:val="none"/>
          <w14:textFill>
            <w14:solidFill>
              <w14:schemeClr w14:val="tx1"/>
            </w14:solidFill>
          </w14:textFill>
        </w:rPr>
        <w:t>兴市府办〔2010〕58号</w:t>
      </w:r>
      <w:r>
        <w:rPr>
          <w:rFonts w:hint="eastAsia"/>
          <w:color w:val="000000" w:themeColor="text1"/>
          <w:highlight w:val="none"/>
          <w:lang w:eastAsia="zh-CN"/>
          <w14:textFill>
            <w14:solidFill>
              <w14:schemeClr w14:val="tx1"/>
            </w14:solidFill>
          </w14:textFill>
        </w:rPr>
        <w:t>）</w:t>
      </w:r>
      <w:r>
        <w:rPr>
          <w:rFonts w:hint="eastAsia"/>
          <w:color w:val="000000" w:themeColor="text1"/>
          <w:highlight w:val="none"/>
          <w14:textFill>
            <w14:solidFill>
              <w14:schemeClr w14:val="tx1"/>
            </w14:solidFill>
          </w14:textFill>
        </w:rPr>
        <w:t>的基础上进行修订编制，本次禁养区划定后原则上</w:t>
      </w:r>
      <w:r>
        <w:rPr>
          <w:color w:val="000000" w:themeColor="text1"/>
          <w:highlight w:val="none"/>
          <w14:textFill>
            <w14:solidFill>
              <w14:schemeClr w14:val="tx1"/>
            </w14:solidFill>
          </w14:textFill>
        </w:rPr>
        <w:t>5</w:t>
      </w:r>
      <w:r>
        <w:rPr>
          <w:rFonts w:hint="eastAsia"/>
          <w:color w:val="000000" w:themeColor="text1"/>
          <w:highlight w:val="none"/>
          <w14:textFill>
            <w14:solidFill>
              <w14:schemeClr w14:val="tx1"/>
            </w14:solidFill>
          </w14:textFill>
        </w:rPr>
        <w:t>年内不做调整；需要调整的，根据《畜禽养殖禁养区划定技术指南》开展工作。</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（2）已完成禁养区划定的、已形成禁养区划定初步方案的，但划定范围与《畜禽养殖禁养区划定技术指南》要求不符的，本次划定时，已根据</w:t>
      </w:r>
      <w:r>
        <w:rPr>
          <w:rFonts w:hint="eastAsia"/>
          <w:color w:val="000000" w:themeColor="text1"/>
          <w:highlight w:val="none"/>
          <w:lang w:eastAsia="zh-CN"/>
          <w14:textFill>
            <w14:solidFill>
              <w14:schemeClr w14:val="tx1"/>
            </w14:solidFill>
          </w14:textFill>
        </w:rPr>
        <w:t>法律、法规以及</w:t>
      </w:r>
      <w:r>
        <w:rPr>
          <w:rFonts w:hint="eastAsia"/>
          <w:color w:val="000000" w:themeColor="text1"/>
          <w:highlight w:val="none"/>
          <w14:textFill>
            <w14:solidFill>
              <w14:schemeClr w14:val="tx1"/>
            </w14:solidFill>
          </w14:textFill>
        </w:rPr>
        <w:t>《畜禽养殖禁养区划定技术指南》进行了调整。</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（3）本次禁养区划定完成后，地方</w:t>
      </w:r>
      <w:r>
        <w:rPr>
          <w:rFonts w:hint="eastAsia"/>
          <w:color w:val="000000" w:themeColor="text1"/>
          <w:highlight w:val="none"/>
          <w:lang w:eastAsia="zh-CN"/>
          <w14:textFill>
            <w14:solidFill>
              <w14:schemeClr w14:val="tx1"/>
            </w14:solidFill>
          </w14:textFill>
        </w:rPr>
        <w:t>生态环境</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农业农村</w:t>
      </w:r>
      <w:r>
        <w:rPr>
          <w:rFonts w:hint="eastAsia"/>
          <w:color w:val="000000" w:themeColor="text1"/>
          <w:highlight w:val="none"/>
          <w14:textFill>
            <w14:solidFill>
              <w14:schemeClr w14:val="tx1"/>
            </w14:solidFill>
          </w14:textFill>
        </w:rPr>
        <w:t>部门要按照地方政府统一部署，积极配合有关部门，依据《水污染防治法》第五十八条、第五十九条和《畜禽规模养殖污染防治条例》第二十五条等有关法律法规的规定，协助做好禁养区内确需搬迁的已有养殖场搬迁工作</w:t>
      </w:r>
      <w:r>
        <w:rPr>
          <w:rFonts w:hint="eastAsia"/>
          <w:color w:val="000000" w:themeColor="text1"/>
          <w:highlight w:val="none"/>
          <w:lang w:eastAsia="zh-CN"/>
          <w14:textFill>
            <w14:solidFill>
              <w14:schemeClr w14:val="tx1"/>
            </w14:solidFill>
          </w14:textFill>
        </w:rPr>
        <w:t>，加大异地重建支持力度</w:t>
      </w:r>
      <w:r>
        <w:rPr>
          <w:rFonts w:hint="eastAsia"/>
          <w:color w:val="000000" w:themeColor="text1"/>
          <w:highlight w:val="none"/>
          <w14:textFill>
            <w14:solidFill>
              <w14:schemeClr w14:val="tx1"/>
            </w14:solidFill>
          </w14:textFill>
        </w:rPr>
        <w:t>。</w:t>
      </w:r>
    </w:p>
    <w:p>
      <w:pPr>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依据广东省农业农村厅发布《广东省生猪生产发展总体规划和区域布局(2018-2020年)》(修订版)，梅州市生猪出栏量，2018年规划目标238万头，2019年规划目标235万头，到2020年全梅州市生猪出栏量规划目标215万头</w:t>
      </w:r>
      <w:r>
        <w:rPr>
          <w:rFonts w:hint="eastAsia"/>
          <w:color w:val="000000" w:themeColor="text1"/>
          <w:highlight w:val="none"/>
          <w:lang w:eastAsia="zh-CN"/>
          <w14:textFill>
            <w14:solidFill>
              <w14:schemeClr w14:val="tx1"/>
            </w14:solidFill>
          </w14:textFill>
        </w:rPr>
        <w:t>。</w:t>
      </w:r>
    </w:p>
    <w:p>
      <w:pPr>
        <w:rPr>
          <w:rFonts w:hint="eastAsia" w:ascii="宋体" w:hAnsi="宋体"/>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备注说明：</w:t>
      </w:r>
    </w:p>
    <w:p>
      <w:pPr>
        <w:rPr>
          <w:rFonts w:hint="eastAsia" w:ascii="宋体" w:hAnsi="宋体"/>
          <w:color w:val="000000" w:themeColor="text1"/>
          <w:highlight w:val="none"/>
          <w:lang w:eastAsia="zh-CN"/>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1.</w:t>
      </w:r>
      <w:r>
        <w:rPr>
          <w:rFonts w:hint="eastAsia" w:ascii="宋体" w:hAnsi="宋体"/>
          <w:color w:val="000000" w:themeColor="text1"/>
          <w:highlight w:val="none"/>
          <w:lang w:eastAsia="zh-CN"/>
          <w14:textFill>
            <w14:solidFill>
              <w14:schemeClr w14:val="tx1"/>
            </w14:solidFill>
          </w14:textFill>
        </w:rPr>
        <w:t>禁养区以饮用水水源保护区、自然保护区的核心区和缓冲区、风景名胜区、城镇居民区、文化教育科学研究区等区域为重点调整保护范围。</w:t>
      </w:r>
    </w:p>
    <w:p>
      <w:pPr>
        <w:rPr>
          <w:rFonts w:hint="eastAsia" w:ascii="宋体" w:hAnsi="宋体"/>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2.本方案图形与文字不相符的，以文字为准。</w:t>
      </w:r>
    </w:p>
    <w:p>
      <w:pPr>
        <w:rPr>
          <w:rFonts w:hint="eastAsia" w:ascii="宋体" w:hAnsi="宋体"/>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3.禁养区边界有差异、争议以各主管部门现场核实为准。</w:t>
      </w:r>
    </w:p>
    <w:p>
      <w:pPr>
        <w:rPr>
          <w:rFonts w:hint="default" w:ascii="宋体" w:hAnsi="宋体"/>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4.涉及到各划分区的土地性质有新变动的，以新变动范围及各主管部门核实为准。</w:t>
      </w:r>
    </w:p>
    <w:p>
      <w:pPr>
        <w:rPr>
          <w:rFonts w:hint="eastAsia" w:ascii="宋体" w:hAnsi="宋体"/>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5.涉及到各划分区的地理位置依据，有差异、争议以各主管部门依据及核实为准。</w:t>
      </w:r>
    </w:p>
    <w:p>
      <w:pPr>
        <w:widowControl w:val="0"/>
        <w:numPr>
          <w:ilvl w:val="0"/>
          <w:numId w:val="0"/>
        </w:numPr>
        <w:ind w:firstLine="480" w:firstLineChars="200"/>
        <w:jc w:val="both"/>
        <w:rPr>
          <w:rFonts w:hint="eastAsia"/>
          <w:color w:val="000000" w:themeColor="text1"/>
          <w:lang w:val="en-US" w:eastAsia="zh-CN"/>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6.</w:t>
      </w:r>
      <w:r>
        <w:rPr>
          <w:rFonts w:hint="eastAsia"/>
          <w:color w:val="000000" w:themeColor="text1"/>
          <w:lang w:val="en-US" w:eastAsia="zh-CN"/>
          <w14:textFill>
            <w14:solidFill>
              <w14:schemeClr w14:val="tx1"/>
            </w14:solidFill>
          </w14:textFill>
        </w:rPr>
        <w:t>各类型禁养区范围如有重叠、交错，以最大范围为准。</w:t>
      </w:r>
    </w:p>
    <w:p>
      <w:pPr>
        <w:widowControl w:val="0"/>
        <w:numPr>
          <w:ilvl w:val="0"/>
          <w:numId w:val="0"/>
        </w:numPr>
        <w:ind w:firstLine="480" w:firstLineChars="200"/>
        <w:jc w:val="both"/>
        <w:rPr>
          <w:rFonts w:hint="default"/>
          <w:color w:val="000000" w:themeColor="text1"/>
          <w:lang w:val="en-US" w:eastAsia="zh-CN"/>
          <w14:textFill>
            <w14:solidFill>
              <w14:schemeClr w14:val="tx1"/>
            </w14:solidFill>
          </w14:textFill>
        </w:rPr>
      </w:pPr>
      <w:r>
        <w:rPr>
          <w:rFonts w:hint="eastAsia" w:ascii="宋体" w:hAnsi="宋体" w:cs="Times New Roman"/>
          <w:color w:val="000000" w:themeColor="text1"/>
          <w:highlight w:val="none"/>
          <w:lang w:val="en-US" w:eastAsia="zh-CN"/>
          <w14:textFill>
            <w14:solidFill>
              <w14:schemeClr w14:val="tx1"/>
            </w14:solidFill>
          </w14:textFill>
        </w:rPr>
        <w:t>7</w:t>
      </w:r>
      <w:r>
        <w:rPr>
          <w:rFonts w:hint="eastAsia" w:ascii="宋体" w:hAnsi="宋体" w:eastAsia="宋体" w:cs="Times New Roman"/>
          <w:color w:val="000000" w:themeColor="text1"/>
          <w:highlight w:val="none"/>
          <w:lang w:val="en-US" w:eastAsia="zh-CN"/>
          <w14:textFill>
            <w14:solidFill>
              <w14:schemeClr w14:val="tx1"/>
            </w14:solidFill>
          </w14:textFill>
        </w:rPr>
        <w:t>.</w:t>
      </w:r>
      <w:r>
        <w:rPr>
          <w:rFonts w:hint="eastAsia"/>
          <w:color w:val="000000" w:themeColor="text1"/>
          <w:lang w:val="en-US" w:eastAsia="zh-CN"/>
          <w14:textFill>
            <w14:solidFill>
              <w14:schemeClr w14:val="tx1"/>
            </w14:solidFill>
          </w14:textFill>
        </w:rPr>
        <w:t>禁养区面积重叠说明</w:t>
      </w:r>
    </w:p>
    <w:p>
      <w:pPr>
        <w:widowControl w:val="0"/>
        <w:numPr>
          <w:ilvl w:val="0"/>
          <w:numId w:val="0"/>
        </w:numPr>
        <w:ind w:firstLine="480" w:firstLineChars="200"/>
        <w:jc w:val="both"/>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①部分</w:t>
      </w:r>
      <w:bookmarkStart w:id="43" w:name="OLE_LINK6"/>
      <w:r>
        <w:rPr>
          <w:rFonts w:hint="eastAsia"/>
          <w:color w:val="000000" w:themeColor="text1"/>
          <w:lang w:val="en-US" w:eastAsia="zh-CN"/>
          <w14:textFill>
            <w14:solidFill>
              <w14:schemeClr w14:val="tx1"/>
            </w14:solidFill>
          </w14:textFill>
        </w:rPr>
        <w:t>饮用水源</w:t>
      </w:r>
      <w:bookmarkEnd w:id="43"/>
      <w:r>
        <w:rPr>
          <w:rFonts w:hint="eastAsia"/>
          <w:color w:val="000000" w:themeColor="text1"/>
          <w:lang w:val="en-US" w:eastAsia="zh-CN"/>
          <w14:textFill>
            <w14:solidFill>
              <w14:schemeClr w14:val="tx1"/>
            </w14:solidFill>
          </w14:textFill>
        </w:rPr>
        <w:t>与基本农田、自然保护区、森林公园、</w:t>
      </w:r>
      <w:bookmarkStart w:id="44" w:name="OLE_LINK1"/>
      <w:r>
        <w:rPr>
          <w:rFonts w:hint="eastAsia"/>
          <w:color w:val="000000" w:themeColor="text1"/>
          <w:lang w:val="en-US" w:eastAsia="zh-CN"/>
          <w14:textFill>
            <w14:solidFill>
              <w14:schemeClr w14:val="tx1"/>
            </w14:solidFill>
          </w14:textFill>
        </w:rPr>
        <w:t>主要交通干线</w:t>
      </w:r>
      <w:bookmarkEnd w:id="44"/>
      <w:r>
        <w:rPr>
          <w:rFonts w:hint="eastAsia"/>
          <w:color w:val="000000" w:themeColor="text1"/>
          <w:lang w:val="en-US" w:eastAsia="zh-CN"/>
          <w14:textFill>
            <w14:solidFill>
              <w14:schemeClr w14:val="tx1"/>
            </w14:solidFill>
          </w14:textFill>
        </w:rPr>
        <w:t>部分重叠面积为15km</w:t>
      </w:r>
      <w:r>
        <w:rPr>
          <w:rFonts w:hint="eastAsia"/>
          <w:color w:val="000000" w:themeColor="text1"/>
          <w:vertAlign w:val="superscript"/>
          <w:lang w:val="en-US" w:eastAsia="zh-CN"/>
          <w14:textFill>
            <w14:solidFill>
              <w14:schemeClr w14:val="tx1"/>
            </w14:solidFill>
          </w14:textFill>
        </w:rPr>
        <w:t>2</w:t>
      </w:r>
    </w:p>
    <w:p>
      <w:pPr>
        <w:widowControl w:val="0"/>
        <w:numPr>
          <w:ilvl w:val="0"/>
          <w:numId w:val="0"/>
        </w:numPr>
        <w:ind w:firstLine="480" w:firstLineChars="200"/>
        <w:jc w:val="both"/>
        <w:rPr>
          <w:rFonts w:hint="default"/>
          <w:color w:val="000000" w:themeColor="text1"/>
          <w:lang w:val="en-US" w:eastAsia="zh-CN"/>
          <w14:textFill>
            <w14:solidFill>
              <w14:schemeClr w14:val="tx1"/>
            </w14:solidFill>
          </w14:textFill>
        </w:rPr>
      </w:pPr>
      <w:bookmarkStart w:id="45" w:name="OLE_LINK5"/>
      <w:r>
        <w:rPr>
          <w:rFonts w:hint="eastAsia"/>
          <w:color w:val="000000" w:themeColor="text1"/>
          <w:lang w:val="en-US" w:eastAsia="zh-CN"/>
          <w14:textFill>
            <w14:solidFill>
              <w14:schemeClr w14:val="tx1"/>
            </w14:solidFill>
          </w14:textFill>
        </w:rPr>
        <w:t>②部分</w:t>
      </w:r>
      <w:bookmarkEnd w:id="45"/>
      <w:r>
        <w:rPr>
          <w:rFonts w:hint="eastAsia"/>
          <w:color w:val="000000" w:themeColor="text1"/>
          <w:lang w:val="en-US" w:eastAsia="zh-CN"/>
          <w14:textFill>
            <w14:solidFill>
              <w14:schemeClr w14:val="tx1"/>
            </w14:solidFill>
          </w14:textFill>
        </w:rPr>
        <w:t>自然保护区与饮用水源与基本农田、森林公园、主要交通干线部分重叠面积为104km</w:t>
      </w:r>
      <w:r>
        <w:rPr>
          <w:rFonts w:hint="eastAsia"/>
          <w:color w:val="000000" w:themeColor="text1"/>
          <w:vertAlign w:val="superscript"/>
          <w:lang w:val="en-US" w:eastAsia="zh-CN"/>
          <w14:textFill>
            <w14:solidFill>
              <w14:schemeClr w14:val="tx1"/>
            </w14:solidFill>
          </w14:textFill>
        </w:rPr>
        <w:t>2</w:t>
      </w:r>
    </w:p>
    <w:p>
      <w:pPr>
        <w:widowControl w:val="0"/>
        <w:numPr>
          <w:ilvl w:val="0"/>
          <w:numId w:val="0"/>
        </w:numPr>
        <w:ind w:firstLine="480" w:firstLineChars="200"/>
        <w:jc w:val="both"/>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③部分森林公园与饮用水源、基本农田、自然保护区、主要交通干线部分重叠面积为60km</w:t>
      </w:r>
      <w:r>
        <w:rPr>
          <w:rFonts w:hint="eastAsia"/>
          <w:color w:val="000000" w:themeColor="text1"/>
          <w:vertAlign w:val="superscript"/>
          <w:lang w:val="en-US" w:eastAsia="zh-CN"/>
          <w14:textFill>
            <w14:solidFill>
              <w14:schemeClr w14:val="tx1"/>
            </w14:solidFill>
          </w14:textFill>
        </w:rPr>
        <w:t>2</w:t>
      </w:r>
    </w:p>
    <w:p>
      <w:pPr>
        <w:widowControl w:val="0"/>
        <w:numPr>
          <w:ilvl w:val="0"/>
          <w:numId w:val="0"/>
        </w:numPr>
        <w:ind w:firstLine="480" w:firstLineChars="200"/>
        <w:jc w:val="both"/>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④部分基本农田与饮用水源、森林公园、自然保护区、主要交通干线部分重叠面积为121km</w:t>
      </w:r>
      <w:r>
        <w:rPr>
          <w:rFonts w:hint="eastAsia"/>
          <w:color w:val="000000" w:themeColor="text1"/>
          <w:vertAlign w:val="superscript"/>
          <w:lang w:val="en-US" w:eastAsia="zh-CN"/>
          <w14:textFill>
            <w14:solidFill>
              <w14:schemeClr w14:val="tx1"/>
            </w14:solidFill>
          </w14:textFill>
        </w:rPr>
        <w:t>2</w:t>
      </w:r>
    </w:p>
    <w:p>
      <w:pPr>
        <w:widowControl w:val="0"/>
        <w:numPr>
          <w:ilvl w:val="0"/>
          <w:numId w:val="0"/>
        </w:numPr>
        <w:ind w:firstLine="480" w:firstLineChars="200"/>
        <w:jc w:val="both"/>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⑤城镇居民区和文化教育研究区与主要交通干线重叠面积18km</w:t>
      </w:r>
      <w:r>
        <w:rPr>
          <w:rFonts w:hint="eastAsia"/>
          <w:color w:val="000000" w:themeColor="text1"/>
          <w:vertAlign w:val="superscript"/>
          <w:lang w:val="en-US" w:eastAsia="zh-CN"/>
          <w14:textFill>
            <w14:solidFill>
              <w14:schemeClr w14:val="tx1"/>
            </w14:solidFill>
          </w14:textFill>
        </w:rPr>
        <w:t>2</w:t>
      </w: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⑥梅兴华丰（水口工业园区）与畲江镇饮用水源保护区重叠面积为2.5km</w:t>
      </w:r>
      <w:r>
        <w:rPr>
          <w:rFonts w:hint="eastAsia"/>
          <w:color w:val="000000" w:themeColor="text1"/>
          <w:vertAlign w:val="superscript"/>
          <w:lang w:val="en-US" w:eastAsia="zh-CN"/>
          <w14:textFill>
            <w14:solidFill>
              <w14:schemeClr w14:val="tx1"/>
            </w14:solidFill>
          </w14:textFill>
        </w:rPr>
        <w:t>2</w:t>
      </w: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tbl>
      <w:tblPr>
        <w:tblStyle w:val="34"/>
        <w:tblpPr w:leftFromText="180" w:rightFromText="180" w:vertAnchor="text" w:horzAnchor="page" w:tblpX="1586" w:tblpY="16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2"/>
        <w:gridCol w:w="79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2" w:type="dxa"/>
            <w:noWrap w:val="0"/>
            <w:vAlign w:val="top"/>
          </w:tcPr>
          <w:p>
            <w:pPr>
              <w:widowControl w:val="0"/>
              <w:numPr>
                <w:ilvl w:val="0"/>
                <w:numId w:val="0"/>
              </w:numPr>
              <w:jc w:val="center"/>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序号</w:t>
            </w:r>
          </w:p>
        </w:tc>
        <w:tc>
          <w:tcPr>
            <w:tcW w:w="7993" w:type="dxa"/>
            <w:noWrap w:val="0"/>
            <w:vAlign w:val="top"/>
          </w:tcPr>
          <w:p>
            <w:pPr>
              <w:widowControl w:val="0"/>
              <w:numPr>
                <w:ilvl w:val="0"/>
                <w:numId w:val="0"/>
              </w:numPr>
              <w:jc w:val="center"/>
              <w:rPr>
                <w:rFonts w:hint="default"/>
                <w:color w:val="000000" w:themeColor="text1"/>
                <w:lang w:val="en-US" w:eastAsia="zh-CN"/>
                <w14:textFill>
                  <w14:solidFill>
                    <w14:schemeClr w14:val="tx1"/>
                  </w14:solidFill>
                </w14:textFill>
              </w:rPr>
            </w:pPr>
            <w:bookmarkStart w:id="46" w:name="OLE_LINK2"/>
            <w:r>
              <w:rPr>
                <w:rFonts w:hint="eastAsia"/>
                <w:color w:val="000000" w:themeColor="text1"/>
                <w:lang w:val="en-US" w:eastAsia="zh-CN"/>
                <w14:textFill>
                  <w14:solidFill>
                    <w14:schemeClr w14:val="tx1"/>
                  </w14:solidFill>
                </w14:textFill>
              </w:rPr>
              <w:t>禁养区面积</w:t>
            </w:r>
            <w:bookmarkEnd w:id="46"/>
            <w:bookmarkStart w:id="47" w:name="OLE_LINK3"/>
            <w:r>
              <w:rPr>
                <w:rFonts w:hint="eastAsia"/>
                <w:color w:val="000000" w:themeColor="text1"/>
                <w:lang w:val="en-US" w:eastAsia="zh-CN"/>
                <w14:textFill>
                  <w14:solidFill>
                    <w14:schemeClr w14:val="tx1"/>
                  </w14:solidFill>
                </w14:textFill>
              </w:rPr>
              <w:t>包含重叠区</w:t>
            </w:r>
            <w:bookmarkEnd w:id="47"/>
            <w:r>
              <w:rPr>
                <w:rFonts w:hint="eastAsia"/>
                <w:color w:val="000000" w:themeColor="text1"/>
                <w:lang w:val="en-US" w:eastAsia="zh-CN"/>
                <w14:textFill>
                  <w14:solidFill>
                    <w14:schemeClr w14:val="tx1"/>
                  </w14:solidFill>
                </w14:textFill>
              </w:rPr>
              <w:t>(km</w:t>
            </w:r>
            <w:r>
              <w:rPr>
                <w:rFonts w:hint="eastAsia"/>
                <w:color w:val="000000" w:themeColor="text1"/>
                <w:vertAlign w:val="superscript"/>
                <w:lang w:val="en-US" w:eastAsia="zh-CN"/>
                <w14:textFill>
                  <w14:solidFill>
                    <w14:schemeClr w14:val="tx1"/>
                  </w14:solidFill>
                </w14:textFill>
              </w:rPr>
              <w:t>2</w:t>
            </w:r>
            <w:r>
              <w:rPr>
                <w:rFonts w:hint="eastAsia"/>
                <w:color w:val="000000" w:themeColor="text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2" w:type="dxa"/>
            <w:noWrap w:val="0"/>
            <w:vAlign w:val="top"/>
          </w:tcPr>
          <w:p>
            <w:pPr>
              <w:widowControl w:val="0"/>
              <w:numPr>
                <w:ilvl w:val="0"/>
                <w:numId w:val="0"/>
              </w:numPr>
              <w:jc w:val="center"/>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1</w:t>
            </w:r>
          </w:p>
        </w:tc>
        <w:tc>
          <w:tcPr>
            <w:tcW w:w="7993" w:type="dxa"/>
            <w:noWrap w:val="0"/>
            <w:vAlign w:val="top"/>
          </w:tcPr>
          <w:p>
            <w:pPr>
              <w:widowControl w:val="0"/>
              <w:numPr>
                <w:ilvl w:val="0"/>
                <w:numId w:val="0"/>
              </w:numPr>
              <w:ind w:firstLine="480" w:firstLineChars="200"/>
              <w:jc w:val="both"/>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神光山自然保护区包含神光山森林公园</w:t>
            </w:r>
            <w:bookmarkStart w:id="48" w:name="OLE_LINK4"/>
            <w:r>
              <w:rPr>
                <w:rFonts w:hint="eastAsia"/>
                <w:color w:val="000000" w:themeColor="text1"/>
                <w:lang w:val="en-US" w:eastAsia="zh-CN"/>
                <w14:textFill>
                  <w14:solidFill>
                    <w14:schemeClr w14:val="tx1"/>
                  </w14:solidFill>
                </w14:textFill>
              </w:rPr>
              <w:t>包含面积为</w:t>
            </w:r>
            <w:bookmarkEnd w:id="48"/>
            <w:r>
              <w:rPr>
                <w:rFonts w:hint="eastAsia"/>
                <w:color w:val="000000" w:themeColor="text1"/>
                <w:lang w:val="en-US" w:eastAsia="zh-CN"/>
                <w14:textFill>
                  <w14:solidFill>
                    <w14:schemeClr w14:val="tx1"/>
                  </w14:solidFill>
                </w14:textFill>
              </w:rPr>
              <w:t>6.75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2" w:type="dxa"/>
            <w:noWrap w:val="0"/>
            <w:vAlign w:val="top"/>
          </w:tcPr>
          <w:p>
            <w:pPr>
              <w:widowControl w:val="0"/>
              <w:numPr>
                <w:ilvl w:val="0"/>
                <w:numId w:val="0"/>
              </w:numPr>
              <w:jc w:val="center"/>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2</w:t>
            </w:r>
          </w:p>
        </w:tc>
        <w:tc>
          <w:tcPr>
            <w:tcW w:w="7993" w:type="dxa"/>
            <w:noWrap w:val="0"/>
            <w:vAlign w:val="top"/>
          </w:tcPr>
          <w:p>
            <w:pPr>
              <w:widowControl w:val="0"/>
              <w:numPr>
                <w:ilvl w:val="0"/>
                <w:numId w:val="0"/>
              </w:numPr>
              <w:ind w:firstLine="480" w:firstLineChars="200"/>
              <w:jc w:val="both"/>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神光山自然保护区包含梅子县级湿地公园包含面积为1.24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2" w:type="dxa"/>
            <w:noWrap w:val="0"/>
            <w:vAlign w:val="top"/>
          </w:tcPr>
          <w:p>
            <w:pPr>
              <w:widowControl w:val="0"/>
              <w:numPr>
                <w:ilvl w:val="0"/>
                <w:numId w:val="0"/>
              </w:numPr>
              <w:jc w:val="center"/>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3</w:t>
            </w:r>
          </w:p>
        </w:tc>
        <w:tc>
          <w:tcPr>
            <w:tcW w:w="7993" w:type="dxa"/>
            <w:noWrap w:val="0"/>
            <w:vAlign w:val="top"/>
          </w:tcPr>
          <w:p>
            <w:pPr>
              <w:widowControl w:val="0"/>
              <w:numPr>
                <w:ilvl w:val="0"/>
                <w:numId w:val="0"/>
              </w:numPr>
              <w:ind w:firstLine="480" w:firstLineChars="200"/>
              <w:jc w:val="both"/>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和山岩森林公园包含和山岩自然保护区包含面积为2.79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2" w:type="dxa"/>
            <w:noWrap w:val="0"/>
            <w:vAlign w:val="top"/>
          </w:tcPr>
          <w:p>
            <w:pPr>
              <w:widowControl w:val="0"/>
              <w:numPr>
                <w:ilvl w:val="0"/>
                <w:numId w:val="0"/>
              </w:numPr>
              <w:jc w:val="center"/>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4</w:t>
            </w:r>
          </w:p>
        </w:tc>
        <w:tc>
          <w:tcPr>
            <w:tcW w:w="7993" w:type="dxa"/>
            <w:noWrap w:val="0"/>
            <w:vAlign w:val="top"/>
          </w:tcPr>
          <w:p>
            <w:pPr>
              <w:widowControl w:val="0"/>
              <w:numPr>
                <w:ilvl w:val="0"/>
                <w:numId w:val="0"/>
              </w:numPr>
              <w:ind w:firstLine="480" w:firstLineChars="200"/>
              <w:jc w:val="both"/>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白鹤仙师自然保护区包含温公森林公园包含面积为15</w:t>
            </w:r>
          </w:p>
        </w:tc>
      </w:tr>
    </w:tbl>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eastAsia"/>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default"/>
          <w:color w:val="000000" w:themeColor="text1"/>
          <w:vertAlign w:val="superscript"/>
          <w:lang w:val="en-US" w:eastAsia="zh-CN"/>
          <w14:textFill>
            <w14:solidFill>
              <w14:schemeClr w14:val="tx1"/>
            </w14:solidFill>
          </w14:textFill>
        </w:rPr>
      </w:pPr>
    </w:p>
    <w:p>
      <w:pPr>
        <w:widowControl w:val="0"/>
        <w:numPr>
          <w:ilvl w:val="0"/>
          <w:numId w:val="0"/>
        </w:numPr>
        <w:ind w:firstLine="480" w:firstLineChars="200"/>
        <w:jc w:val="both"/>
        <w:rPr>
          <w:rFonts w:hint="default"/>
          <w:color w:val="000000" w:themeColor="text1"/>
          <w:lang w:val="en-US" w:eastAsia="zh-CN"/>
          <w14:textFill>
            <w14:solidFill>
              <w14:schemeClr w14:val="tx1"/>
            </w14:solidFill>
          </w14:textFill>
        </w:rPr>
      </w:pPr>
    </w:p>
    <w:p>
      <w:pPr>
        <w:pStyle w:val="2"/>
        <w:rPr>
          <w:color w:val="000000" w:themeColor="text1"/>
          <w:highlight w:val="none"/>
          <w14:textFill>
            <w14:solidFill>
              <w14:schemeClr w14:val="tx1"/>
            </w14:solidFill>
          </w14:textFill>
        </w:rPr>
      </w:pPr>
      <w:bookmarkStart w:id="49" w:name="_Toc22036"/>
      <w:r>
        <w:rPr>
          <w:rFonts w:hint="eastAsia"/>
          <w:color w:val="000000" w:themeColor="text1"/>
          <w:highlight w:val="none"/>
          <w14:textFill>
            <w14:solidFill>
              <w14:schemeClr w14:val="tx1"/>
            </w14:solidFill>
          </w14:textFill>
        </w:rPr>
        <w:t>划分范围</w:t>
      </w:r>
      <w:bookmarkEnd w:id="49"/>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80" w:firstLineChars="200"/>
        <w:jc w:val="both"/>
        <w:textAlignment w:val="auto"/>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本次畜禽养殖区域的划分范围为兴宁市所辖全部镇（街道），共涵盖17个镇、3个街道（含</w:t>
      </w:r>
      <w:r>
        <w:rPr>
          <w:color w:val="000000" w:themeColor="text1"/>
          <w:highlight w:val="none"/>
          <w14:textFill>
            <w14:solidFill>
              <w14:schemeClr w14:val="tx1"/>
            </w14:solidFill>
          </w14:textFill>
        </w:rPr>
        <w:t>455个</w:t>
      </w:r>
      <w:r>
        <w:rPr>
          <w:rFonts w:hint="eastAsia"/>
          <w:color w:val="000000" w:themeColor="text1"/>
          <w:highlight w:val="none"/>
          <w14:textFill>
            <w14:solidFill>
              <w14:schemeClr w14:val="tx1"/>
            </w14:solidFill>
          </w14:textFill>
        </w:rPr>
        <w:t>村和36个社区居委会）。根据本次调整，</w:t>
      </w:r>
      <w:r>
        <w:rPr>
          <w:rFonts w:hint="eastAsia"/>
          <w:color w:val="000000" w:themeColor="text1"/>
          <w:highlight w:val="none"/>
          <w:lang w:val="en-US" w:eastAsia="zh-CN"/>
          <w14:textFill>
            <w14:solidFill>
              <w14:schemeClr w14:val="tx1"/>
            </w14:solidFill>
          </w14:textFill>
        </w:rPr>
        <w:t>兴宁市总面积为2075.3939km</w:t>
      </w:r>
      <w:r>
        <w:rPr>
          <w:rFonts w:hint="eastAsia"/>
          <w:color w:val="000000" w:themeColor="text1"/>
          <w:highlight w:val="none"/>
          <w:vertAlign w:val="superscript"/>
          <w:lang w:val="en-US" w:eastAsia="zh-CN"/>
          <w14:textFill>
            <w14:solidFill>
              <w14:schemeClr w14:val="tx1"/>
            </w14:solidFill>
          </w14:textFill>
        </w:rPr>
        <w:t>2</w:t>
      </w:r>
      <w:r>
        <w:rPr>
          <w:rFonts w:hint="eastAsia"/>
          <w:color w:val="000000" w:themeColor="text1"/>
          <w:highlight w:val="none"/>
          <w:lang w:val="en-US" w:eastAsia="zh-CN"/>
          <w14:textFill>
            <w14:solidFill>
              <w14:schemeClr w14:val="tx1"/>
            </w14:solidFill>
          </w14:textFill>
        </w:rPr>
        <w:t>，禁养区面积为637.62km</w:t>
      </w:r>
      <w:r>
        <w:rPr>
          <w:rFonts w:hint="eastAsia"/>
          <w:color w:val="000000" w:themeColor="text1"/>
          <w:highlight w:val="none"/>
          <w:vertAlign w:val="superscript"/>
          <w:lang w:val="en-US" w:eastAsia="zh-CN"/>
          <w14:textFill>
            <w14:solidFill>
              <w14:schemeClr w14:val="tx1"/>
            </w14:solidFill>
          </w14:textFill>
        </w:rPr>
        <w:t>2</w:t>
      </w:r>
      <w:r>
        <w:rPr>
          <w:rFonts w:hint="eastAsia"/>
          <w:color w:val="000000" w:themeColor="text1"/>
          <w:highlight w:val="none"/>
          <w:lang w:val="en-US" w:eastAsia="zh-CN"/>
          <w14:textFill>
            <w14:solidFill>
              <w14:schemeClr w14:val="tx1"/>
            </w14:solidFill>
          </w14:textFill>
        </w:rPr>
        <w:t>占全市总面积的30.7%，</w:t>
      </w:r>
      <w:r>
        <w:rPr>
          <w:rFonts w:hint="eastAsia"/>
          <w:color w:val="000000" w:themeColor="text1"/>
          <w:highlight w:val="none"/>
          <w14:textFill>
            <w14:solidFill>
              <w14:schemeClr w14:val="tx1"/>
            </w14:solidFill>
          </w14:textFill>
        </w:rPr>
        <w:t>具体划分情况如下文所示。</w:t>
      </w:r>
    </w:p>
    <w:p>
      <w:pPr>
        <w:pStyle w:val="3"/>
        <w:spacing w:before="163" w:after="163"/>
        <w:rPr>
          <w:color w:val="000000" w:themeColor="text1"/>
          <w:highlight w:val="none"/>
          <w14:textFill>
            <w14:solidFill>
              <w14:schemeClr w14:val="tx1"/>
            </w14:solidFill>
          </w14:textFill>
        </w:rPr>
      </w:pPr>
      <w:bookmarkStart w:id="50" w:name="_Toc11977"/>
      <w:r>
        <w:rPr>
          <w:rFonts w:hint="eastAsia"/>
          <w:color w:val="000000" w:themeColor="text1"/>
          <w:highlight w:val="none"/>
          <w14:textFill>
            <w14:solidFill>
              <w14:schemeClr w14:val="tx1"/>
            </w14:solidFill>
          </w14:textFill>
        </w:rPr>
        <w:t>禁止养殖区</w:t>
      </w:r>
      <w:bookmarkEnd w:id="50"/>
    </w:p>
    <w:p>
      <w:pPr>
        <w:pStyle w:val="4"/>
        <w:spacing w:before="163" w:after="163"/>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饮用水源地保护区</w:t>
      </w:r>
    </w:p>
    <w:p>
      <w:pPr>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根据《畜禽养殖禁养区划定技术指南》，将集中式饮用水源地确定的一、二级保护区区域范围划定为禁养区。</w:t>
      </w:r>
    </w:p>
    <w:p>
      <w:pPr>
        <w:bidi w:val="0"/>
        <w:jc w:val="center"/>
        <w:rPr>
          <w:rFonts w:hint="eastAsia" w:ascii="Times New Roman" w:hAnsi="Times New Roman" w:eastAsia="宋体" w:cs="Times New Roman"/>
          <w:b/>
          <w:bCs/>
          <w:color w:val="000000" w:themeColor="text1"/>
          <w:sz w:val="24"/>
          <w:szCs w:val="24"/>
          <w:lang w:val="en-US" w:eastAsia="zh-CN" w:bidi="ar-SA"/>
          <w14:textFill>
            <w14:solidFill>
              <w14:schemeClr w14:val="tx1"/>
            </w14:solidFill>
          </w14:textFill>
        </w:rPr>
      </w:pPr>
      <w:r>
        <w:rPr>
          <w:rFonts w:hint="eastAsia"/>
          <w:b/>
          <w:bCs/>
          <w:color w:val="000000" w:themeColor="text1"/>
          <w:highlight w:val="none"/>
          <w14:textFill>
            <w14:solidFill>
              <w14:schemeClr w14:val="tx1"/>
            </w14:solidFill>
          </w14:textFill>
        </w:rPr>
        <w:t>表9.1-1   乡镇饮用水源地禁养区</w:t>
      </w:r>
    </w:p>
    <w:tbl>
      <w:tblPr>
        <w:tblStyle w:val="33"/>
        <w:tblW w:w="9300" w:type="dxa"/>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3525"/>
        <w:gridCol w:w="5775"/>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blHeader/>
        </w:trPr>
        <w:tc>
          <w:tcPr>
            <w:tcW w:w="3525" w:type="dxa"/>
            <w:vMerge w:val="restart"/>
            <w:vAlign w:val="center"/>
          </w:tcPr>
          <w:p>
            <w:pPr>
              <w:pStyle w:val="52"/>
              <w:rPr>
                <w:b/>
                <w:color w:val="000000" w:themeColor="text1"/>
                <w:highlight w:val="none"/>
                <w14:textFill>
                  <w14:solidFill>
                    <w14:schemeClr w14:val="tx1"/>
                  </w14:solidFill>
                </w14:textFill>
              </w:rPr>
            </w:pPr>
            <w:r>
              <w:rPr>
                <w:rFonts w:hint="eastAsia"/>
                <w:b/>
                <w:color w:val="000000" w:themeColor="text1"/>
                <w:highlight w:val="none"/>
                <w14:textFill>
                  <w14:solidFill>
                    <w14:schemeClr w14:val="tx1"/>
                  </w14:solidFill>
                </w14:textFill>
              </w:rPr>
              <w:t>名称</w:t>
            </w:r>
          </w:p>
        </w:tc>
        <w:tc>
          <w:tcPr>
            <w:tcW w:w="5775" w:type="dxa"/>
            <w:vMerge w:val="restart"/>
            <w:vAlign w:val="center"/>
          </w:tcPr>
          <w:p>
            <w:pPr>
              <w:pStyle w:val="52"/>
              <w:rPr>
                <w:b/>
                <w:color w:val="000000" w:themeColor="text1"/>
                <w:highlight w:val="none"/>
                <w14:textFill>
                  <w14:solidFill>
                    <w14:schemeClr w14:val="tx1"/>
                  </w14:solidFill>
                </w14:textFill>
              </w:rPr>
            </w:pPr>
            <w:r>
              <w:rPr>
                <w:rFonts w:hint="eastAsia"/>
                <w:b/>
                <w:color w:val="000000" w:themeColor="text1"/>
                <w:highlight w:val="none"/>
                <w14:textFill>
                  <w14:solidFill>
                    <w14:schemeClr w14:val="tx1"/>
                  </w14:solidFill>
                </w14:textFill>
              </w:rPr>
              <w:t>保护区范围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blHeader/>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Merge w:val="continue"/>
            <w:vAlign w:val="center"/>
          </w:tcPr>
          <w:p>
            <w:pPr>
              <w:pStyle w:val="52"/>
              <w:rPr>
                <w:color w:val="000000" w:themeColor="text1"/>
                <w:highlight w:val="none"/>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建民村建新水库</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和山岩水库</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龙岗村老虎石水库</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黄溪村班基坪水库</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后山村石崆里山塘</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溪庄村热水水库</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兰塘村钳口陂水库</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苏京村九莱口水库</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汤一村红湖水库</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林场村童子排山塘</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大新村九子坑上库</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新丰村大草坝水库</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高坑村罗坑水</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石岌村王正坑水</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官亭村旱寨坑</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洋田村炉背坑</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合水水库</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352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黄坭坑水库饮用水源保护区</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473" w:hRule="atLeast"/>
        </w:trPr>
        <w:tc>
          <w:tcPr>
            <w:tcW w:w="3525" w:type="dxa"/>
            <w:vMerge w:val="restart"/>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溜石塘溪饮用水源保护区</w:t>
            </w: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438"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438" w:hRule="atLeast"/>
        </w:trPr>
        <w:tc>
          <w:tcPr>
            <w:tcW w:w="3525" w:type="dxa"/>
            <w:vMerge w:val="restart"/>
            <w:vAlign w:val="center"/>
          </w:tcPr>
          <w:p>
            <w:pPr>
              <w:pStyle w:val="52"/>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畲江镇饮用水源保护区</w:t>
            </w:r>
          </w:p>
        </w:tc>
        <w:tc>
          <w:tcPr>
            <w:tcW w:w="5775" w:type="dxa"/>
            <w:vAlign w:val="center"/>
          </w:tcPr>
          <w:p>
            <w:pPr>
              <w:pStyle w:val="52"/>
              <w:ind w:firstLine="0" w:firstLineChars="0"/>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438"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ind w:firstLine="0" w:firstLineChars="0"/>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438" w:hRule="atLeast"/>
        </w:trPr>
        <w:tc>
          <w:tcPr>
            <w:tcW w:w="3525" w:type="dxa"/>
            <w:vMerge w:val="restart"/>
            <w:vAlign w:val="center"/>
          </w:tcPr>
          <w:p>
            <w:pPr>
              <w:pStyle w:val="52"/>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福岭水库饮用水源保护区</w:t>
            </w:r>
          </w:p>
        </w:tc>
        <w:tc>
          <w:tcPr>
            <w:tcW w:w="5775" w:type="dxa"/>
            <w:vAlign w:val="center"/>
          </w:tcPr>
          <w:p>
            <w:pPr>
              <w:pStyle w:val="52"/>
              <w:ind w:firstLine="0" w:firstLineChars="0"/>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一级饮用水源保护区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438" w:hRule="atLeast"/>
        </w:trPr>
        <w:tc>
          <w:tcPr>
            <w:tcW w:w="3525" w:type="dxa"/>
            <w:vMerge w:val="continue"/>
            <w:vAlign w:val="center"/>
          </w:tcPr>
          <w:p>
            <w:pPr>
              <w:pStyle w:val="52"/>
              <w:rPr>
                <w:color w:val="000000" w:themeColor="text1"/>
                <w:highlight w:val="none"/>
                <w14:textFill>
                  <w14:solidFill>
                    <w14:schemeClr w14:val="tx1"/>
                  </w14:solidFill>
                </w14:textFill>
              </w:rPr>
            </w:pPr>
          </w:p>
        </w:tc>
        <w:tc>
          <w:tcPr>
            <w:tcW w:w="5775" w:type="dxa"/>
            <w:vAlign w:val="center"/>
          </w:tcPr>
          <w:p>
            <w:pPr>
              <w:pStyle w:val="52"/>
              <w:ind w:firstLine="0" w:firstLineChars="0"/>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二级饮用水源保护区</w:t>
            </w:r>
          </w:p>
        </w:tc>
      </w:tr>
    </w:tbl>
    <w:p>
      <w:pPr>
        <w:pStyle w:val="57"/>
        <w:ind w:firstLine="63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注1：兴宁市城区饮用水源保护区、溜石塘溪饮用水源保护区、黄坭坑水库饮用水源保护区调整方案己通过</w:t>
      </w:r>
      <w:r>
        <w:rPr>
          <w:rFonts w:hint="eastAsia"/>
          <w:color w:val="000000" w:themeColor="text1"/>
          <w:highlight w:val="none"/>
          <w:lang w:eastAsia="zh-CN"/>
          <w14:textFill>
            <w14:solidFill>
              <w14:schemeClr w14:val="tx1"/>
            </w14:solidFill>
          </w14:textFill>
        </w:rPr>
        <w:t>粤府函</w:t>
      </w:r>
      <w:r>
        <w:rPr>
          <w:rFonts w:hint="eastAsia" w:ascii="仿宋" w:hAnsi="仿宋" w:eastAsia="仿宋" w:cs="仿宋"/>
          <w:color w:val="000000" w:themeColor="text1"/>
          <w:highlight w:val="none"/>
          <w:lang w:eastAsia="zh-CN"/>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2018</w:t>
      </w:r>
      <w:r>
        <w:rPr>
          <w:rFonts w:hint="eastAsia" w:ascii="仿宋" w:hAnsi="仿宋" w:eastAsia="仿宋" w:cs="仿宋"/>
          <w:color w:val="000000" w:themeColor="text1"/>
          <w:highlight w:val="none"/>
          <w:lang w:val="en-US" w:eastAsia="zh-CN"/>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428号批复</w:t>
      </w:r>
      <w:r>
        <w:rPr>
          <w:rFonts w:hint="eastAsia"/>
          <w:color w:val="000000" w:themeColor="text1"/>
          <w:highlight w:val="none"/>
          <w14:textFill>
            <w14:solidFill>
              <w14:schemeClr w14:val="tx1"/>
            </w14:solidFill>
          </w14:textFill>
        </w:rPr>
        <w:t>进行划分。</w:t>
      </w:r>
    </w:p>
    <w:p>
      <w:pPr>
        <w:rPr>
          <w:color w:val="000000" w:themeColor="text1"/>
          <w:highlight w:val="none"/>
          <w14:textFill>
            <w14:solidFill>
              <w14:schemeClr w14:val="tx1"/>
            </w14:solidFill>
          </w14:textFill>
        </w:rPr>
      </w:pPr>
    </w:p>
    <w:p>
      <w:pPr>
        <w:pStyle w:val="4"/>
        <w:spacing w:before="163" w:after="163"/>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自然保护区</w:t>
      </w:r>
    </w:p>
    <w:p>
      <w:pPr>
        <w:rPr>
          <w:b/>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主要所在地为铁山渡田河省级自然保护区、白鹤仙师自然保护区、兴宁和山岩自然保护区、兴宁合水自然保护区等自然保护区的核心区和缓冲区域及其边界范围全部划定为禁止养殖区。</w:t>
      </w:r>
    </w:p>
    <w:p>
      <w:pPr>
        <w:pStyle w:val="5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表9.1-2   生态功能区禁养区——自然保护区</w:t>
      </w:r>
    </w:p>
    <w:tbl>
      <w:tblPr>
        <w:tblStyle w:val="83"/>
        <w:tblW w:w="9009" w:type="dxa"/>
        <w:jc w:val="center"/>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Layout w:type="fixed"/>
        <w:tblCellMar>
          <w:top w:w="0" w:type="dxa"/>
          <w:left w:w="0" w:type="dxa"/>
          <w:bottom w:w="0" w:type="dxa"/>
          <w:right w:w="0" w:type="dxa"/>
        </w:tblCellMar>
      </w:tblPr>
      <w:tblGrid>
        <w:gridCol w:w="479"/>
        <w:gridCol w:w="2813"/>
        <w:gridCol w:w="1213"/>
        <w:gridCol w:w="4504"/>
      </w:tblGrid>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tblHeader/>
          <w:jc w:val="center"/>
        </w:trPr>
        <w:tc>
          <w:tcPr>
            <w:tcW w:w="479"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en-US"/>
                <w14:textFill>
                  <w14:solidFill>
                    <w14:schemeClr w14:val="tx1"/>
                  </w14:solidFill>
                </w14:textFill>
              </w:rPr>
              <w:t>序号</w:t>
            </w:r>
          </w:p>
        </w:tc>
        <w:tc>
          <w:tcPr>
            <w:tcW w:w="2813"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en-US"/>
                <w14:textFill>
                  <w14:solidFill>
                    <w14:schemeClr w14:val="tx1"/>
                  </w14:solidFill>
                </w14:textFill>
              </w:rPr>
              <w:t>生态功能区名称</w:t>
            </w:r>
          </w:p>
        </w:tc>
        <w:tc>
          <w:tcPr>
            <w:tcW w:w="1213"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en-US"/>
                <w14:textFill>
                  <w14:solidFill>
                    <w14:schemeClr w14:val="tx1"/>
                  </w14:solidFill>
                </w14:textFill>
              </w:rPr>
              <w:t>面积（km</w:t>
            </w:r>
            <w:r>
              <w:rPr>
                <w:rFonts w:hint="eastAsia"/>
                <w:b/>
                <w:color w:val="000000" w:themeColor="text1"/>
                <w:highlight w:val="none"/>
                <w:vertAlign w:val="superscript"/>
                <w:lang w:eastAsia="en-US"/>
                <w14:textFill>
                  <w14:solidFill>
                    <w14:schemeClr w14:val="tx1"/>
                  </w14:solidFill>
                </w14:textFill>
              </w:rPr>
              <w:t>2</w:t>
            </w:r>
            <w:r>
              <w:rPr>
                <w:rFonts w:hint="eastAsia"/>
                <w:b/>
                <w:color w:val="000000" w:themeColor="text1"/>
                <w:highlight w:val="none"/>
                <w:lang w:eastAsia="en-US"/>
                <w14:textFill>
                  <w14:solidFill>
                    <w14:schemeClr w14:val="tx1"/>
                  </w14:solidFill>
                </w14:textFill>
              </w:rPr>
              <w:t>）</w:t>
            </w:r>
          </w:p>
        </w:tc>
        <w:tc>
          <w:tcPr>
            <w:tcW w:w="4504"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en-US"/>
                <w14:textFill>
                  <w14:solidFill>
                    <w14:schemeClr w14:val="tx1"/>
                  </w14:solidFill>
                </w14:textFill>
              </w:rPr>
              <w:t>禁养区范围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rPr>
                <w:rFonts w:hAnsi="宋体" w:cs="宋体"/>
                <w:color w:val="000000" w:themeColor="text1"/>
                <w:highlight w:val="none"/>
                <w:lang w:eastAsia="en-US"/>
                <w14:textFill>
                  <w14:solidFill>
                    <w14:schemeClr w14:val="tx1"/>
                  </w14:solidFill>
                </w14:textFill>
              </w:rPr>
            </w:pPr>
            <w:r>
              <w:rPr>
                <w:rFonts w:hint="eastAsia" w:hAnsi="宋体" w:cs="宋体"/>
                <w:color w:val="000000" w:themeColor="text1"/>
                <w:highlight w:val="none"/>
                <w:lang w:eastAsia="en-US"/>
                <w14:textFill>
                  <w14:solidFill>
                    <w14:schemeClr w14:val="tx1"/>
                  </w14:solidFill>
                </w14:textFill>
              </w:rPr>
              <w:t>1</w:t>
            </w:r>
          </w:p>
        </w:tc>
        <w:tc>
          <w:tcPr>
            <w:tcW w:w="281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铁山渡田河省级自然保护区</w:t>
            </w:r>
          </w:p>
        </w:tc>
        <w:tc>
          <w:tcPr>
            <w:tcW w:w="1213" w:type="dxa"/>
            <w:vAlign w:val="center"/>
          </w:tcPr>
          <w:p>
            <w:pPr>
              <w:pStyle w:val="52"/>
              <w:widowControl w:val="0"/>
              <w:rPr>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178.27</w:t>
            </w:r>
          </w:p>
        </w:tc>
        <w:tc>
          <w:tcPr>
            <w:tcW w:w="4504"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自然保护区的核心区和缓冲</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rPr>
                <w:rFonts w:hAnsi="宋体" w:cs="宋体"/>
                <w:color w:val="000000" w:themeColor="text1"/>
                <w:highlight w:val="none"/>
                <w:lang w:eastAsia="en-US"/>
                <w14:textFill>
                  <w14:solidFill>
                    <w14:schemeClr w14:val="tx1"/>
                  </w14:solidFill>
                </w14:textFill>
              </w:rPr>
            </w:pPr>
            <w:r>
              <w:rPr>
                <w:rFonts w:hint="eastAsia" w:hAnsi="宋体" w:cs="宋体"/>
                <w:color w:val="000000" w:themeColor="text1"/>
                <w:highlight w:val="none"/>
                <w:lang w:eastAsia="en-US"/>
                <w14:textFill>
                  <w14:solidFill>
                    <w14:schemeClr w14:val="tx1"/>
                  </w14:solidFill>
                </w14:textFill>
              </w:rPr>
              <w:t>2</w:t>
            </w:r>
          </w:p>
        </w:tc>
        <w:tc>
          <w:tcPr>
            <w:tcW w:w="2813"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白鹤仙师自然保护区</w:t>
            </w:r>
          </w:p>
        </w:tc>
        <w:tc>
          <w:tcPr>
            <w:tcW w:w="1213" w:type="dxa"/>
            <w:vAlign w:val="center"/>
          </w:tcPr>
          <w:p>
            <w:pPr>
              <w:pStyle w:val="52"/>
              <w:widowControl w:val="0"/>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20.00</w:t>
            </w:r>
          </w:p>
        </w:tc>
        <w:tc>
          <w:tcPr>
            <w:tcW w:w="4504"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自然保护区的核心区和缓冲</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rPr>
                <w:rFonts w:hAnsi="宋体" w:cs="宋体"/>
                <w:color w:val="000000" w:themeColor="text1"/>
                <w:highlight w:val="none"/>
                <w:lang w:eastAsia="en-US"/>
                <w14:textFill>
                  <w14:solidFill>
                    <w14:schemeClr w14:val="tx1"/>
                  </w14:solidFill>
                </w14:textFill>
              </w:rPr>
            </w:pPr>
            <w:r>
              <w:rPr>
                <w:rFonts w:hint="eastAsia" w:hAnsi="宋体" w:cs="宋体"/>
                <w:color w:val="000000" w:themeColor="text1"/>
                <w:highlight w:val="none"/>
                <w:lang w:eastAsia="en-US"/>
                <w14:textFill>
                  <w14:solidFill>
                    <w14:schemeClr w14:val="tx1"/>
                  </w14:solidFill>
                </w14:textFill>
              </w:rPr>
              <w:t>3</w:t>
            </w:r>
          </w:p>
        </w:tc>
        <w:tc>
          <w:tcPr>
            <w:tcW w:w="281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兴宁和山岩自然保护区</w:t>
            </w:r>
          </w:p>
        </w:tc>
        <w:tc>
          <w:tcPr>
            <w:tcW w:w="1213" w:type="dxa"/>
            <w:vAlign w:val="center"/>
          </w:tcPr>
          <w:p>
            <w:pPr>
              <w:pStyle w:val="52"/>
              <w:widowControl w:val="0"/>
              <w:rPr>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6.67</w:t>
            </w:r>
          </w:p>
        </w:tc>
        <w:tc>
          <w:tcPr>
            <w:tcW w:w="4504"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自然保护区的核心区和缓冲</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4</w:t>
            </w:r>
          </w:p>
        </w:tc>
        <w:tc>
          <w:tcPr>
            <w:tcW w:w="2813"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兴宁合水自然保护区</w:t>
            </w:r>
          </w:p>
        </w:tc>
        <w:tc>
          <w:tcPr>
            <w:tcW w:w="1213" w:type="dxa"/>
            <w:vAlign w:val="center"/>
          </w:tcPr>
          <w:p>
            <w:pPr>
              <w:pStyle w:val="52"/>
              <w:widowControl w:val="0"/>
              <w:rPr>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20.00</w:t>
            </w:r>
          </w:p>
        </w:tc>
        <w:tc>
          <w:tcPr>
            <w:tcW w:w="4504"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自然保护区的核心区和缓冲</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5</w:t>
            </w:r>
          </w:p>
        </w:tc>
        <w:tc>
          <w:tcPr>
            <w:tcW w:w="2813"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兴宁石壁自然保护区</w:t>
            </w:r>
          </w:p>
        </w:tc>
        <w:tc>
          <w:tcPr>
            <w:tcW w:w="1213" w:type="dxa"/>
            <w:vAlign w:val="center"/>
          </w:tcPr>
          <w:p>
            <w:pPr>
              <w:pStyle w:val="52"/>
              <w:widowControl w:val="0"/>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10.00</w:t>
            </w:r>
          </w:p>
        </w:tc>
        <w:tc>
          <w:tcPr>
            <w:tcW w:w="4504"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自然保护区的核心区和缓冲</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6</w:t>
            </w:r>
          </w:p>
        </w:tc>
        <w:tc>
          <w:tcPr>
            <w:tcW w:w="281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兴宁四望嶂自然保护区</w:t>
            </w:r>
          </w:p>
        </w:tc>
        <w:tc>
          <w:tcPr>
            <w:tcW w:w="1213" w:type="dxa"/>
            <w:vAlign w:val="center"/>
          </w:tcPr>
          <w:p>
            <w:pPr>
              <w:pStyle w:val="52"/>
              <w:widowControl w:val="0"/>
              <w:rPr>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20.00</w:t>
            </w:r>
          </w:p>
        </w:tc>
        <w:tc>
          <w:tcPr>
            <w:tcW w:w="4504"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自然保护区的核心区和缓冲</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7</w:t>
            </w:r>
          </w:p>
        </w:tc>
        <w:tc>
          <w:tcPr>
            <w:tcW w:w="2813"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神光山自然保护区</w:t>
            </w:r>
          </w:p>
        </w:tc>
        <w:tc>
          <w:tcPr>
            <w:tcW w:w="1213" w:type="dxa"/>
            <w:vAlign w:val="center"/>
          </w:tcPr>
          <w:p>
            <w:pPr>
              <w:pStyle w:val="52"/>
              <w:widowControl w:val="0"/>
              <w:rPr>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13.33</w:t>
            </w:r>
          </w:p>
        </w:tc>
        <w:tc>
          <w:tcPr>
            <w:tcW w:w="4504"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自然保护区的核心区和缓冲</w:t>
            </w:r>
            <w:r>
              <w:rPr>
                <w:color w:val="000000" w:themeColor="text1"/>
                <w:highlight w:val="none"/>
                <w:lang w:eastAsia="zh-CN"/>
                <w14:textFill>
                  <w14:solidFill>
                    <w14:schemeClr w14:val="tx1"/>
                  </w14:solidFill>
                </w14:textFill>
              </w:rPr>
              <w:t>区域及其边界</w:t>
            </w:r>
          </w:p>
        </w:tc>
      </w:tr>
    </w:tbl>
    <w:p>
      <w:pPr>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highlight w:val="none"/>
          <w14:textFill>
            <w14:solidFill>
              <w14:schemeClr w14:val="tx1"/>
            </w14:solidFill>
          </w14:textFill>
        </w:rPr>
      </w:pPr>
    </w:p>
    <w:p>
      <w:pPr>
        <w:pStyle w:val="4"/>
        <w:spacing w:before="163" w:after="163"/>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城镇居民区和文化教育研究区</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城市建成区及其建成区以外的居民集中区、医疗区、文教科研区等人口集中区域范围。</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具体所在地：罗浮镇、黄槐镇、罗岗镇、黄陂镇、大坪镇、合水镇、石马镇、龙田镇、叶塘镇、新陂镇、宁中镇、永和镇、径南镇、刁坊镇、坭陂镇、新圩镇、水口镇和兴田街道、宁新街道、福兴街道的城镇建成区，以及不在城镇建成区内的机关、学校、医院、疗养院、敬老院、科研以及文化体育场馆等人口集中的区域范围内的区域全部划定为禁止养殖区。（注：学校、医院列表在附表中）</w:t>
      </w:r>
    </w:p>
    <w:p>
      <w:pPr>
        <w:pStyle w:val="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城市建成区及居民集中区</w:t>
      </w:r>
    </w:p>
    <w:p>
      <w:pPr>
        <w:pStyle w:val="5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表9.1-3   城镇居民区和文化教育研究区禁止养殖区——城市建成区及居民集中区</w:t>
      </w:r>
    </w:p>
    <w:tbl>
      <w:tblPr>
        <w:tblStyle w:val="84"/>
        <w:tblW w:w="9017" w:type="dxa"/>
        <w:jc w:val="center"/>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Layout w:type="fixed"/>
        <w:tblCellMar>
          <w:top w:w="0" w:type="dxa"/>
          <w:left w:w="0" w:type="dxa"/>
          <w:bottom w:w="0" w:type="dxa"/>
          <w:right w:w="0" w:type="dxa"/>
        </w:tblCellMar>
      </w:tblPr>
      <w:tblGrid>
        <w:gridCol w:w="1384"/>
        <w:gridCol w:w="2600"/>
        <w:gridCol w:w="5033"/>
      </w:tblGrid>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tblHeader/>
          <w:jc w:val="center"/>
        </w:trPr>
        <w:tc>
          <w:tcPr>
            <w:tcW w:w="1384"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en-US"/>
                <w14:textFill>
                  <w14:solidFill>
                    <w14:schemeClr w14:val="tx1"/>
                  </w14:solidFill>
                </w14:textFill>
              </w:rPr>
              <w:t>序号</w:t>
            </w:r>
          </w:p>
        </w:tc>
        <w:tc>
          <w:tcPr>
            <w:tcW w:w="2600"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spacing w:val="-1"/>
                <w:highlight w:val="none"/>
                <w:lang w:eastAsia="en-US"/>
                <w14:textFill>
                  <w14:solidFill>
                    <w14:schemeClr w14:val="tx1"/>
                  </w14:solidFill>
                </w14:textFill>
              </w:rPr>
              <w:t>城镇</w:t>
            </w:r>
          </w:p>
        </w:tc>
        <w:tc>
          <w:tcPr>
            <w:tcW w:w="5033"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en-US"/>
                <w14:textFill>
                  <w14:solidFill>
                    <w14:schemeClr w14:val="tx1"/>
                  </w14:solidFill>
                </w14:textFill>
              </w:rPr>
              <w:t>禁养区范围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1</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罗浮镇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2</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黄槐镇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3</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罗岗镇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4</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黄陂镇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5</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大坪镇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6</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合水镇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7</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石马镇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8</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龙田镇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9</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叶塘镇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10</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新陂镇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11</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宁中镇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12</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永和镇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13</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径南镇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14</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刁坊镇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15</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坭陂镇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16</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新圩镇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17</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水口镇</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18</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兴田街道</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19</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宁新街道</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384"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20</w:t>
            </w:r>
          </w:p>
        </w:tc>
        <w:tc>
          <w:tcPr>
            <w:tcW w:w="2600"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福兴街道</w:t>
            </w:r>
          </w:p>
        </w:tc>
        <w:tc>
          <w:tcPr>
            <w:tcW w:w="5033"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bl>
    <w:p>
      <w:pPr>
        <w:pStyle w:val="55"/>
        <w:jc w:val="both"/>
        <w:rPr>
          <w:color w:val="000000" w:themeColor="text1"/>
          <w:highlight w:val="none"/>
          <w14:textFill>
            <w14:solidFill>
              <w14:schemeClr w14:val="tx1"/>
            </w14:solidFill>
          </w14:textFill>
        </w:rPr>
      </w:pPr>
    </w:p>
    <w:p>
      <w:pPr>
        <w:pStyle w:val="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工业集中区</w:t>
      </w:r>
    </w:p>
    <w:p>
      <w:pPr>
        <w:pStyle w:val="5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表9.1-</w:t>
      </w:r>
      <w:r>
        <w:rPr>
          <w:rFonts w:hint="eastAsia"/>
          <w:color w:val="000000" w:themeColor="text1"/>
          <w:highlight w:val="none"/>
          <w:lang w:val="en-US" w:eastAsia="zh-CN"/>
          <w14:textFill>
            <w14:solidFill>
              <w14:schemeClr w14:val="tx1"/>
            </w14:solidFill>
          </w14:textFill>
        </w:rPr>
        <w:t>4</w:t>
      </w:r>
      <w:r>
        <w:rPr>
          <w:rFonts w:hint="eastAsia"/>
          <w:color w:val="000000" w:themeColor="text1"/>
          <w:highlight w:val="none"/>
          <w14:textFill>
            <w14:solidFill>
              <w14:schemeClr w14:val="tx1"/>
            </w14:solidFill>
          </w14:textFill>
        </w:rPr>
        <w:t xml:space="preserve">   城镇居民区和文化教育研究区禁止养殖区——工业集中区</w:t>
      </w:r>
    </w:p>
    <w:tbl>
      <w:tblPr>
        <w:tblStyle w:val="84"/>
        <w:tblW w:w="8962" w:type="dxa"/>
        <w:jc w:val="center"/>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Layout w:type="fixed"/>
        <w:tblCellMar>
          <w:top w:w="0" w:type="dxa"/>
          <w:left w:w="0" w:type="dxa"/>
          <w:bottom w:w="0" w:type="dxa"/>
          <w:right w:w="0" w:type="dxa"/>
        </w:tblCellMar>
      </w:tblPr>
      <w:tblGrid>
        <w:gridCol w:w="695"/>
        <w:gridCol w:w="3686"/>
        <w:gridCol w:w="4518"/>
        <w:gridCol w:w="63"/>
      </w:tblGrid>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tblHeader/>
          <w:jc w:val="center"/>
        </w:trPr>
        <w:tc>
          <w:tcPr>
            <w:tcW w:w="695"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en-US"/>
                <w14:textFill>
                  <w14:solidFill>
                    <w14:schemeClr w14:val="tx1"/>
                  </w14:solidFill>
                </w14:textFill>
              </w:rPr>
              <w:t>序号</w:t>
            </w:r>
          </w:p>
        </w:tc>
        <w:tc>
          <w:tcPr>
            <w:tcW w:w="3686"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spacing w:val="-1"/>
                <w:highlight w:val="none"/>
                <w:lang w:eastAsia="en-US"/>
                <w14:textFill>
                  <w14:solidFill>
                    <w14:schemeClr w14:val="tx1"/>
                  </w14:solidFill>
                </w14:textFill>
              </w:rPr>
              <w:t>工业园名称</w:t>
            </w:r>
          </w:p>
        </w:tc>
        <w:tc>
          <w:tcPr>
            <w:tcW w:w="4581" w:type="dxa"/>
            <w:gridSpan w:val="2"/>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zh-CN"/>
                <w14:textFill>
                  <w14:solidFill>
                    <w14:schemeClr w14:val="tx1"/>
                  </w14:solidFill>
                </w14:textFill>
              </w:rPr>
              <w:t>禁</w:t>
            </w:r>
            <w:r>
              <w:rPr>
                <w:rFonts w:hint="eastAsia"/>
                <w:b/>
                <w:color w:val="000000" w:themeColor="text1"/>
                <w:highlight w:val="none"/>
                <w:lang w:eastAsia="en-US"/>
                <w14:textFill>
                  <w14:solidFill>
                    <w14:schemeClr w14:val="tx1"/>
                  </w14:solidFill>
                </w14:textFill>
              </w:rPr>
              <w:t>养区范围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gridAfter w:val="1"/>
          <w:wAfter w:w="63" w:type="dxa"/>
          <w:trHeight w:val="340" w:hRule="atLeast"/>
          <w:jc w:val="center"/>
        </w:trPr>
        <w:tc>
          <w:tcPr>
            <w:tcW w:w="695" w:type="dxa"/>
            <w:vAlign w:val="center"/>
          </w:tcPr>
          <w:p>
            <w:pPr>
              <w:pStyle w:val="52"/>
              <w:widowControl w:val="0"/>
              <w:rPr>
                <w:color w:val="000000" w:themeColor="text1"/>
                <w:highlight w:val="none"/>
                <w:lang w:eastAsia="en-US"/>
                <w14:textFill>
                  <w14:solidFill>
                    <w14:schemeClr w14:val="tx1"/>
                  </w14:solidFill>
                </w14:textFill>
              </w:rPr>
            </w:pPr>
            <w:r>
              <w:rPr>
                <w:rFonts w:hAnsi="Calibri"/>
                <w:color w:val="000000" w:themeColor="text1"/>
                <w:szCs w:val="22"/>
                <w:highlight w:val="none"/>
                <w:lang w:eastAsia="en-US"/>
                <w14:textFill>
                  <w14:solidFill>
                    <w14:schemeClr w14:val="tx1"/>
                  </w14:solidFill>
                </w14:textFill>
              </w:rPr>
              <w:t>1</w:t>
            </w:r>
          </w:p>
        </w:tc>
        <w:tc>
          <w:tcPr>
            <w:tcW w:w="3686"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梅兴华丰（水口工业园区）</w:t>
            </w:r>
          </w:p>
        </w:tc>
        <w:tc>
          <w:tcPr>
            <w:tcW w:w="451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center"/>
              <w:textAlignment w:val="auto"/>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gridAfter w:val="1"/>
          <w:wAfter w:w="63" w:type="dxa"/>
          <w:trHeight w:val="340" w:hRule="atLeast"/>
          <w:jc w:val="center"/>
        </w:trPr>
        <w:tc>
          <w:tcPr>
            <w:tcW w:w="695" w:type="dxa"/>
            <w:vAlign w:val="center"/>
          </w:tcPr>
          <w:p>
            <w:pPr>
              <w:pStyle w:val="52"/>
              <w:widowControl w:val="0"/>
              <w:rPr>
                <w:color w:val="000000" w:themeColor="text1"/>
                <w:highlight w:val="none"/>
                <w:lang w:eastAsia="en-US"/>
                <w14:textFill>
                  <w14:solidFill>
                    <w14:schemeClr w14:val="tx1"/>
                  </w14:solidFill>
                </w14:textFill>
              </w:rPr>
            </w:pPr>
            <w:r>
              <w:rPr>
                <w:rFonts w:hAnsi="Calibri"/>
                <w:color w:val="000000" w:themeColor="text1"/>
                <w:szCs w:val="22"/>
                <w:highlight w:val="none"/>
                <w:lang w:eastAsia="en-US"/>
                <w14:textFill>
                  <w14:solidFill>
                    <w14:schemeClr w14:val="tx1"/>
                  </w14:solidFill>
                </w14:textFill>
              </w:rPr>
              <w:t>2</w:t>
            </w:r>
          </w:p>
        </w:tc>
        <w:tc>
          <w:tcPr>
            <w:tcW w:w="3686"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东莞石碣（兴宁）产业转移工业园</w:t>
            </w:r>
          </w:p>
        </w:tc>
        <w:tc>
          <w:tcPr>
            <w:tcW w:w="451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center"/>
              <w:textAlignment w:val="auto"/>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gridAfter w:val="1"/>
          <w:wAfter w:w="63" w:type="dxa"/>
          <w:trHeight w:val="340" w:hRule="atLeast"/>
          <w:jc w:val="center"/>
        </w:trPr>
        <w:tc>
          <w:tcPr>
            <w:tcW w:w="695"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zh-CN"/>
                <w14:textFill>
                  <w14:solidFill>
                    <w14:schemeClr w14:val="tx1"/>
                  </w14:solidFill>
                </w14:textFill>
              </w:rPr>
              <w:t>3</w:t>
            </w:r>
          </w:p>
        </w:tc>
        <w:tc>
          <w:tcPr>
            <w:tcW w:w="3686"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东莞石碣（兴宁）产业转移工业园北区</w:t>
            </w:r>
          </w:p>
        </w:tc>
        <w:tc>
          <w:tcPr>
            <w:tcW w:w="451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center"/>
              <w:textAlignment w:val="auto"/>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所在区域范围</w:t>
            </w:r>
          </w:p>
        </w:tc>
      </w:tr>
    </w:tbl>
    <w:p>
      <w:pPr>
        <w:rPr>
          <w:color w:val="000000" w:themeColor="text1"/>
          <w:highlight w:val="none"/>
          <w14:textFill>
            <w14:solidFill>
              <w14:schemeClr w14:val="tx1"/>
            </w14:solidFill>
          </w14:textFill>
        </w:rPr>
      </w:pPr>
    </w:p>
    <w:p>
      <w:pPr>
        <w:pStyle w:val="4"/>
        <w:spacing w:before="163" w:after="163"/>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法律法规规定应当划定的区域</w:t>
      </w:r>
    </w:p>
    <w:p>
      <w:pPr>
        <w:pStyle w:val="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森林公园</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主要所在地为神光山国家森林公园、兴宁和山岩森林公园、兴宁鸡鸣山森林公园、兴宁武仙岩森林公园等区域及其边界范围全部划定为禁止养殖区。</w:t>
      </w:r>
    </w:p>
    <w:p>
      <w:pPr>
        <w:pStyle w:val="5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表9.1-</w:t>
      </w:r>
      <w:r>
        <w:rPr>
          <w:rFonts w:hint="eastAsia"/>
          <w:color w:val="000000" w:themeColor="text1"/>
          <w:highlight w:val="none"/>
          <w:lang w:val="en-US" w:eastAsia="zh-CN"/>
          <w14:textFill>
            <w14:solidFill>
              <w14:schemeClr w14:val="tx1"/>
            </w14:solidFill>
          </w14:textFill>
        </w:rPr>
        <w:t>5</w:t>
      </w:r>
      <w:r>
        <w:rPr>
          <w:rFonts w:hint="eastAsia"/>
          <w:color w:val="000000" w:themeColor="text1"/>
          <w:highlight w:val="none"/>
          <w14:textFill>
            <w14:solidFill>
              <w14:schemeClr w14:val="tx1"/>
            </w14:solidFill>
          </w14:textFill>
        </w:rPr>
        <w:t xml:space="preserve">   生态功能区禁养区——森林公园</w:t>
      </w:r>
    </w:p>
    <w:tbl>
      <w:tblPr>
        <w:tblStyle w:val="83"/>
        <w:tblW w:w="8944" w:type="dxa"/>
        <w:jc w:val="center"/>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Layout w:type="fixed"/>
        <w:tblCellMar>
          <w:top w:w="0" w:type="dxa"/>
          <w:left w:w="0" w:type="dxa"/>
          <w:bottom w:w="0" w:type="dxa"/>
          <w:right w:w="0" w:type="dxa"/>
        </w:tblCellMar>
      </w:tblPr>
      <w:tblGrid>
        <w:gridCol w:w="479"/>
        <w:gridCol w:w="2497"/>
        <w:gridCol w:w="1620"/>
        <w:gridCol w:w="4348"/>
      </w:tblGrid>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tblHeader/>
          <w:jc w:val="center"/>
        </w:trPr>
        <w:tc>
          <w:tcPr>
            <w:tcW w:w="479"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en-US"/>
                <w14:textFill>
                  <w14:solidFill>
                    <w14:schemeClr w14:val="tx1"/>
                  </w14:solidFill>
                </w14:textFill>
              </w:rPr>
              <w:t>序号</w:t>
            </w:r>
          </w:p>
        </w:tc>
        <w:tc>
          <w:tcPr>
            <w:tcW w:w="2497"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en-US"/>
                <w14:textFill>
                  <w14:solidFill>
                    <w14:schemeClr w14:val="tx1"/>
                  </w14:solidFill>
                </w14:textFill>
              </w:rPr>
              <w:t>生态功能区名称</w:t>
            </w:r>
          </w:p>
        </w:tc>
        <w:tc>
          <w:tcPr>
            <w:tcW w:w="1620"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en-US"/>
                <w14:textFill>
                  <w14:solidFill>
                    <w14:schemeClr w14:val="tx1"/>
                  </w14:solidFill>
                </w14:textFill>
              </w:rPr>
              <w:t>面积（km</w:t>
            </w:r>
            <w:r>
              <w:rPr>
                <w:rFonts w:hint="eastAsia"/>
                <w:b/>
                <w:color w:val="000000" w:themeColor="text1"/>
                <w:highlight w:val="none"/>
                <w:vertAlign w:val="superscript"/>
                <w:lang w:eastAsia="en-US"/>
                <w14:textFill>
                  <w14:solidFill>
                    <w14:schemeClr w14:val="tx1"/>
                  </w14:solidFill>
                </w14:textFill>
              </w:rPr>
              <w:t>2</w:t>
            </w:r>
            <w:r>
              <w:rPr>
                <w:rFonts w:hint="eastAsia"/>
                <w:b/>
                <w:color w:val="000000" w:themeColor="text1"/>
                <w:highlight w:val="none"/>
                <w:lang w:eastAsia="en-US"/>
                <w14:textFill>
                  <w14:solidFill>
                    <w14:schemeClr w14:val="tx1"/>
                  </w14:solidFill>
                </w14:textFill>
              </w:rPr>
              <w:t>）</w:t>
            </w:r>
          </w:p>
        </w:tc>
        <w:tc>
          <w:tcPr>
            <w:tcW w:w="4348"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en-US"/>
                <w14:textFill>
                  <w14:solidFill>
                    <w14:schemeClr w14:val="tx1"/>
                  </w14:solidFill>
                </w14:textFill>
              </w:rPr>
              <w:t>禁养区范围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rPr>
                <w:rFonts w:hAnsi="宋体" w:cs="宋体"/>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1</w:t>
            </w:r>
          </w:p>
        </w:tc>
        <w:tc>
          <w:tcPr>
            <w:tcW w:w="2497"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神光山国家森林公园</w:t>
            </w:r>
          </w:p>
        </w:tc>
        <w:tc>
          <w:tcPr>
            <w:tcW w:w="1620" w:type="dxa"/>
            <w:vAlign w:val="center"/>
          </w:tcPr>
          <w:p>
            <w:pPr>
              <w:pStyle w:val="52"/>
              <w:widowControl w:val="0"/>
              <w:rPr>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6.75</w:t>
            </w:r>
          </w:p>
        </w:tc>
        <w:tc>
          <w:tcPr>
            <w:tcW w:w="4348"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森林公园</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ind w:firstLine="0" w:firstLineChars="0"/>
              <w:rPr>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2</w:t>
            </w:r>
          </w:p>
        </w:tc>
        <w:tc>
          <w:tcPr>
            <w:tcW w:w="2497" w:type="dxa"/>
            <w:vAlign w:val="center"/>
          </w:tcPr>
          <w:p>
            <w:pPr>
              <w:pStyle w:val="52"/>
              <w:widowControl w:val="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兴宁黄龙寨市级森林公园</w:t>
            </w:r>
          </w:p>
        </w:tc>
        <w:tc>
          <w:tcPr>
            <w:tcW w:w="1620" w:type="dxa"/>
            <w:vAlign w:val="center"/>
          </w:tcPr>
          <w:p>
            <w:pPr>
              <w:pStyle w:val="52"/>
              <w:widowControl w:val="0"/>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1.74</w:t>
            </w:r>
          </w:p>
        </w:tc>
        <w:tc>
          <w:tcPr>
            <w:tcW w:w="4348" w:type="dxa"/>
            <w:vAlign w:val="center"/>
          </w:tcPr>
          <w:p>
            <w:pPr>
              <w:pStyle w:val="52"/>
              <w:widowControl w:val="0"/>
              <w:ind w:firstLine="0" w:firstLineChars="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森林公园</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ind w:firstLine="0" w:firstLineChars="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3</w:t>
            </w:r>
          </w:p>
        </w:tc>
        <w:tc>
          <w:tcPr>
            <w:tcW w:w="2497" w:type="dxa"/>
            <w:vAlign w:val="center"/>
          </w:tcPr>
          <w:p>
            <w:pPr>
              <w:pStyle w:val="52"/>
              <w:widowControl w:val="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兴宁龙田市级森林公园</w:t>
            </w:r>
          </w:p>
        </w:tc>
        <w:tc>
          <w:tcPr>
            <w:tcW w:w="1620" w:type="dxa"/>
            <w:vAlign w:val="center"/>
          </w:tcPr>
          <w:p>
            <w:pPr>
              <w:pStyle w:val="52"/>
              <w:widowControl w:val="0"/>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1.98</w:t>
            </w:r>
          </w:p>
        </w:tc>
        <w:tc>
          <w:tcPr>
            <w:tcW w:w="4348" w:type="dxa"/>
            <w:vAlign w:val="center"/>
          </w:tcPr>
          <w:p>
            <w:pPr>
              <w:pStyle w:val="52"/>
              <w:widowControl w:val="0"/>
              <w:ind w:firstLine="0" w:firstLineChars="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森林公园</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ind w:firstLine="0" w:firstLineChars="0"/>
              <w:rPr>
                <w:rFonts w:hAnsi="宋体" w:cs="宋体"/>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4</w:t>
            </w:r>
          </w:p>
        </w:tc>
        <w:tc>
          <w:tcPr>
            <w:tcW w:w="2497"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兴宁和山岩森林公园</w:t>
            </w:r>
          </w:p>
        </w:tc>
        <w:tc>
          <w:tcPr>
            <w:tcW w:w="1620" w:type="dxa"/>
            <w:vAlign w:val="center"/>
          </w:tcPr>
          <w:p>
            <w:pPr>
              <w:pStyle w:val="52"/>
              <w:widowControl w:val="0"/>
              <w:rPr>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20.00</w:t>
            </w:r>
          </w:p>
        </w:tc>
        <w:tc>
          <w:tcPr>
            <w:tcW w:w="4348"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森林公园</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ind w:firstLine="0" w:firstLineChars="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5</w:t>
            </w:r>
          </w:p>
        </w:tc>
        <w:tc>
          <w:tcPr>
            <w:tcW w:w="2497"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兴宁鸡鸣山森林公园</w:t>
            </w:r>
          </w:p>
        </w:tc>
        <w:tc>
          <w:tcPr>
            <w:tcW w:w="1620" w:type="dxa"/>
            <w:vAlign w:val="center"/>
          </w:tcPr>
          <w:p>
            <w:pPr>
              <w:pStyle w:val="52"/>
              <w:widowControl w:val="0"/>
              <w:rPr>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20.00</w:t>
            </w:r>
          </w:p>
        </w:tc>
        <w:tc>
          <w:tcPr>
            <w:tcW w:w="4348"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森林公园</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ind w:firstLine="0" w:firstLineChars="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6</w:t>
            </w:r>
          </w:p>
        </w:tc>
        <w:tc>
          <w:tcPr>
            <w:tcW w:w="2497"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兴宁武仙岩森林公园</w:t>
            </w:r>
          </w:p>
        </w:tc>
        <w:tc>
          <w:tcPr>
            <w:tcW w:w="1620" w:type="dxa"/>
            <w:vAlign w:val="center"/>
          </w:tcPr>
          <w:p>
            <w:pPr>
              <w:pStyle w:val="52"/>
              <w:widowControl w:val="0"/>
              <w:rPr>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10.00</w:t>
            </w:r>
          </w:p>
        </w:tc>
        <w:tc>
          <w:tcPr>
            <w:tcW w:w="4348"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森林公园</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ind w:firstLine="0" w:firstLineChars="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7</w:t>
            </w:r>
          </w:p>
        </w:tc>
        <w:tc>
          <w:tcPr>
            <w:tcW w:w="2497"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兴宁狮子岩森林公园</w:t>
            </w:r>
          </w:p>
        </w:tc>
        <w:tc>
          <w:tcPr>
            <w:tcW w:w="1620" w:type="dxa"/>
            <w:vAlign w:val="center"/>
          </w:tcPr>
          <w:p>
            <w:pPr>
              <w:pStyle w:val="52"/>
              <w:widowControl w:val="0"/>
              <w:rPr>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18.00</w:t>
            </w:r>
          </w:p>
        </w:tc>
        <w:tc>
          <w:tcPr>
            <w:tcW w:w="4348"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森林公园</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ind w:firstLine="0" w:firstLineChars="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8</w:t>
            </w:r>
          </w:p>
        </w:tc>
        <w:tc>
          <w:tcPr>
            <w:tcW w:w="2497"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兴宁龙母嶂森林公园</w:t>
            </w:r>
          </w:p>
        </w:tc>
        <w:tc>
          <w:tcPr>
            <w:tcW w:w="1620" w:type="dxa"/>
            <w:vAlign w:val="center"/>
          </w:tcPr>
          <w:p>
            <w:pPr>
              <w:pStyle w:val="52"/>
              <w:widowControl w:val="0"/>
              <w:rPr>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15.00</w:t>
            </w:r>
          </w:p>
        </w:tc>
        <w:tc>
          <w:tcPr>
            <w:tcW w:w="4348"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森林公园</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ind w:firstLine="0" w:firstLineChars="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9</w:t>
            </w:r>
          </w:p>
        </w:tc>
        <w:tc>
          <w:tcPr>
            <w:tcW w:w="2497"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兴宁白沙宫森林公园</w:t>
            </w:r>
          </w:p>
        </w:tc>
        <w:tc>
          <w:tcPr>
            <w:tcW w:w="1620" w:type="dxa"/>
            <w:vAlign w:val="center"/>
          </w:tcPr>
          <w:p>
            <w:pPr>
              <w:pStyle w:val="52"/>
              <w:widowControl w:val="0"/>
              <w:rPr>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18.00</w:t>
            </w:r>
          </w:p>
        </w:tc>
        <w:tc>
          <w:tcPr>
            <w:tcW w:w="4348"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森林公园</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ind w:firstLine="0" w:firstLineChars="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10</w:t>
            </w:r>
          </w:p>
        </w:tc>
        <w:tc>
          <w:tcPr>
            <w:tcW w:w="2497"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兴宁乐仙森林公园</w:t>
            </w:r>
          </w:p>
        </w:tc>
        <w:tc>
          <w:tcPr>
            <w:tcW w:w="1620" w:type="dxa"/>
            <w:vAlign w:val="center"/>
          </w:tcPr>
          <w:p>
            <w:pPr>
              <w:pStyle w:val="52"/>
              <w:widowControl w:val="0"/>
              <w:rPr>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10.00</w:t>
            </w:r>
          </w:p>
        </w:tc>
        <w:tc>
          <w:tcPr>
            <w:tcW w:w="4348"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森林公园</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ind w:firstLine="0" w:firstLineChars="0"/>
              <w:rPr>
                <w:color w:val="000000" w:themeColor="text1"/>
                <w:highlight w:val="none"/>
                <w:lang w:eastAsia="en-US"/>
                <w14:textFill>
                  <w14:solidFill>
                    <w14:schemeClr w14:val="tx1"/>
                  </w14:solidFill>
                </w14:textFill>
              </w:rPr>
            </w:pPr>
            <w:r>
              <w:rPr>
                <w:rFonts w:hint="eastAsia"/>
                <w:color w:val="000000" w:themeColor="text1"/>
                <w:highlight w:val="none"/>
                <w:lang w:val="en-US" w:eastAsia="zh-CN"/>
                <w14:textFill>
                  <w14:solidFill>
                    <w14:schemeClr w14:val="tx1"/>
                  </w14:solidFill>
                </w14:textFill>
              </w:rPr>
              <w:t>11</w:t>
            </w:r>
          </w:p>
        </w:tc>
        <w:tc>
          <w:tcPr>
            <w:tcW w:w="2497"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兴宁温公森林公园</w:t>
            </w:r>
          </w:p>
        </w:tc>
        <w:tc>
          <w:tcPr>
            <w:tcW w:w="1620" w:type="dxa"/>
            <w:vAlign w:val="center"/>
          </w:tcPr>
          <w:p>
            <w:pPr>
              <w:pStyle w:val="52"/>
              <w:widowControl w:val="0"/>
              <w:rPr>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15.00</w:t>
            </w:r>
          </w:p>
        </w:tc>
        <w:tc>
          <w:tcPr>
            <w:tcW w:w="4348"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森林公园</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ind w:firstLine="0" w:firstLineChars="0"/>
              <w:rPr>
                <w:color w:val="000000" w:themeColor="text1"/>
                <w:highlight w:val="none"/>
                <w:lang w:eastAsia="en-US"/>
                <w14:textFill>
                  <w14:solidFill>
                    <w14:schemeClr w14:val="tx1"/>
                  </w14:solidFill>
                </w14:textFill>
              </w:rPr>
            </w:pPr>
            <w:r>
              <w:rPr>
                <w:rFonts w:hint="eastAsia"/>
                <w:color w:val="000000" w:themeColor="text1"/>
                <w:highlight w:val="none"/>
                <w:lang w:val="en-US" w:eastAsia="zh-CN"/>
                <w14:textFill>
                  <w14:solidFill>
                    <w14:schemeClr w14:val="tx1"/>
                  </w14:solidFill>
                </w14:textFill>
              </w:rPr>
              <w:t>12</w:t>
            </w:r>
          </w:p>
        </w:tc>
        <w:tc>
          <w:tcPr>
            <w:tcW w:w="2497"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兴宁宝山森林公园</w:t>
            </w:r>
          </w:p>
        </w:tc>
        <w:tc>
          <w:tcPr>
            <w:tcW w:w="1620" w:type="dxa"/>
            <w:vAlign w:val="center"/>
          </w:tcPr>
          <w:p>
            <w:pPr>
              <w:pStyle w:val="52"/>
              <w:widowControl w:val="0"/>
              <w:rPr>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12.00</w:t>
            </w:r>
          </w:p>
        </w:tc>
        <w:tc>
          <w:tcPr>
            <w:tcW w:w="4348"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森林公园</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13</w:t>
            </w:r>
          </w:p>
        </w:tc>
        <w:tc>
          <w:tcPr>
            <w:tcW w:w="2497" w:type="dxa"/>
            <w:vAlign w:val="center"/>
          </w:tcPr>
          <w:p>
            <w:pPr>
              <w:pStyle w:val="52"/>
              <w:widowControl w:val="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兴宁熙和湾森林公园</w:t>
            </w:r>
          </w:p>
        </w:tc>
        <w:tc>
          <w:tcPr>
            <w:tcW w:w="1620" w:type="dxa"/>
            <w:vAlign w:val="center"/>
          </w:tcPr>
          <w:p>
            <w:pPr>
              <w:pStyle w:val="52"/>
              <w:widowControl w:val="0"/>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1.42</w:t>
            </w:r>
          </w:p>
        </w:tc>
        <w:tc>
          <w:tcPr>
            <w:tcW w:w="4348" w:type="dxa"/>
            <w:vAlign w:val="center"/>
          </w:tcPr>
          <w:p>
            <w:pPr>
              <w:pStyle w:val="52"/>
              <w:widowControl w:val="0"/>
              <w:ind w:firstLine="0" w:firstLineChars="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森林公园</w:t>
            </w:r>
            <w:r>
              <w:rPr>
                <w:color w:val="000000" w:themeColor="text1"/>
                <w:highlight w:val="none"/>
                <w:lang w:eastAsia="zh-CN"/>
                <w14:textFill>
                  <w14:solidFill>
                    <w14:schemeClr w14:val="tx1"/>
                  </w14:solidFill>
                </w14:textFill>
              </w:rPr>
              <w:t>区域及其边界</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14</w:t>
            </w:r>
          </w:p>
        </w:tc>
        <w:tc>
          <w:tcPr>
            <w:tcW w:w="2497" w:type="dxa"/>
            <w:vAlign w:val="center"/>
          </w:tcPr>
          <w:p>
            <w:pPr>
              <w:pStyle w:val="52"/>
              <w:widowControl w:val="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兴宁朱岭寨森林公园</w:t>
            </w:r>
          </w:p>
        </w:tc>
        <w:tc>
          <w:tcPr>
            <w:tcW w:w="1620" w:type="dxa"/>
            <w:vAlign w:val="center"/>
          </w:tcPr>
          <w:p>
            <w:pPr>
              <w:pStyle w:val="52"/>
              <w:widowControl w:val="0"/>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1.01</w:t>
            </w:r>
          </w:p>
        </w:tc>
        <w:tc>
          <w:tcPr>
            <w:tcW w:w="4348" w:type="dxa"/>
            <w:vAlign w:val="center"/>
          </w:tcPr>
          <w:p>
            <w:pPr>
              <w:pStyle w:val="52"/>
              <w:widowControl w:val="0"/>
              <w:ind w:firstLine="0" w:firstLineChars="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森林公园</w:t>
            </w:r>
            <w:r>
              <w:rPr>
                <w:color w:val="000000" w:themeColor="text1"/>
                <w:highlight w:val="none"/>
                <w:lang w:eastAsia="zh-CN"/>
                <w14:textFill>
                  <w14:solidFill>
                    <w14:schemeClr w14:val="tx1"/>
                  </w14:solidFill>
                </w14:textFill>
              </w:rPr>
              <w:t>区域及其边界</w:t>
            </w:r>
          </w:p>
        </w:tc>
      </w:tr>
    </w:tbl>
    <w:p>
      <w:pPr>
        <w:rPr>
          <w:color w:val="000000" w:themeColor="text1"/>
          <w:highlight w:val="none"/>
          <w14:textFill>
            <w14:solidFill>
              <w14:schemeClr w14:val="tx1"/>
            </w14:solidFill>
          </w14:textFill>
        </w:rPr>
      </w:pPr>
    </w:p>
    <w:p>
      <w:pPr>
        <w:pStyle w:val="5"/>
        <w:rPr>
          <w:color w:val="000000" w:themeColor="text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湿地</w:t>
      </w:r>
      <w:r>
        <w:rPr>
          <w:rFonts w:hint="eastAsia"/>
          <w:color w:val="000000" w:themeColor="text1"/>
          <w:highlight w:val="none"/>
          <w14:textFill>
            <w14:solidFill>
              <w14:schemeClr w14:val="tx1"/>
            </w14:solidFill>
          </w14:textFill>
        </w:rPr>
        <w:t>公园</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主要所在地为</w:t>
      </w:r>
      <w:r>
        <w:rPr>
          <w:rFonts w:hint="eastAsia"/>
          <w:color w:val="000000" w:themeColor="text1"/>
          <w:highlight w:val="none"/>
          <w:lang w:eastAsia="zh-CN"/>
          <w14:textFill>
            <w14:solidFill>
              <w14:schemeClr w14:val="tx1"/>
            </w14:solidFill>
          </w14:textFill>
        </w:rPr>
        <w:t>兴宁梅子县级湿地公园</w:t>
      </w:r>
      <w:r>
        <w:rPr>
          <w:rFonts w:hint="eastAsia"/>
          <w:color w:val="000000" w:themeColor="text1"/>
          <w:highlight w:val="none"/>
          <w14:textFill>
            <w14:solidFill>
              <w14:schemeClr w14:val="tx1"/>
            </w14:solidFill>
          </w14:textFill>
        </w:rPr>
        <w:t>区域及其边界范围全部划定为禁止养殖区。</w:t>
      </w:r>
    </w:p>
    <w:p>
      <w:pPr>
        <w:pStyle w:val="5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表9.1-</w:t>
      </w:r>
      <w:r>
        <w:rPr>
          <w:rFonts w:hint="eastAsia"/>
          <w:color w:val="000000" w:themeColor="text1"/>
          <w:highlight w:val="none"/>
          <w:lang w:val="en-US" w:eastAsia="zh-CN"/>
          <w14:textFill>
            <w14:solidFill>
              <w14:schemeClr w14:val="tx1"/>
            </w14:solidFill>
          </w14:textFill>
        </w:rPr>
        <w:t>6</w:t>
      </w:r>
      <w:r>
        <w:rPr>
          <w:rFonts w:hint="eastAsia"/>
          <w:color w:val="000000" w:themeColor="text1"/>
          <w:highlight w:val="none"/>
          <w14:textFill>
            <w14:solidFill>
              <w14:schemeClr w14:val="tx1"/>
            </w14:solidFill>
          </w14:textFill>
        </w:rPr>
        <w:t xml:space="preserve">   生态功能区禁养区——</w:t>
      </w:r>
      <w:r>
        <w:rPr>
          <w:rFonts w:hint="eastAsia"/>
          <w:color w:val="000000" w:themeColor="text1"/>
          <w:highlight w:val="none"/>
          <w:lang w:eastAsia="zh-CN"/>
          <w14:textFill>
            <w14:solidFill>
              <w14:schemeClr w14:val="tx1"/>
            </w14:solidFill>
          </w14:textFill>
        </w:rPr>
        <w:t>湿地</w:t>
      </w:r>
      <w:r>
        <w:rPr>
          <w:rFonts w:hint="eastAsia"/>
          <w:color w:val="000000" w:themeColor="text1"/>
          <w:highlight w:val="none"/>
          <w14:textFill>
            <w14:solidFill>
              <w14:schemeClr w14:val="tx1"/>
            </w14:solidFill>
          </w14:textFill>
        </w:rPr>
        <w:t>公园</w:t>
      </w:r>
    </w:p>
    <w:tbl>
      <w:tblPr>
        <w:tblStyle w:val="83"/>
        <w:tblW w:w="8944" w:type="dxa"/>
        <w:jc w:val="center"/>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Layout w:type="fixed"/>
        <w:tblCellMar>
          <w:top w:w="0" w:type="dxa"/>
          <w:left w:w="0" w:type="dxa"/>
          <w:bottom w:w="0" w:type="dxa"/>
          <w:right w:w="0" w:type="dxa"/>
        </w:tblCellMar>
      </w:tblPr>
      <w:tblGrid>
        <w:gridCol w:w="479"/>
        <w:gridCol w:w="2497"/>
        <w:gridCol w:w="1620"/>
        <w:gridCol w:w="4348"/>
      </w:tblGrid>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tblHeader/>
          <w:jc w:val="center"/>
        </w:trPr>
        <w:tc>
          <w:tcPr>
            <w:tcW w:w="479"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en-US"/>
                <w14:textFill>
                  <w14:solidFill>
                    <w14:schemeClr w14:val="tx1"/>
                  </w14:solidFill>
                </w14:textFill>
              </w:rPr>
              <w:t>序号</w:t>
            </w:r>
          </w:p>
        </w:tc>
        <w:tc>
          <w:tcPr>
            <w:tcW w:w="2497"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en-US"/>
                <w14:textFill>
                  <w14:solidFill>
                    <w14:schemeClr w14:val="tx1"/>
                  </w14:solidFill>
                </w14:textFill>
              </w:rPr>
              <w:t>生态功能区名称</w:t>
            </w:r>
          </w:p>
        </w:tc>
        <w:tc>
          <w:tcPr>
            <w:tcW w:w="1620"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en-US"/>
                <w14:textFill>
                  <w14:solidFill>
                    <w14:schemeClr w14:val="tx1"/>
                  </w14:solidFill>
                </w14:textFill>
              </w:rPr>
              <w:t>面积（km</w:t>
            </w:r>
            <w:r>
              <w:rPr>
                <w:rFonts w:hint="eastAsia"/>
                <w:b/>
                <w:color w:val="000000" w:themeColor="text1"/>
                <w:highlight w:val="none"/>
                <w:vertAlign w:val="superscript"/>
                <w:lang w:eastAsia="en-US"/>
                <w14:textFill>
                  <w14:solidFill>
                    <w14:schemeClr w14:val="tx1"/>
                  </w14:solidFill>
                </w14:textFill>
              </w:rPr>
              <w:t>2</w:t>
            </w:r>
            <w:r>
              <w:rPr>
                <w:rFonts w:hint="eastAsia"/>
                <w:b/>
                <w:color w:val="000000" w:themeColor="text1"/>
                <w:highlight w:val="none"/>
                <w:lang w:eastAsia="en-US"/>
                <w14:textFill>
                  <w14:solidFill>
                    <w14:schemeClr w14:val="tx1"/>
                  </w14:solidFill>
                </w14:textFill>
              </w:rPr>
              <w:t>）</w:t>
            </w:r>
          </w:p>
        </w:tc>
        <w:tc>
          <w:tcPr>
            <w:tcW w:w="4348"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en-US"/>
                <w14:textFill>
                  <w14:solidFill>
                    <w14:schemeClr w14:val="tx1"/>
                  </w14:solidFill>
                </w14:textFill>
              </w:rPr>
              <w:t>禁养区范围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479" w:type="dxa"/>
            <w:vAlign w:val="center"/>
          </w:tcPr>
          <w:p>
            <w:pPr>
              <w:pStyle w:val="52"/>
              <w:widowControl w:val="0"/>
              <w:rPr>
                <w:rFonts w:hAnsi="宋体" w:cs="宋体"/>
                <w:color w:val="000000" w:themeColor="text1"/>
                <w:highlight w:val="none"/>
                <w:lang w:eastAsia="en-US"/>
                <w14:textFill>
                  <w14:solidFill>
                    <w14:schemeClr w14:val="tx1"/>
                  </w14:solidFill>
                </w14:textFill>
              </w:rPr>
            </w:pPr>
            <w:r>
              <w:rPr>
                <w:color w:val="000000" w:themeColor="text1"/>
                <w:highlight w:val="none"/>
                <w:lang w:eastAsia="en-US"/>
                <w14:textFill>
                  <w14:solidFill>
                    <w14:schemeClr w14:val="tx1"/>
                  </w14:solidFill>
                </w14:textFill>
              </w:rPr>
              <w:t>1</w:t>
            </w:r>
          </w:p>
        </w:tc>
        <w:tc>
          <w:tcPr>
            <w:tcW w:w="2497" w:type="dxa"/>
            <w:vAlign w:val="center"/>
          </w:tcPr>
          <w:p>
            <w:pPr>
              <w:pStyle w:val="52"/>
              <w:widowControl w:val="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兴宁梅子县级湿地公园</w:t>
            </w:r>
          </w:p>
        </w:tc>
        <w:tc>
          <w:tcPr>
            <w:tcW w:w="1620" w:type="dxa"/>
            <w:vAlign w:val="center"/>
          </w:tcPr>
          <w:p>
            <w:pPr>
              <w:pStyle w:val="52"/>
              <w:widowControl w:val="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 xml:space="preserve">1.24 </w:t>
            </w:r>
          </w:p>
        </w:tc>
        <w:tc>
          <w:tcPr>
            <w:tcW w:w="4348" w:type="dxa"/>
            <w:vAlign w:val="center"/>
          </w:tcPr>
          <w:p>
            <w:pPr>
              <w:pStyle w:val="52"/>
              <w:widowControl w:val="0"/>
              <w:rPr>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湿地公园</w:t>
            </w:r>
            <w:r>
              <w:rPr>
                <w:color w:val="000000" w:themeColor="text1"/>
                <w:highlight w:val="none"/>
                <w:lang w:eastAsia="zh-CN"/>
                <w14:textFill>
                  <w14:solidFill>
                    <w14:schemeClr w14:val="tx1"/>
                  </w14:solidFill>
                </w14:textFill>
              </w:rPr>
              <w:t>区域及其边界</w:t>
            </w:r>
          </w:p>
        </w:tc>
      </w:tr>
    </w:tbl>
    <w:p>
      <w:pPr>
        <w:pStyle w:val="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基本农田</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法律、法规、行政规章规定禁止畜禽养殖的区域，具体所在地：兴宁市内基本农田保护区域内。</w:t>
      </w:r>
    </w:p>
    <w:p>
      <w:pPr>
        <w:pStyle w:val="55"/>
        <w:keepNext w:val="0"/>
        <w:keepLines w:val="0"/>
        <w:pageBreakBefore w:val="0"/>
        <w:widowControl/>
        <w:kinsoku/>
        <w:wordWrap/>
        <w:overflowPunct/>
        <w:topLinePunct w:val="0"/>
        <w:autoSpaceDE/>
        <w:autoSpaceDN/>
        <w:bidi w:val="0"/>
        <w:adjustRightInd/>
        <w:snapToGrid/>
        <w:spacing w:before="164" w:beforeLines="50"/>
        <w:textAlignment w:val="auto"/>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表9.</w:t>
      </w:r>
      <w:r>
        <w:rPr>
          <w:color w:val="000000" w:themeColor="text1"/>
          <w:highlight w:val="none"/>
          <w14:textFill>
            <w14:solidFill>
              <w14:schemeClr w14:val="tx1"/>
            </w14:solidFill>
          </w14:textFill>
        </w:rPr>
        <w:t>1</w:t>
      </w:r>
      <w:r>
        <w:rPr>
          <w:rFonts w:hint="eastAsia"/>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7</w:t>
      </w:r>
      <w:r>
        <w:rPr>
          <w:rFonts w:hint="eastAsia"/>
          <w:color w:val="000000" w:themeColor="text1"/>
          <w:highlight w:val="none"/>
          <w14:textFill>
            <w14:solidFill>
              <w14:schemeClr w14:val="tx1"/>
            </w14:solidFill>
          </w14:textFill>
        </w:rPr>
        <w:t xml:space="preserve">   其他生态功能区禁养区——基本农田</w:t>
      </w:r>
    </w:p>
    <w:tbl>
      <w:tblPr>
        <w:tblStyle w:val="84"/>
        <w:tblW w:w="8972" w:type="dxa"/>
        <w:jc w:val="center"/>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Layout w:type="fixed"/>
        <w:tblCellMar>
          <w:top w:w="0" w:type="dxa"/>
          <w:left w:w="0" w:type="dxa"/>
          <w:bottom w:w="0" w:type="dxa"/>
          <w:right w:w="0" w:type="dxa"/>
        </w:tblCellMar>
      </w:tblPr>
      <w:tblGrid>
        <w:gridCol w:w="1848"/>
        <w:gridCol w:w="2388"/>
        <w:gridCol w:w="4736"/>
      </w:tblGrid>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198" w:hRule="atLeast"/>
          <w:tblHeader/>
          <w:jc w:val="center"/>
        </w:trPr>
        <w:tc>
          <w:tcPr>
            <w:tcW w:w="1848"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en-US"/>
                <w14:textFill>
                  <w14:solidFill>
                    <w14:schemeClr w14:val="tx1"/>
                  </w14:solidFill>
                </w14:textFill>
              </w:rPr>
              <w:t>序号</w:t>
            </w:r>
          </w:p>
        </w:tc>
        <w:tc>
          <w:tcPr>
            <w:tcW w:w="2388"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spacing w:val="-1"/>
                <w:highlight w:val="none"/>
                <w:lang w:eastAsia="en-US"/>
                <w14:textFill>
                  <w14:solidFill>
                    <w14:schemeClr w14:val="tx1"/>
                  </w14:solidFill>
                </w14:textFill>
              </w:rPr>
              <w:t>所属城镇</w:t>
            </w:r>
          </w:p>
        </w:tc>
        <w:tc>
          <w:tcPr>
            <w:tcW w:w="4736" w:type="dxa"/>
            <w:vAlign w:val="center"/>
          </w:tcPr>
          <w:p>
            <w:pPr>
              <w:pStyle w:val="52"/>
              <w:widowControl w:val="0"/>
              <w:rPr>
                <w:b/>
                <w:color w:val="000000" w:themeColor="text1"/>
                <w:highlight w:val="none"/>
                <w:lang w:eastAsia="en-US"/>
                <w14:textFill>
                  <w14:solidFill>
                    <w14:schemeClr w14:val="tx1"/>
                  </w14:solidFill>
                </w14:textFill>
              </w:rPr>
            </w:pPr>
            <w:r>
              <w:rPr>
                <w:rFonts w:hint="eastAsia"/>
                <w:b/>
                <w:color w:val="000000" w:themeColor="text1"/>
                <w:highlight w:val="none"/>
                <w:lang w:eastAsia="zh-CN"/>
                <w14:textFill>
                  <w14:solidFill>
                    <w14:schemeClr w14:val="tx1"/>
                  </w14:solidFill>
                </w14:textFill>
              </w:rPr>
              <w:t>禁</w:t>
            </w:r>
            <w:r>
              <w:rPr>
                <w:rFonts w:hint="eastAsia"/>
                <w:b/>
                <w:color w:val="000000" w:themeColor="text1"/>
                <w:highlight w:val="none"/>
                <w:lang w:eastAsia="en-US"/>
                <w14:textFill>
                  <w14:solidFill>
                    <w14:schemeClr w14:val="tx1"/>
                  </w14:solidFill>
                </w14:textFill>
              </w:rPr>
              <w:t>养区范围</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1</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罗浮镇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2</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黄槐镇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3</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罗岗镇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4</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黄陂镇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5</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大坪镇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9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6</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合水镇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7</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石马镇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8</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龙田镇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9</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叶塘镇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10</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新陂镇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11</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宁中镇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12</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永和镇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13</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径南镇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14</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刁坊镇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15</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坭陂镇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16</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新圩镇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17</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水口镇</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18</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兴田街道</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19</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宁新街道</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r>
        <w:tblPrEx>
          <w:tblBorders>
            <w:top w:val="single" w:color="000000" w:sz="18" w:space="0"/>
            <w:left w:val="none" w:color="auto" w:sz="0" w:space="0"/>
            <w:bottom w:val="single" w:color="000000" w:sz="18"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848" w:type="dxa"/>
            <w:vAlign w:val="center"/>
          </w:tcPr>
          <w:p>
            <w:pPr>
              <w:pStyle w:val="52"/>
              <w:widowControl w:val="0"/>
              <w:rPr>
                <w:rFonts w:hAnsi="Calibri"/>
                <w:color w:val="000000" w:themeColor="text1"/>
                <w:szCs w:val="22"/>
                <w:highlight w:val="none"/>
                <w:lang w:eastAsia="en-US"/>
                <w14:textFill>
                  <w14:solidFill>
                    <w14:schemeClr w14:val="tx1"/>
                  </w14:solidFill>
                </w14:textFill>
              </w:rPr>
            </w:pPr>
            <w:r>
              <w:rPr>
                <w:rFonts w:hint="eastAsia" w:hAnsi="Calibri"/>
                <w:color w:val="000000" w:themeColor="text1"/>
                <w:szCs w:val="22"/>
                <w:highlight w:val="none"/>
                <w:lang w:eastAsia="en-US"/>
                <w14:textFill>
                  <w14:solidFill>
                    <w14:schemeClr w14:val="tx1"/>
                  </w14:solidFill>
                </w14:textFill>
              </w:rPr>
              <w:t>20</w:t>
            </w:r>
          </w:p>
        </w:tc>
        <w:tc>
          <w:tcPr>
            <w:tcW w:w="2388"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福兴街道</w:t>
            </w:r>
          </w:p>
        </w:tc>
        <w:tc>
          <w:tcPr>
            <w:tcW w:w="4736" w:type="dxa"/>
            <w:vAlign w:val="center"/>
          </w:tcPr>
          <w:p>
            <w:pPr>
              <w:pStyle w:val="52"/>
              <w:widowControl w:val="0"/>
              <w:rPr>
                <w:color w:val="000000" w:themeColor="text1"/>
                <w:highlight w:val="none"/>
                <w:lang w:eastAsia="en-US"/>
                <w14:textFill>
                  <w14:solidFill>
                    <w14:schemeClr w14:val="tx1"/>
                  </w14:solidFill>
                </w14:textFill>
              </w:rPr>
            </w:pPr>
            <w:r>
              <w:rPr>
                <w:rFonts w:hint="eastAsia"/>
                <w:color w:val="000000" w:themeColor="text1"/>
                <w:highlight w:val="none"/>
                <w:lang w:eastAsia="en-US"/>
                <w14:textFill>
                  <w14:solidFill>
                    <w14:schemeClr w14:val="tx1"/>
                  </w14:solidFill>
                </w14:textFill>
              </w:rPr>
              <w:t>基本农田保护区域内</w:t>
            </w:r>
          </w:p>
        </w:tc>
      </w:tr>
    </w:tbl>
    <w:p>
      <w:pPr>
        <w:pStyle w:val="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交通要道</w:t>
      </w:r>
    </w:p>
    <w:p>
      <w:pPr>
        <w:rPr>
          <w:color w:val="000000" w:themeColor="text1"/>
          <w:highlight w:val="yellow"/>
          <w14:textFill>
            <w14:solidFill>
              <w14:schemeClr w14:val="tx1"/>
            </w14:solidFill>
          </w14:textFill>
        </w:rPr>
      </w:pPr>
      <w:r>
        <w:rPr>
          <w:rFonts w:hint="eastAsia"/>
          <w:color w:val="000000" w:themeColor="text1"/>
          <w:highlight w:val="none"/>
          <w14:textFill>
            <w14:solidFill>
              <w14:schemeClr w14:val="tx1"/>
            </w14:solidFill>
          </w14:textFill>
        </w:rPr>
        <w:t>已建、在建的主要交通干线</w:t>
      </w:r>
      <w:r>
        <w:rPr>
          <w:rFonts w:hint="eastAsia"/>
          <w:color w:val="000000" w:themeColor="text1"/>
          <w:highlight w:val="none"/>
          <w:lang w:val="en-US" w:eastAsia="zh-CN"/>
          <w14:textFill>
            <w14:solidFill>
              <w14:schemeClr w14:val="tx1"/>
            </w14:solidFill>
          </w14:textFill>
        </w:rPr>
        <w:t>12~30米</w:t>
      </w:r>
      <w:r>
        <w:rPr>
          <w:rFonts w:hint="eastAsia"/>
          <w:color w:val="000000" w:themeColor="text1"/>
          <w:highlight w:val="none"/>
          <w14:textFill>
            <w14:solidFill>
              <w14:schemeClr w14:val="tx1"/>
            </w14:solidFill>
          </w14:textFill>
        </w:rPr>
        <w:t>的范围。</w:t>
      </w:r>
      <w:r>
        <w:rPr>
          <w:rFonts w:hint="eastAsia"/>
          <w:color w:val="000000" w:themeColor="text1"/>
          <w:highlight w:val="none"/>
          <w:lang w:val="en-US" w:eastAsia="zh-CN"/>
          <w14:textFill>
            <w14:solidFill>
              <w14:schemeClr w14:val="tx1"/>
            </w14:solidFill>
          </w14:textFill>
        </w:rPr>
        <w:t>高速公路两侧三十米，国道两侧二十米，省道两侧十五米；铁路两侧12米</w:t>
      </w:r>
      <w:r>
        <w:rPr>
          <w:rFonts w:hint="eastAsia"/>
          <w:color w:val="000000" w:themeColor="text1"/>
          <w:highlight w:val="none"/>
          <w14:textFill>
            <w14:solidFill>
              <w14:schemeClr w14:val="tx1"/>
            </w14:solidFill>
          </w14:textFill>
        </w:rPr>
        <w:t>的区域范围为</w:t>
      </w:r>
      <w:r>
        <w:rPr>
          <w:rFonts w:hint="eastAsia"/>
          <w:color w:val="000000" w:themeColor="text1"/>
          <w:highlight w:val="none"/>
          <w:lang w:eastAsia="zh-CN"/>
          <w14:textFill>
            <w14:solidFill>
              <w14:schemeClr w14:val="tx1"/>
            </w14:solidFill>
          </w14:textFill>
        </w:rPr>
        <w:t>禁</w:t>
      </w:r>
      <w:r>
        <w:rPr>
          <w:rFonts w:hint="eastAsia"/>
          <w:color w:val="000000" w:themeColor="text1"/>
          <w:highlight w:val="none"/>
          <w14:textFill>
            <w14:solidFill>
              <w14:schemeClr w14:val="tx1"/>
            </w14:solidFill>
          </w14:textFill>
        </w:rPr>
        <w:t>养区。</w:t>
      </w:r>
    </w:p>
    <w:p>
      <w:pPr>
        <w:pStyle w:val="55"/>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表9.</w:t>
      </w:r>
      <w:r>
        <w:rPr>
          <w:rFonts w:hint="eastAsia"/>
          <w:color w:val="000000" w:themeColor="text1"/>
          <w:highlight w:val="none"/>
          <w:lang w:val="en-US" w:eastAsia="zh-CN"/>
          <w14:textFill>
            <w14:solidFill>
              <w14:schemeClr w14:val="tx1"/>
            </w14:solidFill>
          </w14:textFill>
        </w:rPr>
        <w:t>1</w:t>
      </w:r>
      <w:r>
        <w:rPr>
          <w:rFonts w:hint="eastAsia"/>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8</w:t>
      </w:r>
      <w:r>
        <w:rPr>
          <w:rFonts w:hint="eastAsia"/>
          <w:color w:val="000000" w:themeColor="text1"/>
          <w:highlight w:val="none"/>
          <w14:textFill>
            <w14:solidFill>
              <w14:schemeClr w14:val="tx1"/>
            </w14:solidFill>
          </w14:textFill>
        </w:rPr>
        <w:t xml:space="preserve">   兴宁市主要交通干线</w:t>
      </w:r>
    </w:p>
    <w:tbl>
      <w:tblPr>
        <w:tblStyle w:val="33"/>
        <w:tblW w:w="9099" w:type="dxa"/>
        <w:jc w:val="center"/>
        <w:tblBorders>
          <w:top w:val="single" w:color="auto" w:sz="4" w:space="0"/>
          <w:left w:val="none" w:color="auto" w:sz="0" w:space="0"/>
          <w:bottom w:val="single" w:color="auto" w:sz="4" w:space="0"/>
          <w:right w:val="none" w:color="auto" w:sz="0" w:space="0"/>
          <w:insideH w:val="single" w:color="auto" w:sz="6" w:space="0"/>
          <w:insideV w:val="single" w:color="auto" w:sz="6" w:space="0"/>
        </w:tblBorders>
        <w:tblLayout w:type="fixed"/>
        <w:tblCellMar>
          <w:top w:w="0" w:type="dxa"/>
          <w:left w:w="0" w:type="dxa"/>
          <w:bottom w:w="0" w:type="dxa"/>
          <w:right w:w="0" w:type="dxa"/>
        </w:tblCellMar>
      </w:tblPr>
      <w:tblGrid>
        <w:gridCol w:w="1850"/>
        <w:gridCol w:w="7249"/>
      </w:tblGrid>
      <w:tr>
        <w:tblPrEx>
          <w:tblBorders>
            <w:top w:val="single" w:color="auto" w:sz="4" w:space="0"/>
            <w:left w:val="none" w:color="auto" w:sz="0" w:space="0"/>
            <w:bottom w:val="single" w:color="auto" w:sz="4"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312" w:hRule="atLeast"/>
          <w:tblHeader/>
          <w:jc w:val="center"/>
        </w:trPr>
        <w:tc>
          <w:tcPr>
            <w:tcW w:w="1850" w:type="dxa"/>
            <w:tcBorders>
              <w:bottom w:val="single" w:color="auto" w:sz="4" w:space="0"/>
            </w:tcBorders>
            <w:vAlign w:val="center"/>
          </w:tcPr>
          <w:p>
            <w:pPr>
              <w:pStyle w:val="52"/>
              <w:rPr>
                <w:b/>
                <w:color w:val="000000" w:themeColor="text1"/>
                <w:highlight w:val="none"/>
                <w14:textFill>
                  <w14:solidFill>
                    <w14:schemeClr w14:val="tx1"/>
                  </w14:solidFill>
                </w14:textFill>
              </w:rPr>
            </w:pPr>
            <w:r>
              <w:rPr>
                <w:rFonts w:hint="eastAsia"/>
                <w:b/>
                <w:color w:val="000000" w:themeColor="text1"/>
                <w:highlight w:val="none"/>
                <w14:textFill>
                  <w14:solidFill>
                    <w14:schemeClr w14:val="tx1"/>
                  </w14:solidFill>
                </w14:textFill>
              </w:rPr>
              <w:t>项目名称</w:t>
            </w:r>
          </w:p>
        </w:tc>
        <w:tc>
          <w:tcPr>
            <w:tcW w:w="7249" w:type="dxa"/>
            <w:tcBorders>
              <w:bottom w:val="single" w:color="auto" w:sz="4" w:space="0"/>
            </w:tcBorders>
            <w:vAlign w:val="center"/>
          </w:tcPr>
          <w:p>
            <w:pPr>
              <w:pStyle w:val="52"/>
              <w:rPr>
                <w:color w:val="000000" w:themeColor="text1"/>
                <w:highlight w:val="none"/>
                <w14:textFill>
                  <w14:solidFill>
                    <w14:schemeClr w14:val="tx1"/>
                  </w14:solidFill>
                </w14:textFill>
              </w:rPr>
            </w:pPr>
            <w:r>
              <w:rPr>
                <w:rFonts w:hint="eastAsia"/>
                <w:b/>
                <w:color w:val="000000" w:themeColor="text1"/>
                <w:highlight w:val="none"/>
                <w:lang w:eastAsia="zh-CN"/>
                <w14:textFill>
                  <w14:solidFill>
                    <w14:schemeClr w14:val="tx1"/>
                  </w14:solidFill>
                </w14:textFill>
              </w:rPr>
              <w:t>禁</w:t>
            </w:r>
            <w:r>
              <w:rPr>
                <w:rFonts w:hint="eastAsia"/>
                <w:b/>
                <w:color w:val="000000" w:themeColor="text1"/>
                <w:highlight w:val="none"/>
                <w14:textFill>
                  <w14:solidFill>
                    <w14:schemeClr w14:val="tx1"/>
                  </w14:solidFill>
                </w14:textFill>
              </w:rPr>
              <w:t>养区范围</w:t>
            </w:r>
          </w:p>
        </w:tc>
      </w:tr>
      <w:tr>
        <w:tblPrEx>
          <w:tblBorders>
            <w:top w:val="single" w:color="auto" w:sz="4" w:space="0"/>
            <w:left w:val="none" w:color="auto" w:sz="0" w:space="0"/>
            <w:bottom w:val="single" w:color="auto" w:sz="4"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312" w:hRule="atLeast"/>
          <w:jc w:val="center"/>
        </w:trPr>
        <w:tc>
          <w:tcPr>
            <w:tcW w:w="1850" w:type="dxa"/>
            <w:tcBorders>
              <w:bottom w:val="single" w:color="auto" w:sz="4" w:space="0"/>
            </w:tcBorders>
            <w:vAlign w:val="center"/>
          </w:tcPr>
          <w:p>
            <w:pPr>
              <w:pStyle w:val="52"/>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梅汕铁路</w:t>
            </w:r>
          </w:p>
        </w:tc>
        <w:tc>
          <w:tcPr>
            <w:tcW w:w="7249" w:type="dxa"/>
            <w:tcBorders>
              <w:bottom w:val="single" w:color="auto" w:sz="4" w:space="0"/>
            </w:tcBorders>
            <w:vAlign w:val="center"/>
          </w:tcPr>
          <w:p>
            <w:pPr>
              <w:pStyle w:val="52"/>
              <w:jc w:val="center"/>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道路两侧起外延伸</w:t>
            </w:r>
            <w:r>
              <w:rPr>
                <w:rFonts w:hint="eastAsia"/>
                <w:color w:val="000000" w:themeColor="text1"/>
                <w:highlight w:val="none"/>
                <w:lang w:val="en-US" w:eastAsia="zh-CN"/>
                <w14:textFill>
                  <w14:solidFill>
                    <w14:schemeClr w14:val="tx1"/>
                  </w14:solidFill>
                </w14:textFill>
              </w:rPr>
              <w:t>12</w:t>
            </w:r>
            <w:r>
              <w:rPr>
                <w:rFonts w:hint="eastAsia"/>
                <w:color w:val="000000" w:themeColor="text1"/>
                <w:highlight w:val="none"/>
                <w14:textFill>
                  <w14:solidFill>
                    <w14:schemeClr w14:val="tx1"/>
                  </w14:solidFill>
                </w14:textFill>
              </w:rPr>
              <w:t>米的区域范围</w:t>
            </w:r>
          </w:p>
        </w:tc>
      </w:tr>
      <w:tr>
        <w:tblPrEx>
          <w:tblBorders>
            <w:top w:val="single" w:color="auto" w:sz="4" w:space="0"/>
            <w:left w:val="none" w:color="auto" w:sz="0" w:space="0"/>
            <w:bottom w:val="single" w:color="auto" w:sz="4"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312" w:hRule="atLeast"/>
          <w:jc w:val="center"/>
        </w:trPr>
        <w:tc>
          <w:tcPr>
            <w:tcW w:w="1850" w:type="dxa"/>
            <w:tcBorders>
              <w:bottom w:val="single" w:color="auto" w:sz="4" w:space="0"/>
            </w:tcBorders>
            <w:vAlign w:val="center"/>
          </w:tcPr>
          <w:p>
            <w:pPr>
              <w:pStyle w:val="52"/>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济广高速</w:t>
            </w:r>
          </w:p>
        </w:tc>
        <w:tc>
          <w:tcPr>
            <w:tcW w:w="7249" w:type="dxa"/>
            <w:tcBorders>
              <w:bottom w:val="single" w:color="auto" w:sz="4" w:space="0"/>
            </w:tcBorders>
            <w:vAlign w:val="center"/>
          </w:tcPr>
          <w:p>
            <w:pPr>
              <w:pStyle w:val="52"/>
              <w:jc w:val="center"/>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道路两侧起外延伸</w:t>
            </w:r>
            <w:r>
              <w:rPr>
                <w:rFonts w:hint="eastAsia"/>
                <w:color w:val="000000" w:themeColor="text1"/>
                <w:highlight w:val="none"/>
                <w:lang w:val="en-US" w:eastAsia="zh-CN"/>
                <w14:textFill>
                  <w14:solidFill>
                    <w14:schemeClr w14:val="tx1"/>
                  </w14:solidFill>
                </w14:textFill>
              </w:rPr>
              <w:t>30</w:t>
            </w:r>
            <w:r>
              <w:rPr>
                <w:rFonts w:hint="eastAsia"/>
                <w:color w:val="000000" w:themeColor="text1"/>
                <w:highlight w:val="none"/>
                <w14:textFill>
                  <w14:solidFill>
                    <w14:schemeClr w14:val="tx1"/>
                  </w14:solidFill>
                </w14:textFill>
              </w:rPr>
              <w:t>米的区域范围</w:t>
            </w:r>
          </w:p>
        </w:tc>
      </w:tr>
      <w:tr>
        <w:tblPrEx>
          <w:tblBorders>
            <w:top w:val="single" w:color="auto" w:sz="4" w:space="0"/>
            <w:left w:val="none" w:color="auto" w:sz="0" w:space="0"/>
            <w:bottom w:val="single" w:color="auto" w:sz="4"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20" w:hRule="atLeast"/>
          <w:jc w:val="center"/>
        </w:trPr>
        <w:tc>
          <w:tcPr>
            <w:tcW w:w="1850" w:type="dxa"/>
            <w:vAlign w:val="center"/>
          </w:tcPr>
          <w:p>
            <w:pPr>
              <w:pStyle w:val="52"/>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畲华高速</w:t>
            </w:r>
          </w:p>
        </w:tc>
        <w:tc>
          <w:tcPr>
            <w:tcW w:w="7249" w:type="dxa"/>
            <w:vAlign w:val="center"/>
          </w:tcPr>
          <w:p>
            <w:pPr>
              <w:pStyle w:val="52"/>
              <w:jc w:val="center"/>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道路两侧起外延伸</w:t>
            </w:r>
            <w:r>
              <w:rPr>
                <w:rFonts w:hint="eastAsia"/>
                <w:color w:val="000000" w:themeColor="text1"/>
                <w:highlight w:val="none"/>
                <w:lang w:val="en-US" w:eastAsia="zh-CN"/>
                <w14:textFill>
                  <w14:solidFill>
                    <w14:schemeClr w14:val="tx1"/>
                  </w14:solidFill>
                </w14:textFill>
              </w:rPr>
              <w:t>30</w:t>
            </w:r>
            <w:r>
              <w:rPr>
                <w:rFonts w:hint="eastAsia"/>
                <w:color w:val="000000" w:themeColor="text1"/>
                <w:highlight w:val="none"/>
                <w14:textFill>
                  <w14:solidFill>
                    <w14:schemeClr w14:val="tx1"/>
                  </w14:solidFill>
                </w14:textFill>
              </w:rPr>
              <w:t>米的区域范围</w:t>
            </w:r>
          </w:p>
        </w:tc>
      </w:tr>
      <w:tr>
        <w:tblPrEx>
          <w:tblBorders>
            <w:top w:val="single" w:color="auto" w:sz="4" w:space="0"/>
            <w:left w:val="none" w:color="auto" w:sz="0" w:space="0"/>
            <w:bottom w:val="single" w:color="auto" w:sz="4"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20" w:hRule="atLeast"/>
          <w:jc w:val="center"/>
        </w:trPr>
        <w:tc>
          <w:tcPr>
            <w:tcW w:w="1850" w:type="dxa"/>
            <w:vAlign w:val="center"/>
          </w:tcPr>
          <w:p>
            <w:pPr>
              <w:pStyle w:val="52"/>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汕昆高速</w:t>
            </w:r>
          </w:p>
        </w:tc>
        <w:tc>
          <w:tcPr>
            <w:tcW w:w="7249" w:type="dxa"/>
            <w:vAlign w:val="center"/>
          </w:tcPr>
          <w:p>
            <w:pPr>
              <w:pStyle w:val="52"/>
              <w:jc w:val="center"/>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道路两侧起外延伸</w:t>
            </w:r>
            <w:r>
              <w:rPr>
                <w:rFonts w:hint="eastAsia"/>
                <w:color w:val="000000" w:themeColor="text1"/>
                <w:highlight w:val="none"/>
                <w:lang w:val="en-US" w:eastAsia="zh-CN"/>
                <w14:textFill>
                  <w14:solidFill>
                    <w14:schemeClr w14:val="tx1"/>
                  </w14:solidFill>
                </w14:textFill>
              </w:rPr>
              <w:t>30</w:t>
            </w:r>
            <w:r>
              <w:rPr>
                <w:rFonts w:hint="eastAsia"/>
                <w:color w:val="000000" w:themeColor="text1"/>
                <w:highlight w:val="none"/>
                <w14:textFill>
                  <w14:solidFill>
                    <w14:schemeClr w14:val="tx1"/>
                  </w14:solidFill>
                </w14:textFill>
              </w:rPr>
              <w:t>米的区域范围</w:t>
            </w:r>
          </w:p>
        </w:tc>
      </w:tr>
      <w:tr>
        <w:tblPrEx>
          <w:tblBorders>
            <w:top w:val="single" w:color="auto" w:sz="4" w:space="0"/>
            <w:left w:val="none" w:color="auto" w:sz="0" w:space="0"/>
            <w:bottom w:val="single" w:color="auto" w:sz="4"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374" w:hRule="atLeast"/>
          <w:jc w:val="center"/>
        </w:trPr>
        <w:tc>
          <w:tcPr>
            <w:tcW w:w="1850" w:type="dxa"/>
            <w:vAlign w:val="center"/>
          </w:tcPr>
          <w:p>
            <w:pPr>
              <w:pStyle w:val="52"/>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长深高速</w:t>
            </w:r>
          </w:p>
        </w:tc>
        <w:tc>
          <w:tcPr>
            <w:tcW w:w="7249" w:type="dxa"/>
            <w:vAlign w:val="center"/>
          </w:tcPr>
          <w:p>
            <w:pPr>
              <w:pStyle w:val="52"/>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道路两侧起外延伸30米的区域范围</w:t>
            </w:r>
          </w:p>
        </w:tc>
      </w:tr>
      <w:tr>
        <w:tblPrEx>
          <w:tblBorders>
            <w:top w:val="single" w:color="auto" w:sz="4" w:space="0"/>
            <w:left w:val="none" w:color="auto" w:sz="0" w:space="0"/>
            <w:bottom w:val="single" w:color="auto" w:sz="4"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274" w:hRule="atLeast"/>
          <w:jc w:val="center"/>
        </w:trPr>
        <w:tc>
          <w:tcPr>
            <w:tcW w:w="1850" w:type="dxa"/>
            <w:vAlign w:val="center"/>
          </w:tcPr>
          <w:p>
            <w:pPr>
              <w:pStyle w:val="52"/>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205国道</w:t>
            </w:r>
          </w:p>
        </w:tc>
        <w:tc>
          <w:tcPr>
            <w:tcW w:w="7249" w:type="dxa"/>
            <w:vAlign w:val="center"/>
          </w:tcPr>
          <w:p>
            <w:pPr>
              <w:pStyle w:val="52"/>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道路两侧起外延伸20米的区域范围</w:t>
            </w:r>
          </w:p>
        </w:tc>
      </w:tr>
      <w:tr>
        <w:tblPrEx>
          <w:tblBorders>
            <w:top w:val="single" w:color="auto" w:sz="4" w:space="0"/>
            <w:left w:val="none" w:color="auto" w:sz="0" w:space="0"/>
            <w:bottom w:val="single" w:color="auto" w:sz="4"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20" w:hRule="atLeast"/>
          <w:jc w:val="center"/>
        </w:trPr>
        <w:tc>
          <w:tcPr>
            <w:tcW w:w="1850" w:type="dxa"/>
            <w:vAlign w:val="center"/>
          </w:tcPr>
          <w:p>
            <w:pPr>
              <w:pStyle w:val="52"/>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 xml:space="preserve">206国道 </w:t>
            </w:r>
          </w:p>
        </w:tc>
        <w:tc>
          <w:tcPr>
            <w:tcW w:w="7249" w:type="dxa"/>
            <w:vAlign w:val="center"/>
          </w:tcPr>
          <w:p>
            <w:pPr>
              <w:pStyle w:val="52"/>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道路两侧起外延伸20米的区域范围</w:t>
            </w:r>
          </w:p>
        </w:tc>
      </w:tr>
      <w:tr>
        <w:tblPrEx>
          <w:tblBorders>
            <w:top w:val="single" w:color="auto" w:sz="4" w:space="0"/>
            <w:left w:val="none" w:color="auto" w:sz="0" w:space="0"/>
            <w:bottom w:val="single" w:color="auto" w:sz="4"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20" w:hRule="atLeast"/>
          <w:jc w:val="center"/>
        </w:trPr>
        <w:tc>
          <w:tcPr>
            <w:tcW w:w="1850" w:type="dxa"/>
            <w:vAlign w:val="center"/>
          </w:tcPr>
          <w:p>
            <w:pPr>
              <w:pStyle w:val="52"/>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省道</w:t>
            </w:r>
            <w:r>
              <w:rPr>
                <w:rFonts w:hint="eastAsia"/>
                <w:color w:val="000000" w:themeColor="text1"/>
                <w:highlight w:val="none"/>
                <w:lang w:val="en-US" w:eastAsia="zh-CN"/>
                <w14:textFill>
                  <w14:solidFill>
                    <w14:schemeClr w14:val="tx1"/>
                  </w14:solidFill>
                </w14:textFill>
              </w:rPr>
              <w:t>226</w:t>
            </w:r>
          </w:p>
        </w:tc>
        <w:tc>
          <w:tcPr>
            <w:tcW w:w="7249" w:type="dxa"/>
            <w:vAlign w:val="center"/>
          </w:tcPr>
          <w:p>
            <w:pPr>
              <w:pStyle w:val="52"/>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道路两侧起外延伸15米的区域范围</w:t>
            </w:r>
          </w:p>
        </w:tc>
      </w:tr>
      <w:tr>
        <w:tblPrEx>
          <w:tblBorders>
            <w:top w:val="single" w:color="auto" w:sz="4" w:space="0"/>
            <w:left w:val="none" w:color="auto" w:sz="0" w:space="0"/>
            <w:bottom w:val="single" w:color="auto" w:sz="4"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20" w:hRule="atLeast"/>
          <w:jc w:val="center"/>
        </w:trPr>
        <w:tc>
          <w:tcPr>
            <w:tcW w:w="1850" w:type="dxa"/>
            <w:vAlign w:val="center"/>
          </w:tcPr>
          <w:p>
            <w:pPr>
              <w:pStyle w:val="52"/>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省道</w:t>
            </w:r>
            <w:r>
              <w:rPr>
                <w:rFonts w:hint="eastAsia"/>
                <w:color w:val="000000" w:themeColor="text1"/>
                <w:highlight w:val="none"/>
                <w:lang w:val="en-US" w:eastAsia="zh-CN"/>
                <w14:textFill>
                  <w14:solidFill>
                    <w14:schemeClr w14:val="tx1"/>
                  </w14:solidFill>
                </w14:textFill>
              </w:rPr>
              <w:t>225</w:t>
            </w:r>
          </w:p>
        </w:tc>
        <w:tc>
          <w:tcPr>
            <w:tcW w:w="7249" w:type="dxa"/>
            <w:vAlign w:val="center"/>
          </w:tcPr>
          <w:p>
            <w:pPr>
              <w:pStyle w:val="52"/>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道路两侧起外延伸15米的区域范围</w:t>
            </w:r>
          </w:p>
        </w:tc>
      </w:tr>
      <w:tr>
        <w:tblPrEx>
          <w:tblBorders>
            <w:top w:val="single" w:color="auto" w:sz="4" w:space="0"/>
            <w:left w:val="none" w:color="auto" w:sz="0" w:space="0"/>
            <w:bottom w:val="single" w:color="auto" w:sz="4"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20" w:hRule="atLeast"/>
          <w:jc w:val="center"/>
        </w:trPr>
        <w:tc>
          <w:tcPr>
            <w:tcW w:w="1850" w:type="dxa"/>
            <w:vAlign w:val="center"/>
          </w:tcPr>
          <w:p>
            <w:pPr>
              <w:pStyle w:val="52"/>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省道</w:t>
            </w:r>
            <w:r>
              <w:rPr>
                <w:rFonts w:hint="eastAsia"/>
                <w:color w:val="000000" w:themeColor="text1"/>
                <w:highlight w:val="none"/>
                <w:lang w:val="en-US" w:eastAsia="zh-CN"/>
                <w14:textFill>
                  <w14:solidFill>
                    <w14:schemeClr w14:val="tx1"/>
                  </w14:solidFill>
                </w14:textFill>
              </w:rPr>
              <w:t>120</w:t>
            </w:r>
          </w:p>
        </w:tc>
        <w:tc>
          <w:tcPr>
            <w:tcW w:w="7249" w:type="dxa"/>
            <w:vAlign w:val="center"/>
          </w:tcPr>
          <w:p>
            <w:pPr>
              <w:pStyle w:val="52"/>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道路两侧起外延伸15米的区域范围</w:t>
            </w:r>
          </w:p>
        </w:tc>
      </w:tr>
      <w:tr>
        <w:tblPrEx>
          <w:tblBorders>
            <w:top w:val="single" w:color="auto" w:sz="4" w:space="0"/>
            <w:left w:val="none" w:color="auto" w:sz="0" w:space="0"/>
            <w:bottom w:val="single" w:color="auto" w:sz="4"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20" w:hRule="atLeast"/>
          <w:jc w:val="center"/>
        </w:trPr>
        <w:tc>
          <w:tcPr>
            <w:tcW w:w="1850" w:type="dxa"/>
            <w:vAlign w:val="center"/>
          </w:tcPr>
          <w:p>
            <w:pPr>
              <w:pStyle w:val="52"/>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省道</w:t>
            </w:r>
            <w:r>
              <w:rPr>
                <w:rFonts w:hint="eastAsia"/>
                <w:color w:val="000000" w:themeColor="text1"/>
                <w:highlight w:val="none"/>
                <w:lang w:val="en-US" w:eastAsia="zh-CN"/>
                <w14:textFill>
                  <w14:solidFill>
                    <w14:schemeClr w14:val="tx1"/>
                  </w14:solidFill>
                </w14:textFill>
              </w:rPr>
              <w:t>339</w:t>
            </w:r>
          </w:p>
        </w:tc>
        <w:tc>
          <w:tcPr>
            <w:tcW w:w="7249" w:type="dxa"/>
            <w:vAlign w:val="center"/>
          </w:tcPr>
          <w:p>
            <w:pPr>
              <w:pStyle w:val="52"/>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道路两侧起外延伸15米的区域范围</w:t>
            </w:r>
          </w:p>
        </w:tc>
      </w:tr>
    </w:tbl>
    <w:p>
      <w:pPr>
        <w:pStyle w:val="2"/>
        <w:numPr>
          <w:ilvl w:val="0"/>
          <w:numId w:val="0"/>
        </w:numPr>
        <w:ind w:leftChars="0"/>
        <w:jc w:val="both"/>
        <w:rPr>
          <w:color w:val="000000" w:themeColor="text1"/>
          <w:highlight w:val="none"/>
          <w14:textFill>
            <w14:solidFill>
              <w14:schemeClr w14:val="tx1"/>
            </w14:solidFill>
          </w14:textFill>
        </w:rPr>
      </w:pPr>
      <w:bookmarkStart w:id="51" w:name="_Toc15937"/>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ind w:left="0" w:leftChars="0" w:firstLine="0" w:firstLineChars="0"/>
        <w:rPr>
          <w:color w:val="000000" w:themeColor="text1"/>
          <w:highlight w:val="none"/>
          <w14:textFill>
            <w14:solidFill>
              <w14:schemeClr w14:val="tx1"/>
            </w14:solidFill>
          </w14:textFill>
        </w:rPr>
      </w:pPr>
    </w:p>
    <w:p>
      <w:pPr>
        <w:pStyle w:val="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划分合理性分析</w:t>
      </w:r>
      <w:bookmarkEnd w:id="51"/>
    </w:p>
    <w:p>
      <w:pPr>
        <w:pStyle w:val="3"/>
        <w:spacing w:before="156" w:after="156"/>
        <w:rPr>
          <w:color w:val="000000" w:themeColor="text1"/>
          <w:highlight w:val="none"/>
          <w14:textFill>
            <w14:solidFill>
              <w14:schemeClr w14:val="tx1"/>
            </w14:solidFill>
          </w14:textFill>
        </w:rPr>
      </w:pPr>
      <w:bookmarkStart w:id="52" w:name="_Toc459110748"/>
      <w:bookmarkStart w:id="53" w:name="_Toc12992"/>
      <w:bookmarkStart w:id="54" w:name="_Toc11685"/>
      <w:r>
        <w:rPr>
          <w:rFonts w:hint="eastAsia"/>
          <w:color w:val="000000" w:themeColor="text1"/>
          <w:highlight w:val="none"/>
          <w14:textFill>
            <w14:solidFill>
              <w14:schemeClr w14:val="tx1"/>
            </w14:solidFill>
          </w14:textFill>
        </w:rPr>
        <w:t>与主体功能区规划协调性分析</w:t>
      </w:r>
      <w:bookmarkEnd w:id="52"/>
      <w:bookmarkEnd w:id="53"/>
      <w:bookmarkEnd w:id="54"/>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主体功能区规划主要包括优化开发区域、重点开发区域、限制开发区域以及禁止开发区域。根据兴宁市人口、资源、经济、社会的发展基础和空间结构，将市域划分为北部生态发展区、中部综合发展区、东南部特色发展区三大主体功能区。</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北部生态发展区：主要由罗浮、罗岗、大坪、合水、黄槐、黄陂、石马等共同组成，是兴宁市的生态屏障，也是梅州市乃至广东省的生态屏障。该区重点发展观光农业、生态文化旅游和度假休闲产业，通过产业和政策引导，逐步推动山区人口向中部发展区聚集。</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中部综合发展区：主要由福兴街道、兴田街道、宁新街道、新陂、宁中、刁坊、龙田、叶塘、永和、坭陂等共同组成，重点发展现代商贸服务业、科教研发、电子机电、纺织服装等产业，未来将发展为以中心城区为核心的密集城镇群。</w:t>
      </w:r>
    </w:p>
    <w:p>
      <w:pP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（3）东南部特色发展区：主要由径南、新圩、水口等共同组成。该区依托现有工艺品制造等优势产业基础发展特色工业，借助邻畲江产业园的区位优势和优越的交通条件，发展配套服务产业。</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兴宁市境内现拥有的国家级、</w:t>
      </w:r>
      <w:r>
        <w:rPr>
          <w:color w:val="000000" w:themeColor="text1"/>
          <w:highlight w:val="none"/>
          <w14:textFill>
            <w14:solidFill>
              <w14:schemeClr w14:val="tx1"/>
            </w14:solidFill>
          </w14:textFill>
        </w:rPr>
        <w:t>县级以及绝大多数的森林公园</w:t>
      </w:r>
      <w:r>
        <w:rPr>
          <w:rFonts w:hint="eastAsia"/>
          <w:color w:val="000000" w:themeColor="text1"/>
          <w:highlight w:val="none"/>
          <w14:textFill>
            <w14:solidFill>
              <w14:schemeClr w14:val="tx1"/>
            </w14:solidFill>
          </w14:textFill>
        </w:rPr>
        <w:t>已被批准划为广东省禁止开发区域，禁止其他因素对这些区域进行生态干扰。主体功能区规划与兴宁市畜禽养殖区域划分相符合，属于可协调范围。</w:t>
      </w:r>
    </w:p>
    <w:p>
      <w:pPr>
        <w:pStyle w:val="3"/>
        <w:spacing w:before="156" w:after="156"/>
        <w:rPr>
          <w:color w:val="000000" w:themeColor="text1"/>
          <w:highlight w:val="none"/>
          <w14:textFill>
            <w14:solidFill>
              <w14:schemeClr w14:val="tx1"/>
            </w14:solidFill>
          </w14:textFill>
        </w:rPr>
      </w:pPr>
      <w:bookmarkStart w:id="55" w:name="_Toc459110749"/>
      <w:bookmarkStart w:id="56" w:name="_Toc23933"/>
      <w:bookmarkStart w:id="57" w:name="_Toc21389"/>
      <w:bookmarkStart w:id="58" w:name="_Toc453096715"/>
      <w:r>
        <w:rPr>
          <w:rFonts w:hint="eastAsia"/>
          <w:color w:val="000000" w:themeColor="text1"/>
          <w:highlight w:val="none"/>
          <w14:textFill>
            <w14:solidFill>
              <w14:schemeClr w14:val="tx1"/>
            </w14:solidFill>
          </w14:textFill>
        </w:rPr>
        <w:t>与生态功能区规划协调性分析</w:t>
      </w:r>
      <w:bookmarkEnd w:id="55"/>
      <w:bookmarkEnd w:id="56"/>
      <w:bookmarkEnd w:id="57"/>
      <w:bookmarkEnd w:id="58"/>
    </w:p>
    <w:p>
      <w:pPr>
        <w:rPr>
          <w:bCs/>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"http://baike.baidu.com/view/2910330.htm" \t "_blank" </w:instrText>
      </w:r>
      <w:r>
        <w:rPr>
          <w:color w:val="000000" w:themeColor="text1"/>
          <w:highlight w:val="none"/>
          <w14:textFill>
            <w14:solidFill>
              <w14:schemeClr w14:val="tx1"/>
            </w14:solidFill>
          </w14:textFill>
        </w:rPr>
        <w:fldChar w:fldCharType="separate"/>
      </w:r>
      <w:r>
        <w:rPr>
          <w:bCs/>
          <w:color w:val="000000" w:themeColor="text1"/>
          <w:highlight w:val="none"/>
          <w14:textFill>
            <w14:solidFill>
              <w14:schemeClr w14:val="tx1"/>
            </w14:solidFill>
          </w14:textFill>
        </w:rPr>
        <w:t>生态功能区规划</w:t>
      </w:r>
      <w:r>
        <w:rPr>
          <w:bCs/>
          <w:color w:val="000000" w:themeColor="text1"/>
          <w:highlight w:val="none"/>
          <w14:textFill>
            <w14:solidFill>
              <w14:schemeClr w14:val="tx1"/>
            </w14:solidFill>
          </w14:textFill>
        </w:rPr>
        <w:fldChar w:fldCharType="end"/>
      </w:r>
      <w:r>
        <w:rPr>
          <w:bCs/>
          <w:color w:val="000000" w:themeColor="text1"/>
          <w:highlight w:val="none"/>
          <w14:textFill>
            <w14:solidFill>
              <w14:schemeClr w14:val="tx1"/>
            </w14:solidFill>
          </w14:textFill>
        </w:rPr>
        <w:t>是实施区域生态环境分区管理的基础和前提</w:t>
      </w:r>
      <w:r>
        <w:rPr>
          <w:rFonts w:hint="eastAsia"/>
          <w:bCs/>
          <w:color w:val="000000" w:themeColor="text1"/>
          <w:highlight w:val="none"/>
          <w14:textFill>
            <w14:solidFill>
              <w14:schemeClr w14:val="tx1"/>
            </w14:solidFill>
          </w14:textFill>
        </w:rPr>
        <w:t>，</w:t>
      </w:r>
      <w:r>
        <w:rPr>
          <w:bCs/>
          <w:color w:val="000000" w:themeColor="text1"/>
          <w:highlight w:val="none"/>
          <w14:textFill>
            <w14:solidFill>
              <w14:schemeClr w14:val="tx1"/>
            </w14:solidFill>
          </w14:textFill>
        </w:rPr>
        <w:t>以保护和改善区域生态环境为目的，依据区域生态系统服务功能的不同，生态重要性与</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"http://baike.baidu.com/view/3850521.htm" \t "_blank" </w:instrText>
      </w:r>
      <w:r>
        <w:rPr>
          <w:color w:val="000000" w:themeColor="text1"/>
          <w:highlight w:val="none"/>
          <w14:textFill>
            <w14:solidFill>
              <w14:schemeClr w14:val="tx1"/>
            </w14:solidFill>
          </w14:textFill>
        </w:rPr>
        <w:fldChar w:fldCharType="separate"/>
      </w:r>
      <w:r>
        <w:rPr>
          <w:bCs/>
          <w:color w:val="000000" w:themeColor="text1"/>
          <w:highlight w:val="none"/>
          <w14:textFill>
            <w14:solidFill>
              <w14:schemeClr w14:val="tx1"/>
            </w14:solidFill>
          </w14:textFill>
        </w:rPr>
        <w:t>生态敏感性</w:t>
      </w:r>
      <w:r>
        <w:rPr>
          <w:bCs/>
          <w:color w:val="000000" w:themeColor="text1"/>
          <w:highlight w:val="none"/>
          <w14:textFill>
            <w14:solidFill>
              <w14:schemeClr w14:val="tx1"/>
            </w14:solidFill>
          </w14:textFill>
        </w:rPr>
        <w:fldChar w:fldCharType="end"/>
      </w:r>
      <w:r>
        <w:rPr>
          <w:bCs/>
          <w:color w:val="000000" w:themeColor="text1"/>
          <w:highlight w:val="none"/>
          <w14:textFill>
            <w14:solidFill>
              <w14:schemeClr w14:val="tx1"/>
            </w14:solidFill>
          </w14:textFill>
        </w:rPr>
        <w:t>的差异和人类活动影响程度，分别采取不同的对策。</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1</w:t>
      </w:r>
      <w:r>
        <w:rPr>
          <w:rFonts w:hint="eastAsia"/>
          <w:color w:val="000000" w:themeColor="text1"/>
          <w:highlight w:val="none"/>
          <w14:textFill>
            <w14:solidFill>
              <w14:schemeClr w14:val="tx1"/>
            </w14:solidFill>
          </w14:textFill>
        </w:rPr>
        <w:t>）丘陵山地亚热带季雨林生态区</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本区为兴宁市的南北生态屏障，包括兴宁北部罗浮、罗岗、黄槐、黄陂和南部的水口，以丘陵山地为主，是重要的林业生产区。规划以生态公益林建设为重点，省级自然保护区建设为中心，注重生物多样性保护，适度发展商品林（工业原料林）和经济林（油茶）。</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2</w:t>
      </w:r>
      <w:r>
        <w:rPr>
          <w:rFonts w:hint="eastAsia"/>
          <w:color w:val="000000" w:themeColor="text1"/>
          <w:highlight w:val="none"/>
          <w14:textFill>
            <w14:solidFill>
              <w14:schemeClr w14:val="tx1"/>
            </w14:solidFill>
          </w14:textFill>
        </w:rPr>
        <w:t>）水土保持与水源涵养生态区</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本区位于兴宁市的中部，以合水水库为中心的周围丘陵山地水土保持与水源涵养林建设为重点，是城市的主要水源，是兴宁的城市之肾。</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3</w:t>
      </w:r>
      <w:r>
        <w:rPr>
          <w:rFonts w:hint="eastAsia"/>
          <w:color w:val="000000" w:themeColor="text1"/>
          <w:highlight w:val="none"/>
          <w14:textFill>
            <w14:solidFill>
              <w14:schemeClr w14:val="tx1"/>
            </w14:solidFill>
          </w14:textFill>
        </w:rPr>
        <w:t>）低丘盆地生态农业区</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本区位于兴宁市的中部，为低丘盆地，是全市的主要农业区，以新农村建设为核心，生态农业建设为重点，建设循环经济。</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4</w:t>
      </w:r>
      <w:r>
        <w:rPr>
          <w:rFonts w:hint="eastAsia"/>
          <w:color w:val="000000" w:themeColor="text1"/>
          <w:highlight w:val="none"/>
          <w14:textFill>
            <w14:solidFill>
              <w14:schemeClr w14:val="tx1"/>
            </w14:solidFill>
          </w14:textFill>
        </w:rPr>
        <w:t>）城市人居环境生态区</w:t>
      </w:r>
    </w:p>
    <w:p>
      <w:pPr>
        <w:rPr>
          <w:bCs/>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主要包括兴城和水口、罗浮、罗岗中心城镇，是兴宁市人口最密集的地方，也是全市政治、社会、经济和文化中心，以城市环境建设为重点，建设宜居、宜业的新型生态城市。</w:t>
      </w:r>
    </w:p>
    <w:p>
      <w:pPr>
        <w:rPr>
          <w:bCs/>
          <w:color w:val="000000" w:themeColor="text1"/>
          <w:highlight w:val="none"/>
          <w14:textFill>
            <w14:solidFill>
              <w14:schemeClr w14:val="tx1"/>
            </w14:solidFill>
          </w14:textFill>
        </w:rPr>
      </w:pPr>
      <w:r>
        <w:rPr>
          <w:bCs/>
          <w:color w:val="000000" w:themeColor="text1"/>
          <w:highlight w:val="none"/>
          <w14:textFill>
            <w14:solidFill>
              <w14:schemeClr w14:val="tx1"/>
            </w14:solidFill>
          </w14:textFill>
        </w:rPr>
        <w:t>引导基本农田保护区、林地、园地、水系与城镇绿地形成一体化系统</w:t>
      </w:r>
      <w:r>
        <w:rPr>
          <w:rFonts w:hint="eastAsia"/>
          <w:bCs/>
          <w:color w:val="000000" w:themeColor="text1"/>
          <w:highlight w:val="none"/>
          <w14:textFill>
            <w14:solidFill>
              <w14:schemeClr w14:val="tx1"/>
            </w14:solidFill>
          </w14:textFill>
        </w:rPr>
        <w:t>，加大兴宁市水源涵养区水源涵养能力的建设，沿兴宁市主要交通要道与县城生态用地连接打造生态要道，构建城乡融合的生态屏障，</w:t>
      </w:r>
      <w:r>
        <w:rPr>
          <w:bCs/>
          <w:color w:val="000000" w:themeColor="text1"/>
          <w:highlight w:val="none"/>
          <w14:textFill>
            <w14:solidFill>
              <w14:schemeClr w14:val="tx1"/>
            </w14:solidFill>
          </w14:textFill>
        </w:rPr>
        <w:t>推动公共绿色空间发展</w:t>
      </w:r>
      <w:r>
        <w:rPr>
          <w:rFonts w:hint="eastAsia"/>
          <w:bCs/>
          <w:color w:val="000000" w:themeColor="text1"/>
          <w:highlight w:val="none"/>
          <w14:textFill>
            <w14:solidFill>
              <w14:schemeClr w14:val="tx1"/>
            </w14:solidFill>
          </w14:textFill>
        </w:rPr>
        <w:t>。规划当中还提及到要加强自然保护区和重要生态公益林用地保护，将</w:t>
      </w:r>
      <w:r>
        <w:rPr>
          <w:bCs/>
          <w:color w:val="000000" w:themeColor="text1"/>
          <w:highlight w:val="none"/>
          <w14:textFill>
            <w14:solidFill>
              <w14:schemeClr w14:val="tx1"/>
            </w14:solidFill>
          </w14:textFill>
        </w:rPr>
        <w:t>自然保护区</w:t>
      </w:r>
      <w:r>
        <w:rPr>
          <w:rFonts w:hint="eastAsia"/>
          <w:bCs/>
          <w:color w:val="000000" w:themeColor="text1"/>
          <w:highlight w:val="none"/>
          <w14:textFill>
            <w14:solidFill>
              <w14:schemeClr w14:val="tx1"/>
            </w14:solidFill>
          </w14:textFill>
        </w:rPr>
        <w:t>划为禁止建设区，优先布置林地、园地或生态价值高的用地类型，</w:t>
      </w:r>
      <w:r>
        <w:rPr>
          <w:bCs/>
          <w:color w:val="000000" w:themeColor="text1"/>
          <w:highlight w:val="none"/>
          <w14:textFill>
            <w14:solidFill>
              <w14:schemeClr w14:val="tx1"/>
            </w14:solidFill>
          </w14:textFill>
        </w:rPr>
        <w:t>把</w:t>
      </w:r>
      <w:r>
        <w:rPr>
          <w:rFonts w:hint="eastAsia"/>
          <w:bCs/>
          <w:color w:val="000000" w:themeColor="text1"/>
          <w:highlight w:val="none"/>
          <w14:textFill>
            <w14:solidFill>
              <w14:schemeClr w14:val="tx1"/>
            </w14:solidFill>
          </w14:textFill>
        </w:rPr>
        <w:t>兴宁市</w:t>
      </w:r>
      <w:r>
        <w:rPr>
          <w:bCs/>
          <w:color w:val="000000" w:themeColor="text1"/>
          <w:highlight w:val="none"/>
          <w14:textFill>
            <w14:solidFill>
              <w14:schemeClr w14:val="tx1"/>
            </w14:solidFill>
          </w14:textFill>
        </w:rPr>
        <w:t>建设成生态环境与社会经济可持续发展的生态经济体系</w:t>
      </w:r>
      <w:r>
        <w:rPr>
          <w:rFonts w:hint="eastAsia"/>
          <w:bCs/>
          <w:color w:val="000000" w:themeColor="text1"/>
          <w:highlight w:val="none"/>
          <w14:textFill>
            <w14:solidFill>
              <w14:schemeClr w14:val="tx1"/>
            </w14:solidFill>
          </w14:textFill>
        </w:rPr>
        <w:t>。</w:t>
      </w:r>
    </w:p>
    <w:p>
      <w:pPr>
        <w:pStyle w:val="3"/>
        <w:spacing w:before="156" w:after="156"/>
        <w:rPr>
          <w:color w:val="000000" w:themeColor="text1"/>
          <w:highlight w:val="none"/>
          <w14:textFill>
            <w14:solidFill>
              <w14:schemeClr w14:val="tx1"/>
            </w14:solidFill>
          </w14:textFill>
        </w:rPr>
      </w:pPr>
      <w:bookmarkStart w:id="59" w:name="_Toc453096716"/>
      <w:bookmarkStart w:id="60" w:name="_Toc459110750"/>
      <w:bookmarkStart w:id="61" w:name="_Toc12745"/>
      <w:bookmarkStart w:id="62" w:name="_Toc19033"/>
      <w:r>
        <w:rPr>
          <w:color w:val="000000" w:themeColor="text1"/>
          <w:highlight w:val="none"/>
          <w14:textFill>
            <w14:solidFill>
              <w14:schemeClr w14:val="tx1"/>
            </w14:solidFill>
          </w14:textFill>
        </w:rPr>
        <w:t>与土地利用规划协调性分析</w:t>
      </w:r>
      <w:bookmarkEnd w:id="59"/>
      <w:bookmarkEnd w:id="60"/>
      <w:bookmarkEnd w:id="61"/>
      <w:bookmarkEnd w:id="62"/>
    </w:p>
    <w:p>
      <w:pPr>
        <w:rPr>
          <w:color w:val="000000" w:themeColor="text1"/>
          <w:szCs w:val="28"/>
          <w:highlight w:val="none"/>
          <w14:textFill>
            <w14:solidFill>
              <w14:schemeClr w14:val="tx1"/>
            </w14:solidFill>
          </w14:textFill>
        </w:rPr>
      </w:pPr>
      <w:r>
        <w:rPr>
          <w:bCs/>
          <w:color w:val="000000" w:themeColor="text1"/>
          <w:highlight w:val="none"/>
          <w14:textFill>
            <w14:solidFill>
              <w14:schemeClr w14:val="tx1"/>
            </w14:solidFill>
          </w14:textFill>
        </w:rPr>
        <w:t>土地利用类型可大致分为</w:t>
      </w:r>
      <w:r>
        <w:rPr>
          <w:rFonts w:hint="eastAsia"/>
          <w:bCs/>
          <w:color w:val="000000" w:themeColor="text1"/>
          <w:highlight w:val="none"/>
          <w:lang w:eastAsia="zh-CN"/>
          <w14:textFill>
            <w14:solidFill>
              <w14:schemeClr w14:val="tx1"/>
            </w14:solidFill>
          </w14:textFill>
        </w:rPr>
        <w:t>农用地</w:t>
      </w:r>
      <w:r>
        <w:rPr>
          <w:rFonts w:hint="eastAsia"/>
          <w:bCs/>
          <w:color w:val="000000" w:themeColor="text1"/>
          <w:highlight w:val="none"/>
          <w14:textFill>
            <w14:solidFill>
              <w14:schemeClr w14:val="tx1"/>
            </w14:solidFill>
          </w14:textFill>
        </w:rPr>
        <w:t>、</w:t>
      </w:r>
      <w:r>
        <w:rPr>
          <w:rFonts w:hint="eastAsia"/>
          <w:bCs/>
          <w:color w:val="000000" w:themeColor="text1"/>
          <w:highlight w:val="none"/>
          <w:lang w:eastAsia="zh-CN"/>
          <w14:textFill>
            <w14:solidFill>
              <w14:schemeClr w14:val="tx1"/>
            </w14:solidFill>
          </w14:textFill>
        </w:rPr>
        <w:t>建设用地</w:t>
      </w:r>
      <w:r>
        <w:rPr>
          <w:rFonts w:hint="eastAsia"/>
          <w:bCs/>
          <w:color w:val="000000" w:themeColor="text1"/>
          <w:highlight w:val="none"/>
          <w14:textFill>
            <w14:solidFill>
              <w14:schemeClr w14:val="tx1"/>
            </w14:solidFill>
          </w14:textFill>
        </w:rPr>
        <w:t>、</w:t>
      </w:r>
      <w:r>
        <w:rPr>
          <w:rFonts w:hint="eastAsia"/>
          <w:bCs/>
          <w:color w:val="000000" w:themeColor="text1"/>
          <w:highlight w:val="none"/>
          <w:lang w:eastAsia="zh-CN"/>
          <w14:textFill>
            <w14:solidFill>
              <w14:schemeClr w14:val="tx1"/>
            </w14:solidFill>
          </w14:textFill>
        </w:rPr>
        <w:t>未利用</w:t>
      </w:r>
      <w:r>
        <w:rPr>
          <w:rFonts w:hint="eastAsia"/>
          <w:bCs/>
          <w:color w:val="000000" w:themeColor="text1"/>
          <w:highlight w:val="none"/>
          <w14:textFill>
            <w14:solidFill>
              <w14:schemeClr w14:val="tx1"/>
            </w14:solidFill>
          </w14:textFill>
        </w:rPr>
        <w:t>地</w:t>
      </w:r>
      <w:r>
        <w:rPr>
          <w:rFonts w:hint="eastAsia"/>
          <w:bCs/>
          <w:color w:val="000000" w:themeColor="text1"/>
          <w:highlight w:val="none"/>
          <w:lang w:eastAsia="zh-CN"/>
          <w14:textFill>
            <w14:solidFill>
              <w14:schemeClr w14:val="tx1"/>
            </w14:solidFill>
          </w14:textFill>
        </w:rPr>
        <w:t>三类</w:t>
      </w:r>
      <w:r>
        <w:rPr>
          <w:rFonts w:hint="eastAsia"/>
          <w:bCs/>
          <w:color w:val="000000" w:themeColor="text1"/>
          <w:highlight w:val="none"/>
          <w14:textFill>
            <w14:solidFill>
              <w14:schemeClr w14:val="tx1"/>
            </w14:solidFill>
          </w14:textFill>
        </w:rPr>
        <w:t>。兴宁市</w:t>
      </w:r>
      <w:r>
        <w:rPr>
          <w:bCs/>
          <w:color w:val="000000" w:themeColor="text1"/>
          <w:highlight w:val="none"/>
          <w14:textFill>
            <w14:solidFill>
              <w14:schemeClr w14:val="tx1"/>
            </w14:solidFill>
          </w14:textFill>
        </w:rPr>
        <w:t>的主要土地利用类型为自然用</w:t>
      </w:r>
      <w:r>
        <w:rPr>
          <w:rFonts w:hint="eastAsia"/>
          <w:bCs/>
          <w:color w:val="000000" w:themeColor="text1"/>
          <w:highlight w:val="none"/>
          <w:lang w:eastAsia="zh-CN"/>
          <w14:textFill>
            <w14:solidFill>
              <w14:schemeClr w14:val="tx1"/>
            </w14:solidFill>
          </w14:textFill>
        </w:rPr>
        <w:t>地</w:t>
      </w:r>
      <w:r>
        <w:rPr>
          <w:bCs/>
          <w:color w:val="000000" w:themeColor="text1"/>
          <w:highlight w:val="none"/>
          <w14:textFill>
            <w14:solidFill>
              <w14:schemeClr w14:val="tx1"/>
            </w14:solidFill>
          </w14:textFill>
        </w:rPr>
        <w:t>当中的农用地和社会用地当中的建设用地</w:t>
      </w:r>
      <w:r>
        <w:rPr>
          <w:rFonts w:hint="eastAsia"/>
          <w:bCs/>
          <w:color w:val="000000" w:themeColor="text1"/>
          <w:highlight w:val="none"/>
          <w14:textFill>
            <w14:solidFill>
              <w14:schemeClr w14:val="tx1"/>
            </w14:solidFill>
          </w14:textFill>
        </w:rPr>
        <w:t>，</w:t>
      </w:r>
      <w:r>
        <w:rPr>
          <w:bCs/>
          <w:color w:val="000000" w:themeColor="text1"/>
          <w:highlight w:val="none"/>
          <w14:textFill>
            <w14:solidFill>
              <w14:schemeClr w14:val="tx1"/>
            </w14:solidFill>
          </w14:textFill>
        </w:rPr>
        <w:t>根据</w:t>
      </w:r>
      <w:r>
        <w:rPr>
          <w:rFonts w:hint="eastAsia"/>
          <w:bCs/>
          <w:color w:val="000000" w:themeColor="text1"/>
          <w:highlight w:val="none"/>
          <w14:textFill>
            <w14:solidFill>
              <w14:schemeClr w14:val="tx1"/>
            </w14:solidFill>
          </w14:textFill>
        </w:rPr>
        <w:t>《兴宁市</w:t>
      </w:r>
      <w:r>
        <w:rPr>
          <w:bCs/>
          <w:color w:val="000000" w:themeColor="text1"/>
          <w:highlight w:val="none"/>
          <w14:textFill>
            <w14:solidFill>
              <w14:schemeClr w14:val="tx1"/>
            </w14:solidFill>
          </w14:textFill>
        </w:rPr>
        <w:t>土地利用总体规划</w:t>
      </w:r>
      <w:r>
        <w:rPr>
          <w:rFonts w:hint="eastAsia"/>
          <w:bCs/>
          <w:color w:val="000000" w:themeColor="text1"/>
          <w:highlight w:val="none"/>
          <w14:textFill>
            <w14:solidFill>
              <w14:schemeClr w14:val="tx1"/>
            </w14:solidFill>
          </w14:textFill>
        </w:rPr>
        <w:t>（2010-</w:t>
      </w:r>
      <w:r>
        <w:rPr>
          <w:bCs/>
          <w:color w:val="000000" w:themeColor="text1"/>
          <w:highlight w:val="none"/>
          <w14:textFill>
            <w14:solidFill>
              <w14:schemeClr w14:val="tx1"/>
            </w14:solidFill>
          </w14:textFill>
        </w:rPr>
        <w:t>2020年</w:t>
      </w:r>
      <w:r>
        <w:rPr>
          <w:rFonts w:hint="eastAsia"/>
          <w:bCs/>
          <w:color w:val="000000" w:themeColor="text1"/>
          <w:highlight w:val="none"/>
          <w14:textFill>
            <w14:solidFill>
              <w14:schemeClr w14:val="tx1"/>
            </w14:solidFill>
          </w14:textFill>
        </w:rPr>
        <w:t>）》，随着兴宁市承接珠三角经济区劳动密集型产业转移的推进，建设用地需求持续增加，交通水利等基础设施建设均将占用部分耕地，人地矛盾日渐突出，耕地保护的难度将持续增大。兴宁市人民政府制定了至2020年兴宁市土地利用状况</w:t>
      </w:r>
      <w:r>
        <w:rPr>
          <w:rFonts w:hint="eastAsia"/>
          <w:color w:val="000000" w:themeColor="text1"/>
          <w:szCs w:val="28"/>
          <w:highlight w:val="none"/>
          <w14:textFill>
            <w14:solidFill>
              <w14:schemeClr w14:val="tx1"/>
            </w14:solidFill>
          </w14:textFill>
        </w:rPr>
        <w:t>。</w:t>
      </w:r>
    </w:p>
    <w:p>
      <w:pPr>
        <w:rPr>
          <w:bCs/>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随着粤北地区实现跨越大发展战略的实施，未来一段时间，将是兴宁市城镇化、工业化加快推进的过程，一方面工业和城市化进程，有助于提高兴宁市土地利用效益，提升单位土地面积的产出；但是，另一方面，城镇化、工业化水平的提高以及交通、水利、能源等基础设施建设力度的加大，全市建设用地的需求量必将持续增加，建设占用耕地不可避免，根据《广东省兴宁市土地利用总体规划（</w:t>
      </w:r>
      <w:r>
        <w:rPr>
          <w:color w:val="000000" w:themeColor="text1"/>
          <w:highlight w:val="none"/>
          <w14:textFill>
            <w14:solidFill>
              <w14:schemeClr w14:val="tx1"/>
            </w14:solidFill>
          </w14:textFill>
        </w:rPr>
        <w:t>2010-2020</w:t>
      </w:r>
      <w:r>
        <w:rPr>
          <w:rFonts w:hint="eastAsia"/>
          <w:color w:val="000000" w:themeColor="text1"/>
          <w:highlight w:val="none"/>
          <w14:textFill>
            <w14:solidFill>
              <w14:schemeClr w14:val="tx1"/>
            </w14:solidFill>
          </w14:textFill>
        </w:rPr>
        <w:t>年）》，规划到</w:t>
      </w:r>
      <w:r>
        <w:rPr>
          <w:color w:val="000000" w:themeColor="text1"/>
          <w:highlight w:val="none"/>
          <w14:textFill>
            <w14:solidFill>
              <w14:schemeClr w14:val="tx1"/>
            </w14:solidFill>
          </w14:textFill>
        </w:rPr>
        <w:t>2020</w:t>
      </w:r>
      <w:r>
        <w:rPr>
          <w:rFonts w:hint="eastAsia"/>
          <w:color w:val="000000" w:themeColor="text1"/>
          <w:highlight w:val="none"/>
          <w14:textFill>
            <w14:solidFill>
              <w14:schemeClr w14:val="tx1"/>
            </w14:solidFill>
          </w14:textFill>
        </w:rPr>
        <w:t>年，新增建设用地规模</w:t>
      </w:r>
      <w:r>
        <w:rPr>
          <w:color w:val="000000" w:themeColor="text1"/>
          <w:highlight w:val="none"/>
          <w14:textFill>
            <w14:solidFill>
              <w14:schemeClr w14:val="tx1"/>
            </w14:solidFill>
          </w14:textFill>
        </w:rPr>
        <w:t>3661</w:t>
      </w:r>
      <w:r>
        <w:rPr>
          <w:rFonts w:hint="eastAsia"/>
          <w:color w:val="000000" w:themeColor="text1"/>
          <w:highlight w:val="none"/>
          <w14:textFill>
            <w14:solidFill>
              <w14:schemeClr w14:val="tx1"/>
            </w14:solidFill>
          </w14:textFill>
        </w:rPr>
        <w:t>公顷，建设占用农用地不超过</w:t>
      </w:r>
      <w:r>
        <w:rPr>
          <w:color w:val="000000" w:themeColor="text1"/>
          <w:highlight w:val="none"/>
          <w14:textFill>
            <w14:solidFill>
              <w14:schemeClr w14:val="tx1"/>
            </w14:solidFill>
          </w14:textFill>
        </w:rPr>
        <w:t>2816</w:t>
      </w:r>
      <w:r>
        <w:rPr>
          <w:rFonts w:hint="eastAsia"/>
          <w:color w:val="000000" w:themeColor="text1"/>
          <w:highlight w:val="none"/>
          <w14:textFill>
            <w14:solidFill>
              <w14:schemeClr w14:val="tx1"/>
            </w14:solidFill>
          </w14:textFill>
        </w:rPr>
        <w:t>公顷。同时，加上人口的不断增长，人地矛盾将逐步显现，土地供给压力开始加大。与此同时，为了保障粮食安全，必须严格保护耕地，加大耕地的开发补充力度，实现耕地占补平衡，这些土地开发利用的行为必将造成基础生态用地数量减少。当前兴宁市正在实施“绿色崛起”战略，因此如何在发展的同时，保护好生存环境，协调好土地利用与生态环境保护的关系将变得艰巨，统筹保护与发展的难度加大。</w:t>
      </w:r>
    </w:p>
    <w:p>
      <w:pPr>
        <w:pStyle w:val="3"/>
        <w:spacing w:before="156" w:after="156"/>
        <w:rPr>
          <w:color w:val="000000" w:themeColor="text1"/>
          <w:highlight w:val="none"/>
          <w14:textFill>
            <w14:solidFill>
              <w14:schemeClr w14:val="tx1"/>
            </w14:solidFill>
          </w14:textFill>
        </w:rPr>
      </w:pPr>
      <w:bookmarkStart w:id="63" w:name="_Toc26841"/>
      <w:bookmarkStart w:id="64" w:name="_Toc459110751"/>
      <w:bookmarkStart w:id="65" w:name="_Toc453096717"/>
      <w:bookmarkStart w:id="66" w:name="_Toc12235"/>
      <w:r>
        <w:rPr>
          <w:color w:val="000000" w:themeColor="text1"/>
          <w:highlight w:val="none"/>
          <w14:textFill>
            <w14:solidFill>
              <w14:schemeClr w14:val="tx1"/>
            </w14:solidFill>
          </w14:textFill>
        </w:rPr>
        <w:t>与</w:t>
      </w:r>
      <w:r>
        <w:rPr>
          <w:rFonts w:hint="eastAsia"/>
          <w:color w:val="000000" w:themeColor="text1"/>
          <w:highlight w:val="none"/>
          <w14:textFill>
            <w14:solidFill>
              <w14:schemeClr w14:val="tx1"/>
            </w14:solidFill>
          </w14:textFill>
        </w:rPr>
        <w:t>城市总体</w:t>
      </w:r>
      <w:r>
        <w:rPr>
          <w:color w:val="000000" w:themeColor="text1"/>
          <w:highlight w:val="none"/>
          <w14:textFill>
            <w14:solidFill>
              <w14:schemeClr w14:val="tx1"/>
            </w14:solidFill>
          </w14:textFill>
        </w:rPr>
        <w:t>规划协调性分析</w:t>
      </w:r>
      <w:bookmarkEnd w:id="63"/>
      <w:bookmarkEnd w:id="64"/>
      <w:bookmarkEnd w:id="65"/>
      <w:bookmarkEnd w:id="66"/>
    </w:p>
    <w:p>
      <w:pPr>
        <w:rPr>
          <w:bCs/>
          <w:color w:val="000000" w:themeColor="text1"/>
          <w:highlight w:val="none"/>
          <w14:textFill>
            <w14:solidFill>
              <w14:schemeClr w14:val="tx1"/>
            </w14:solidFill>
          </w14:textFill>
        </w:rPr>
      </w:pPr>
      <w:r>
        <w:rPr>
          <w:bCs/>
          <w:color w:val="000000" w:themeColor="text1"/>
          <w:highlight w:val="none"/>
          <w14:textFill>
            <w14:solidFill>
              <w14:schemeClr w14:val="tx1"/>
            </w14:solidFill>
          </w14:textFill>
        </w:rPr>
        <w:t>城市总体规划主要包括城市用地功能分区</w:t>
      </w:r>
      <w:r>
        <w:rPr>
          <w:rFonts w:hint="eastAsia"/>
          <w:bCs/>
          <w:color w:val="000000" w:themeColor="text1"/>
          <w:highlight w:val="none"/>
          <w14:textFill>
            <w14:solidFill>
              <w14:schemeClr w14:val="tx1"/>
            </w14:solidFill>
          </w14:textFill>
        </w:rPr>
        <w:t>、道路与交通运输等公共服务规划、建设规划与布点等，是城市建设与管理的依据。</w:t>
      </w:r>
    </w:p>
    <w:p>
      <w:pPr>
        <w:rPr>
          <w:bCs/>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城市总体</w:t>
      </w:r>
      <w:r>
        <w:rPr>
          <w:color w:val="000000" w:themeColor="text1"/>
          <w:highlight w:val="none"/>
          <w14:textFill>
            <w14:solidFill>
              <w14:schemeClr w14:val="tx1"/>
            </w14:solidFill>
          </w14:textFill>
        </w:rPr>
        <w:t>规划</w:t>
      </w:r>
      <w:r>
        <w:rPr>
          <w:rFonts w:hint="eastAsia"/>
          <w:bCs/>
          <w:color w:val="000000" w:themeColor="text1"/>
          <w:highlight w:val="none"/>
          <w14:textFill>
            <w14:solidFill>
              <w14:schemeClr w14:val="tx1"/>
            </w14:solidFill>
          </w14:textFill>
        </w:rPr>
        <w:t>形成“一城三区四带”的空间结构：</w:t>
      </w:r>
    </w:p>
    <w:p>
      <w:pP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1．“一城”：即以中心城区为中心的城市生产生活服务核心。</w:t>
      </w:r>
    </w:p>
    <w:p>
      <w:pP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2．“三区”：即北部生态发展区、中部综合发展区、东南部特色发展区。</w:t>
      </w:r>
    </w:p>
    <w:p>
      <w:pP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3．“四带”：即城市综合发展带、城市特色产业发展带及两条城市生态发展带。</w:t>
      </w:r>
    </w:p>
    <w:p>
      <w:pPr>
        <w:rPr>
          <w:bCs/>
          <w:color w:val="000000" w:themeColor="text1"/>
          <w:highlight w:val="none"/>
          <w14:textFill>
            <w14:solidFill>
              <w14:schemeClr w14:val="tx1"/>
            </w14:solidFill>
          </w14:textFill>
        </w:rPr>
      </w:pPr>
      <w:r>
        <w:rPr>
          <w:rFonts w:hint="eastAsia" w:hAnsi="Arial"/>
          <w:color w:val="000000" w:themeColor="text1"/>
          <w:highlight w:val="none"/>
          <w14:textFill>
            <w14:solidFill>
              <w14:schemeClr w14:val="tx1"/>
            </w14:solidFill>
          </w14:textFill>
        </w:rPr>
        <w:t>兴宁市致力于建立均等化的城乡公共服务体系。</w:t>
      </w:r>
      <w:r>
        <w:rPr>
          <w:rFonts w:hint="eastAsia"/>
          <w:bCs/>
          <w:color w:val="000000" w:themeColor="text1"/>
          <w:highlight w:val="none"/>
          <w14:textFill>
            <w14:solidFill>
              <w14:schemeClr w14:val="tx1"/>
            </w14:solidFill>
          </w14:textFill>
        </w:rPr>
        <w:t>城市总体规划中各项内容将在生态严控区沿线建设，与</w:t>
      </w:r>
      <w:r>
        <w:rPr>
          <w:rFonts w:hint="eastAsia"/>
          <w:color w:val="000000" w:themeColor="text1"/>
          <w:highlight w:val="none"/>
          <w14:textFill>
            <w14:solidFill>
              <w14:schemeClr w14:val="tx1"/>
            </w14:solidFill>
          </w14:textFill>
        </w:rPr>
        <w:t>兴宁市畜禽养殖区域划分</w:t>
      </w:r>
      <w:r>
        <w:rPr>
          <w:rFonts w:hint="eastAsia"/>
          <w:bCs/>
          <w:color w:val="000000" w:themeColor="text1"/>
          <w:highlight w:val="none"/>
          <w14:textFill>
            <w14:solidFill>
              <w14:schemeClr w14:val="tx1"/>
            </w14:solidFill>
          </w14:textFill>
        </w:rPr>
        <w:t>相得益彰，实现人与自然的和谐发展。</w:t>
      </w:r>
    </w:p>
    <w:p>
      <w:pPr>
        <w:pStyle w:val="3"/>
        <w:spacing w:before="156" w:after="156"/>
        <w:rPr>
          <w:color w:val="000000" w:themeColor="text1"/>
          <w:highlight w:val="none"/>
          <w14:textFill>
            <w14:solidFill>
              <w14:schemeClr w14:val="tx1"/>
            </w14:solidFill>
          </w14:textFill>
        </w:rPr>
      </w:pPr>
      <w:bookmarkStart w:id="67" w:name="_Toc7106"/>
      <w:bookmarkStart w:id="68" w:name="_Toc459110752"/>
      <w:bookmarkStart w:id="69" w:name="_Toc3936"/>
      <w:bookmarkStart w:id="70" w:name="_Toc453096718"/>
      <w:r>
        <w:rPr>
          <w:color w:val="000000" w:themeColor="text1"/>
          <w:highlight w:val="none"/>
          <w14:textFill>
            <w14:solidFill>
              <w14:schemeClr w14:val="tx1"/>
            </w14:solidFill>
          </w14:textFill>
        </w:rPr>
        <w:t>与</w:t>
      </w:r>
      <w:r>
        <w:rPr>
          <w:rFonts w:hint="eastAsia"/>
          <w:color w:val="000000" w:themeColor="text1"/>
          <w:highlight w:val="none"/>
          <w14:textFill>
            <w14:solidFill>
              <w14:schemeClr w14:val="tx1"/>
            </w14:solidFill>
          </w14:textFill>
        </w:rPr>
        <w:t>林地保护</w:t>
      </w:r>
      <w:r>
        <w:rPr>
          <w:color w:val="000000" w:themeColor="text1"/>
          <w:highlight w:val="none"/>
          <w14:textFill>
            <w14:solidFill>
              <w14:schemeClr w14:val="tx1"/>
            </w14:solidFill>
          </w14:textFill>
        </w:rPr>
        <w:t>规划协调性分析</w:t>
      </w:r>
      <w:bookmarkEnd w:id="67"/>
      <w:bookmarkEnd w:id="68"/>
      <w:bookmarkEnd w:id="69"/>
      <w:bookmarkEnd w:id="70"/>
    </w:p>
    <w:p>
      <w:pPr>
        <w:rPr>
          <w:rFonts w:hAnsi="Arial"/>
          <w:color w:val="000000" w:themeColor="text1"/>
          <w:highlight w:val="none"/>
          <w14:textFill>
            <w14:solidFill>
              <w14:schemeClr w14:val="tx1"/>
            </w14:solidFill>
          </w14:textFill>
        </w:rPr>
      </w:pPr>
      <w:r>
        <w:rPr>
          <w:rFonts w:hint="eastAsia" w:hAnsi="Arial"/>
          <w:color w:val="000000" w:themeColor="text1"/>
          <w:highlight w:val="none"/>
          <w14:textFill>
            <w14:solidFill>
              <w14:schemeClr w14:val="tx1"/>
            </w14:solidFill>
          </w14:textFill>
        </w:rPr>
        <w:t>林地保护规划主要包括林地保护利用现状、林地保护与管理途径和规划实施保障体系等。</w:t>
      </w:r>
    </w:p>
    <w:p>
      <w:pPr>
        <w:rPr>
          <w:rFonts w:hAnsi="Arial"/>
          <w:color w:val="000000" w:themeColor="text1"/>
          <w:highlight w:val="none"/>
          <w14:textFill>
            <w14:solidFill>
              <w14:schemeClr w14:val="tx1"/>
            </w14:solidFill>
          </w14:textFill>
        </w:rPr>
      </w:pPr>
      <w:r>
        <w:rPr>
          <w:rFonts w:hint="eastAsia" w:hAnsi="Arial"/>
          <w:color w:val="000000" w:themeColor="text1"/>
          <w:highlight w:val="none"/>
          <w14:textFill>
            <w14:solidFill>
              <w14:schemeClr w14:val="tx1"/>
            </w14:solidFill>
          </w14:textFill>
        </w:rPr>
        <w:t>综合考虑生态功能、生态控制要求、市域城乡开发边界等要求以及地方发展诉求，兴宁市划定生态控制线范围为1508.70平方公里，占市域总面积的72.69%，其中一级管制区651.46平方公里，二级管制区857.24平方公里；建设及发展用地566.69平方公里，占市域总面积的27.31%，其中城镇建设用地191.38平方公里，生态缓冲区用地375.31平方公里。</w:t>
      </w:r>
    </w:p>
    <w:p>
      <w:pPr>
        <w:rPr>
          <w:rFonts w:hAnsi="Arial"/>
          <w:color w:val="000000" w:themeColor="text1"/>
          <w:highlight w:val="none"/>
          <w14:textFill>
            <w14:solidFill>
              <w14:schemeClr w14:val="tx1"/>
            </w14:solidFill>
          </w14:textFill>
        </w:rPr>
      </w:pPr>
      <w:r>
        <w:rPr>
          <w:rFonts w:hint="eastAsia" w:hAnsi="Arial"/>
          <w:color w:val="000000" w:themeColor="text1"/>
          <w:highlight w:val="none"/>
          <w14:textFill>
            <w14:solidFill>
              <w14:schemeClr w14:val="tx1"/>
            </w14:solidFill>
          </w14:textFill>
        </w:rPr>
        <w:t>兴宁市</w:t>
      </w:r>
      <w:r>
        <w:rPr>
          <w:rFonts w:hAnsi="Arial"/>
          <w:color w:val="000000" w:themeColor="text1"/>
          <w:highlight w:val="none"/>
          <w14:textFill>
            <w14:solidFill>
              <w14:schemeClr w14:val="tx1"/>
            </w14:solidFill>
          </w14:textFill>
        </w:rPr>
        <w:t>坚持</w:t>
      </w:r>
      <w:r>
        <w:rPr>
          <w:rFonts w:hint="eastAsia" w:hAnsi="Arial"/>
          <w:color w:val="000000" w:themeColor="text1"/>
          <w:highlight w:val="none"/>
          <w14:textFill>
            <w14:solidFill>
              <w14:schemeClr w14:val="tx1"/>
            </w14:solidFill>
          </w14:textFill>
        </w:rPr>
        <w:t>以统一规划、合理布局；以“封、造、育”为重点；突出重点、分区突破；资源保护与开发利用相协调的原则对林业进行生态建设。加大生态公益林体系建设与水源涵养林建设，打通城乡生态绿化建设，落实林区管理，保障生态严控区用地。对促进生活与经济社会发展的林地与湿地或生态敏感地带划入重点保护生态红线范围，实现经济建设与环境保护相协调、人与自然相和谐。林区保护规划范围与</w:t>
      </w:r>
      <w:r>
        <w:rPr>
          <w:rFonts w:hint="eastAsia"/>
          <w:color w:val="000000" w:themeColor="text1"/>
          <w:highlight w:val="none"/>
          <w14:textFill>
            <w14:solidFill>
              <w14:schemeClr w14:val="tx1"/>
            </w14:solidFill>
          </w14:textFill>
        </w:rPr>
        <w:t>兴宁市畜禽养殖区域</w:t>
      </w:r>
      <w:r>
        <w:rPr>
          <w:rFonts w:hint="eastAsia" w:hAnsi="Arial"/>
          <w:color w:val="000000" w:themeColor="text1"/>
          <w:highlight w:val="none"/>
          <w14:textFill>
            <w14:solidFill>
              <w14:schemeClr w14:val="tx1"/>
            </w14:solidFill>
          </w14:textFill>
        </w:rPr>
        <w:t>范围相符，与</w:t>
      </w:r>
      <w:r>
        <w:rPr>
          <w:rFonts w:hint="eastAsia"/>
          <w:color w:val="000000" w:themeColor="text1"/>
          <w:highlight w:val="none"/>
          <w14:textFill>
            <w14:solidFill>
              <w14:schemeClr w14:val="tx1"/>
            </w14:solidFill>
          </w14:textFill>
        </w:rPr>
        <w:t>兴宁市畜禽养殖区域划分</w:t>
      </w:r>
      <w:r>
        <w:rPr>
          <w:rFonts w:hint="eastAsia" w:hAnsi="Arial"/>
          <w:color w:val="000000" w:themeColor="text1"/>
          <w:highlight w:val="none"/>
          <w14:textFill>
            <w14:solidFill>
              <w14:schemeClr w14:val="tx1"/>
            </w14:solidFill>
          </w14:textFill>
        </w:rPr>
        <w:t>相协调。</w:t>
      </w:r>
    </w:p>
    <w:p>
      <w:pPr>
        <w:pStyle w:val="3"/>
        <w:spacing w:before="156" w:after="156"/>
        <w:rPr>
          <w:color w:val="000000" w:themeColor="text1"/>
          <w:highlight w:val="none"/>
          <w14:textFill>
            <w14:solidFill>
              <w14:schemeClr w14:val="tx1"/>
            </w14:solidFill>
          </w14:textFill>
        </w:rPr>
      </w:pPr>
      <w:bookmarkStart w:id="71" w:name="_Toc459110753"/>
      <w:bookmarkStart w:id="72" w:name="_Toc453096719"/>
      <w:bookmarkStart w:id="73" w:name="_Toc25044"/>
      <w:bookmarkStart w:id="74" w:name="_Toc13733"/>
      <w:r>
        <w:rPr>
          <w:color w:val="000000" w:themeColor="text1"/>
          <w:highlight w:val="none"/>
          <w14:textFill>
            <w14:solidFill>
              <w14:schemeClr w14:val="tx1"/>
            </w14:solidFill>
          </w14:textFill>
        </w:rPr>
        <w:t>与</w:t>
      </w:r>
      <w:r>
        <w:rPr>
          <w:rFonts w:hint="eastAsia"/>
          <w:color w:val="000000" w:themeColor="text1"/>
          <w:highlight w:val="none"/>
          <w14:textFill>
            <w14:solidFill>
              <w14:schemeClr w14:val="tx1"/>
            </w14:solidFill>
          </w14:textFill>
        </w:rPr>
        <w:t>经济社会发展</w:t>
      </w:r>
      <w:r>
        <w:rPr>
          <w:color w:val="000000" w:themeColor="text1"/>
          <w:highlight w:val="none"/>
          <w14:textFill>
            <w14:solidFill>
              <w14:schemeClr w14:val="tx1"/>
            </w14:solidFill>
          </w14:textFill>
        </w:rPr>
        <w:t>规划协调性分析</w:t>
      </w:r>
      <w:bookmarkEnd w:id="71"/>
      <w:bookmarkEnd w:id="72"/>
      <w:bookmarkEnd w:id="73"/>
      <w:bookmarkEnd w:id="74"/>
    </w:p>
    <w:p>
      <w:pPr>
        <w:rPr>
          <w:color w:val="000000" w:themeColor="text1"/>
          <w:highlight w:val="none"/>
          <w14:textFill>
            <w14:solidFill>
              <w14:schemeClr w14:val="tx1"/>
            </w14:solidFill>
          </w14:textFill>
        </w:rPr>
        <w:sectPr>
          <w:pgSz w:w="11906" w:h="16838"/>
          <w:pgMar w:top="1418" w:right="1418" w:bottom="1418" w:left="1418" w:header="851" w:footer="992" w:gutter="0"/>
          <w:cols w:space="425" w:num="1"/>
          <w:docGrid w:type="lines" w:linePitch="312" w:charSpace="0"/>
        </w:sectPr>
      </w:pPr>
      <w:r>
        <w:rPr>
          <w:rFonts w:hint="eastAsia"/>
          <w:bCs/>
          <w:color w:val="000000" w:themeColor="text1"/>
          <w:highlight w:val="none"/>
          <w14:textFill>
            <w14:solidFill>
              <w14:schemeClr w14:val="tx1"/>
            </w14:solidFill>
          </w14:textFill>
        </w:rPr>
        <w:t>以上谈及到的上述五种规划都是为了</w:t>
      </w:r>
      <w:r>
        <w:rPr>
          <w:rFonts w:hint="eastAsia"/>
          <w:color w:val="000000" w:themeColor="text1"/>
          <w:highlight w:val="none"/>
          <w14:textFill>
            <w14:solidFill>
              <w14:schemeClr w14:val="tx1"/>
            </w14:solidFill>
          </w14:textFill>
        </w:rPr>
        <w:t>兴宁市畜禽养殖区域划分</w:t>
      </w:r>
      <w:r>
        <w:rPr>
          <w:rFonts w:hint="eastAsia"/>
          <w:bCs/>
          <w:color w:val="000000" w:themeColor="text1"/>
          <w:highlight w:val="none"/>
          <w14:textFill>
            <w14:solidFill>
              <w14:schemeClr w14:val="tx1"/>
            </w14:solidFill>
          </w14:textFill>
        </w:rPr>
        <w:t>优化调整提供基础性工作，也是给兴宁市促进经济社会可持续发展提供科学依据。进行</w:t>
      </w:r>
      <w:r>
        <w:rPr>
          <w:rFonts w:hint="eastAsia"/>
          <w:color w:val="000000" w:themeColor="text1"/>
          <w:highlight w:val="none"/>
          <w14:textFill>
            <w14:solidFill>
              <w14:schemeClr w14:val="tx1"/>
            </w14:solidFill>
          </w14:textFill>
        </w:rPr>
        <w:t>兴宁市畜禽养殖区域划分</w:t>
      </w:r>
      <w:r>
        <w:rPr>
          <w:rFonts w:hint="eastAsia"/>
          <w:bCs/>
          <w:color w:val="000000" w:themeColor="text1"/>
          <w:highlight w:val="none"/>
          <w14:textFill>
            <w14:solidFill>
              <w14:schemeClr w14:val="tx1"/>
            </w14:solidFill>
          </w14:textFill>
        </w:rPr>
        <w:t>优化调整可以从源头上和根本上根据区域资源环境承载能力对兴宁市进行区域开发和空间管制，扭转生态恶化的趋势，转变经济增长方式，对统筹人与自然和谐发展具有重要意义和深远影响。</w:t>
      </w:r>
    </w:p>
    <w:p>
      <w:pPr>
        <w:pStyle w:val="2"/>
        <w:rPr>
          <w:color w:val="000000" w:themeColor="text1"/>
          <w:highlight w:val="none"/>
          <w14:textFill>
            <w14:solidFill>
              <w14:schemeClr w14:val="tx1"/>
            </w14:solidFill>
          </w14:textFill>
        </w:rPr>
      </w:pPr>
      <w:bookmarkStart w:id="75" w:name="_Toc32239"/>
      <w:r>
        <w:rPr>
          <w:rFonts w:hint="eastAsia"/>
          <w:color w:val="000000" w:themeColor="text1"/>
          <w:highlight w:val="none"/>
          <w14:textFill>
            <w14:solidFill>
              <w14:schemeClr w14:val="tx1"/>
            </w14:solidFill>
          </w14:textFill>
        </w:rPr>
        <w:t>管理要求</w:t>
      </w:r>
      <w:bookmarkEnd w:id="75"/>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在本划分方案的过程中，应执行以下管理要求。</w:t>
      </w:r>
    </w:p>
    <w:p>
      <w:pPr>
        <w:numPr>
          <w:ilvl w:val="0"/>
          <w:numId w:val="4"/>
        </w:numPr>
        <w:ind w:left="0" w:leftChars="0" w:firstLine="420"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方案适用的管理对象是规模化养殖场</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养殖小区</w:t>
      </w:r>
      <w:r>
        <w:rPr>
          <w:rFonts w:hint="eastAsia"/>
          <w:color w:val="000000" w:themeColor="text1"/>
          <w:highlight w:val="none"/>
          <w14:textFill>
            <w14:solidFill>
              <w14:schemeClr w14:val="tx1"/>
            </w14:solidFill>
          </w14:textFill>
        </w:rPr>
        <w:t>，周边有环境敏感点，以及对周边环境有污染</w:t>
      </w:r>
      <w:r>
        <w:rPr>
          <w:rFonts w:hint="eastAsia"/>
          <w:color w:val="000000" w:themeColor="text1"/>
          <w:highlight w:val="none"/>
          <w:lang w:eastAsia="zh-CN"/>
          <w14:textFill>
            <w14:solidFill>
              <w14:schemeClr w14:val="tx1"/>
            </w14:solidFill>
          </w14:textFill>
        </w:rPr>
        <w:t>的养殖场（小区）</w:t>
      </w:r>
      <w:r>
        <w:rPr>
          <w:color w:val="000000" w:themeColor="text1"/>
          <w:highlight w:val="none"/>
          <w14:textFill>
            <w14:solidFill>
              <w14:schemeClr w14:val="tx1"/>
            </w14:solidFill>
          </w14:textFill>
        </w:rPr>
        <w:t>。家庭散养不适用本划分方案，应</w:t>
      </w:r>
      <w:r>
        <w:rPr>
          <w:rFonts w:hint="eastAsia"/>
          <w:color w:val="000000" w:themeColor="text1"/>
          <w:highlight w:val="none"/>
          <w14:textFill>
            <w14:solidFill>
              <w14:schemeClr w14:val="tx1"/>
            </w14:solidFill>
          </w14:textFill>
        </w:rPr>
        <w:t>参</w:t>
      </w:r>
      <w:r>
        <w:rPr>
          <w:color w:val="000000" w:themeColor="text1"/>
          <w:highlight w:val="none"/>
          <w14:textFill>
            <w14:solidFill>
              <w14:schemeClr w14:val="tx1"/>
            </w14:solidFill>
          </w14:textFill>
        </w:rPr>
        <w:t>照《畜</w:t>
      </w:r>
      <w:r>
        <w:rPr>
          <w:color w:val="000000" w:themeColor="text1"/>
          <w:spacing w:val="-3"/>
          <w:highlight w:val="none"/>
          <w14:textFill>
            <w14:solidFill>
              <w14:schemeClr w14:val="tx1"/>
            </w14:solidFill>
          </w14:textFill>
        </w:rPr>
        <w:t>禽</w:t>
      </w:r>
      <w:r>
        <w:rPr>
          <w:color w:val="000000" w:themeColor="text1"/>
          <w:highlight w:val="none"/>
          <w14:textFill>
            <w14:solidFill>
              <w14:schemeClr w14:val="tx1"/>
            </w14:solidFill>
          </w14:textFill>
        </w:rPr>
        <w:t>规模</w:t>
      </w:r>
      <w:r>
        <w:rPr>
          <w:color w:val="000000" w:themeColor="text1"/>
          <w:spacing w:val="-3"/>
          <w:highlight w:val="none"/>
          <w14:textFill>
            <w14:solidFill>
              <w14:schemeClr w14:val="tx1"/>
            </w14:solidFill>
          </w14:textFill>
        </w:rPr>
        <w:t>养殖</w:t>
      </w:r>
      <w:r>
        <w:rPr>
          <w:color w:val="000000" w:themeColor="text1"/>
          <w:highlight w:val="none"/>
          <w14:textFill>
            <w14:solidFill>
              <w14:schemeClr w14:val="tx1"/>
            </w14:solidFill>
          </w14:textFill>
        </w:rPr>
        <w:t>污染防</w:t>
      </w:r>
      <w:r>
        <w:rPr>
          <w:color w:val="000000" w:themeColor="text1"/>
          <w:spacing w:val="-3"/>
          <w:highlight w:val="none"/>
          <w14:textFill>
            <w14:solidFill>
              <w14:schemeClr w14:val="tx1"/>
            </w14:solidFill>
          </w14:textFill>
        </w:rPr>
        <w:t>治</w:t>
      </w:r>
      <w:r>
        <w:rPr>
          <w:color w:val="000000" w:themeColor="text1"/>
          <w:highlight w:val="none"/>
          <w14:textFill>
            <w14:solidFill>
              <w14:schemeClr w14:val="tx1"/>
            </w14:solidFill>
          </w14:textFill>
        </w:rPr>
        <w:t>条例》、《畜禽养殖业污</w:t>
      </w:r>
      <w:r>
        <w:rPr>
          <w:color w:val="000000" w:themeColor="text1"/>
          <w:spacing w:val="-3"/>
          <w:highlight w:val="none"/>
          <w14:textFill>
            <w14:solidFill>
              <w14:schemeClr w14:val="tx1"/>
            </w14:solidFill>
          </w14:textFill>
        </w:rPr>
        <w:t>染</w:t>
      </w:r>
      <w:r>
        <w:rPr>
          <w:color w:val="000000" w:themeColor="text1"/>
          <w:highlight w:val="none"/>
          <w14:textFill>
            <w14:solidFill>
              <w14:schemeClr w14:val="tx1"/>
            </w14:solidFill>
          </w14:textFill>
        </w:rPr>
        <w:t>防治技术政策》等法律法规中的有关规定履行环保义务。</w:t>
      </w:r>
    </w:p>
    <w:p>
      <w:pPr>
        <w:numPr>
          <w:ilvl w:val="0"/>
          <w:numId w:val="4"/>
        </w:numPr>
        <w:ind w:left="0" w:leftChars="0" w:firstLine="420" w:firstLineChars="0"/>
        <w:rPr>
          <w:color w:val="000000" w:themeColor="text1"/>
          <w:spacing w:val="-2"/>
          <w:highlight w:val="none"/>
          <w14:textFill>
            <w14:solidFill>
              <w14:schemeClr w14:val="tx1"/>
            </w14:solidFill>
          </w14:textFill>
        </w:rPr>
      </w:pPr>
      <w:r>
        <w:rPr>
          <w:color w:val="000000" w:themeColor="text1"/>
          <w:highlight w:val="none"/>
          <w14:textFill>
            <w14:solidFill>
              <w14:schemeClr w14:val="tx1"/>
            </w14:solidFill>
          </w14:textFill>
        </w:rPr>
        <w:t>畜禽禁止养殖区内，不得新建和改扩建畜禽养殖项目，除因教学、科研、旅游以及其他特殊需要，经兴宁市人民政府批准</w:t>
      </w:r>
      <w:r>
        <w:rPr>
          <w:color w:val="000000" w:themeColor="text1"/>
          <w:spacing w:val="-2"/>
          <w:highlight w:val="none"/>
          <w14:textFill>
            <w14:solidFill>
              <w14:schemeClr w14:val="tx1"/>
            </w14:solidFill>
          </w14:textFill>
        </w:rPr>
        <w:t>保留并完善了畜禽养殖污染防治工程措施的畜禽养殖场外，</w:t>
      </w:r>
      <w:r>
        <w:rPr>
          <w:rFonts w:hint="eastAsia"/>
          <w:color w:val="000000" w:themeColor="text1"/>
          <w:spacing w:val="-2"/>
          <w:highlight w:val="none"/>
          <w14:textFill>
            <w14:solidFill>
              <w14:schemeClr w14:val="tx1"/>
            </w14:solidFill>
          </w14:textFill>
        </w:rPr>
        <w:t>禁养区内其他现有的畜禽养殖场污染物的排放要符合《畜禽养殖污染物排放标准》要求，</w:t>
      </w:r>
      <w:r>
        <w:rPr>
          <w:rFonts w:hint="eastAsia"/>
          <w:color w:val="000000" w:themeColor="text1"/>
          <w:spacing w:val="-2"/>
          <w:highlight w:val="none"/>
          <w:lang w:eastAsia="zh-CN"/>
          <w14:textFill>
            <w14:solidFill>
              <w14:schemeClr w14:val="tx1"/>
            </w14:solidFill>
          </w14:textFill>
        </w:rPr>
        <w:t>对禁养区内确需搬迁的规模养殖场，加大异地重建支持力度</w:t>
      </w:r>
      <w:r>
        <w:rPr>
          <w:rFonts w:hint="eastAsia"/>
          <w:color w:val="000000" w:themeColor="text1"/>
          <w:spacing w:val="-2"/>
          <w:highlight w:val="none"/>
          <w14:textFill>
            <w14:solidFill>
              <w14:schemeClr w14:val="tx1"/>
            </w14:solidFill>
          </w14:textFill>
        </w:rPr>
        <w:t>。</w:t>
      </w:r>
    </w:p>
    <w:p>
      <w:pPr>
        <w:numPr>
          <w:ilvl w:val="0"/>
          <w:numId w:val="4"/>
        </w:numPr>
        <w:ind w:left="0" w:leftChars="0" w:firstLine="420"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畜禽禁止养殖区</w:t>
      </w:r>
      <w:r>
        <w:rPr>
          <w:rFonts w:hint="eastAsia"/>
          <w:color w:val="000000" w:themeColor="text1"/>
          <w:highlight w:val="none"/>
          <w:lang w:eastAsia="zh-CN"/>
          <w14:textFill>
            <w14:solidFill>
              <w14:schemeClr w14:val="tx1"/>
            </w14:solidFill>
          </w14:textFill>
        </w:rPr>
        <w:t>外</w:t>
      </w:r>
      <w:r>
        <w:rPr>
          <w:color w:val="000000" w:themeColor="text1"/>
          <w:highlight w:val="none"/>
          <w14:textFill>
            <w14:solidFill>
              <w14:schemeClr w14:val="tx1"/>
            </w14:solidFill>
          </w14:textFill>
        </w:rPr>
        <w:t>，应以区域环境承载力为基础合理规划和布局畜禽养殖行为。在该区域内从事畜禽规模养殖的，应当实现养殖废弃物的循环综合利用或达到国家《畜禽养殖业污染物排放标准》。</w:t>
      </w:r>
    </w:p>
    <w:p>
      <w:pPr>
        <w:numPr>
          <w:ilvl w:val="0"/>
          <w:numId w:val="4"/>
        </w:numPr>
        <w:ind w:left="0" w:leftChars="0" w:firstLine="420"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新、扩、改建畜禽养殖场时必须严格执行环境影响环评制度和</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三同时</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制度。</w:t>
      </w:r>
    </w:p>
    <w:p>
      <w:pPr>
        <w:numPr>
          <w:ilvl w:val="0"/>
          <w:numId w:val="4"/>
        </w:numPr>
        <w:ind w:left="0" w:leftChars="0" w:firstLine="420" w:firstLineChars="0"/>
        <w:rPr>
          <w:color w:val="000000" w:themeColor="text1"/>
          <w:highlight w:val="none"/>
          <w14:textFill>
            <w14:solidFill>
              <w14:schemeClr w14:val="tx1"/>
            </w14:solidFill>
          </w14:textFill>
        </w:rPr>
      </w:pPr>
      <w:r>
        <w:rPr>
          <w:color w:val="000000" w:themeColor="text1"/>
          <w:spacing w:val="-1"/>
          <w:highlight w:val="none"/>
          <w14:textFill>
            <w14:solidFill>
              <w14:schemeClr w14:val="tx1"/>
            </w14:solidFill>
          </w14:textFill>
        </w:rPr>
        <w:t>各镇</w:t>
      </w:r>
      <w:r>
        <w:rPr>
          <w:rFonts w:hint="eastAsia"/>
          <w:color w:val="000000" w:themeColor="text1"/>
          <w:spacing w:val="-1"/>
          <w:highlight w:val="none"/>
          <w14:textFill>
            <w14:solidFill>
              <w14:schemeClr w14:val="tx1"/>
            </w14:solidFill>
          </w14:textFill>
        </w:rPr>
        <w:t>（街道）</w:t>
      </w:r>
      <w:r>
        <w:rPr>
          <w:color w:val="000000" w:themeColor="text1"/>
          <w:spacing w:val="-1"/>
          <w:highlight w:val="none"/>
          <w14:textFill>
            <w14:solidFill>
              <w14:schemeClr w14:val="tx1"/>
            </w14:solidFill>
          </w14:textFill>
        </w:rPr>
        <w:t>应严格按照本方案，结合</w:t>
      </w:r>
      <w:r>
        <w:rPr>
          <w:color w:val="000000" w:themeColor="text1"/>
          <w:highlight w:val="none"/>
          <w14:textFill>
            <w14:solidFill>
              <w14:schemeClr w14:val="tx1"/>
            </w14:solidFill>
          </w14:textFill>
        </w:rPr>
        <w:t>本辖区畜牧业发展规划，</w:t>
      </w:r>
      <w:r>
        <w:rPr>
          <w:rFonts w:hint="eastAsia"/>
          <w:color w:val="000000" w:themeColor="text1"/>
          <w:highlight w:val="none"/>
          <w:lang w:eastAsia="zh-CN"/>
          <w14:textFill>
            <w14:solidFill>
              <w14:schemeClr w14:val="tx1"/>
            </w14:solidFill>
          </w14:textFill>
        </w:rPr>
        <w:t>引导畜禽养殖户生态养殖</w:t>
      </w:r>
      <w:r>
        <w:rPr>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防治</w:t>
      </w:r>
      <w:r>
        <w:rPr>
          <w:color w:val="000000" w:themeColor="text1"/>
          <w:highlight w:val="none"/>
          <w14:textFill>
            <w14:solidFill>
              <w14:schemeClr w14:val="tx1"/>
            </w14:solidFill>
          </w14:textFill>
        </w:rPr>
        <w:t>畜禽养殖业</w:t>
      </w:r>
      <w:r>
        <w:rPr>
          <w:rFonts w:hint="eastAsia"/>
          <w:color w:val="000000" w:themeColor="text1"/>
          <w:highlight w:val="none"/>
          <w:lang w:eastAsia="zh-CN"/>
          <w14:textFill>
            <w14:solidFill>
              <w14:schemeClr w14:val="tx1"/>
            </w14:solidFill>
          </w14:textFill>
        </w:rPr>
        <w:t>的污染</w:t>
      </w:r>
      <w:r>
        <w:rPr>
          <w:color w:val="000000" w:themeColor="text1"/>
          <w:highlight w:val="none"/>
          <w14:textFill>
            <w14:solidFill>
              <w14:schemeClr w14:val="tx1"/>
            </w14:solidFill>
          </w14:textFill>
        </w:rPr>
        <w:t>，严禁</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先污染，后治理</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现象出现。</w:t>
      </w:r>
    </w:p>
    <w:p>
      <w:pPr>
        <w:numPr>
          <w:ilvl w:val="0"/>
          <w:numId w:val="4"/>
        </w:numPr>
        <w:spacing w:line="460" w:lineRule="exact"/>
        <w:ind w:left="0" w:leftChars="0" w:firstLine="420" w:firstLineChars="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市</w:t>
      </w:r>
      <w:r>
        <w:rPr>
          <w:rFonts w:hint="eastAsia"/>
          <w:color w:val="000000" w:themeColor="text1"/>
          <w:highlight w:val="none"/>
          <w:lang w:eastAsia="zh-CN"/>
          <w14:textFill>
            <w14:solidFill>
              <w14:schemeClr w14:val="tx1"/>
            </w14:solidFill>
          </w14:textFill>
        </w:rPr>
        <w:t>生态环境</w:t>
      </w:r>
      <w:r>
        <w:rPr>
          <w:color w:val="000000" w:themeColor="text1"/>
          <w:highlight w:val="none"/>
          <w14:textFill>
            <w14:solidFill>
              <w14:schemeClr w14:val="tx1"/>
            </w14:solidFill>
          </w14:textFill>
        </w:rPr>
        <w:t>、发改、</w:t>
      </w:r>
      <w:r>
        <w:rPr>
          <w:rFonts w:hint="eastAsia"/>
          <w:color w:val="000000" w:themeColor="text1"/>
          <w:highlight w:val="none"/>
          <w:lang w:eastAsia="zh-CN"/>
          <w14:textFill>
            <w14:solidFill>
              <w14:schemeClr w14:val="tx1"/>
            </w14:solidFill>
          </w14:textFill>
        </w:rPr>
        <w:t>农业农村</w:t>
      </w:r>
      <w:r>
        <w:rPr>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自然资源</w:t>
      </w:r>
      <w:r>
        <w:rPr>
          <w:color w:val="000000" w:themeColor="text1"/>
          <w:highlight w:val="none"/>
          <w14:textFill>
            <w14:solidFill>
              <w14:schemeClr w14:val="tx1"/>
            </w14:solidFill>
          </w14:textFill>
        </w:rPr>
        <w:t>、住建、水</w:t>
      </w:r>
      <w:r>
        <w:rPr>
          <w:rFonts w:hint="eastAsia"/>
          <w:color w:val="000000" w:themeColor="text1"/>
          <w:highlight w:val="none"/>
          <w14:textFill>
            <w14:solidFill>
              <w14:schemeClr w14:val="tx1"/>
            </w14:solidFill>
          </w14:textFill>
        </w:rPr>
        <w:t>务、林业</w:t>
      </w:r>
      <w:r>
        <w:rPr>
          <w:color w:val="000000" w:themeColor="text1"/>
          <w:highlight w:val="none"/>
          <w14:textFill>
            <w14:solidFill>
              <w14:schemeClr w14:val="tx1"/>
            </w14:solidFill>
          </w14:textFill>
        </w:rPr>
        <w:t>等相关部门在规划、立项、登记和审批各类畜禽养殖项目时，应根据本方案要求严格审批程序，切实加强新建、已建畜禽养殖场污染治理的监管。</w:t>
      </w:r>
    </w:p>
    <w:p>
      <w:pPr>
        <w:numPr>
          <w:ilvl w:val="0"/>
          <w:numId w:val="4"/>
        </w:numPr>
        <w:spacing w:line="460" w:lineRule="exact"/>
        <w:ind w:left="0" w:leftChars="0" w:firstLine="420"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对于禁止养殖区畜禽养殖场（小区</w:t>
      </w:r>
      <w:r>
        <w:rPr>
          <w:rFonts w:hint="eastAsia"/>
          <w:color w:val="000000" w:themeColor="text1"/>
          <w:highlight w:val="none"/>
          <w:lang w:eastAsia="zh-CN"/>
          <w14:textFill>
            <w14:solidFill>
              <w14:schemeClr w14:val="tx1"/>
            </w14:solidFill>
          </w14:textFill>
        </w:rPr>
        <w:t>）</w:t>
      </w:r>
      <w:r>
        <w:rPr>
          <w:color w:val="000000" w:themeColor="text1"/>
          <w:highlight w:val="none"/>
          <w14:textFill>
            <w14:solidFill>
              <w14:schemeClr w14:val="tx1"/>
            </w14:solidFill>
          </w14:textFill>
        </w:rPr>
        <w:t>的转迁，兴宁市人民政府将根据实际情况给予</w:t>
      </w:r>
      <w:r>
        <w:rPr>
          <w:rFonts w:hint="eastAsia"/>
          <w:color w:val="000000" w:themeColor="text1"/>
          <w:highlight w:val="none"/>
          <w14:textFill>
            <w14:solidFill>
              <w14:schemeClr w14:val="tx1"/>
            </w14:solidFill>
          </w14:textFill>
        </w:rPr>
        <w:t>鼓励其转产、搬迁等工作支持</w:t>
      </w:r>
      <w:r>
        <w:rPr>
          <w:color w:val="000000" w:themeColor="text1"/>
          <w:highlight w:val="none"/>
          <w14:textFill>
            <w14:solidFill>
              <w14:schemeClr w14:val="tx1"/>
            </w14:solidFill>
          </w14:textFill>
        </w:rPr>
        <w:t>。</w:t>
      </w:r>
    </w:p>
    <w:p>
      <w:pPr>
        <w:numPr>
          <w:ilvl w:val="0"/>
          <w:numId w:val="4"/>
        </w:numPr>
        <w:spacing w:line="460" w:lineRule="exact"/>
        <w:ind w:left="0" w:leftChars="0" w:firstLine="420" w:firstLineChars="0"/>
        <w:rPr>
          <w:color w:val="000000" w:themeColor="text1"/>
          <w:highlight w:val="none"/>
          <w14:textFill>
            <w14:solidFill>
              <w14:schemeClr w14:val="tx1"/>
            </w14:solidFill>
          </w14:textFill>
        </w:rPr>
      </w:pPr>
      <w:r>
        <w:rPr>
          <w:color w:val="000000" w:themeColor="text1"/>
          <w:spacing w:val="-1"/>
          <w:highlight w:val="none"/>
          <w14:textFill>
            <w14:solidFill>
              <w14:schemeClr w14:val="tx1"/>
            </w14:solidFill>
          </w14:textFill>
        </w:rPr>
        <w:t>各镇</w:t>
      </w:r>
      <w:r>
        <w:rPr>
          <w:rFonts w:hint="eastAsia"/>
          <w:color w:val="000000" w:themeColor="text1"/>
          <w:spacing w:val="-1"/>
          <w:highlight w:val="none"/>
          <w14:textFill>
            <w14:solidFill>
              <w14:schemeClr w14:val="tx1"/>
            </w14:solidFill>
          </w14:textFill>
        </w:rPr>
        <w:t>（街道）</w:t>
      </w:r>
      <w:r>
        <w:rPr>
          <w:rFonts w:hint="eastAsia"/>
          <w:color w:val="000000" w:themeColor="text1"/>
          <w:highlight w:val="none"/>
          <w14:textFill>
            <w14:solidFill>
              <w14:schemeClr w14:val="tx1"/>
            </w14:solidFill>
          </w14:textFill>
        </w:rPr>
        <w:t>完成</w:t>
      </w:r>
      <w:r>
        <w:rPr>
          <w:color w:val="000000" w:themeColor="text1"/>
          <w:highlight w:val="none"/>
          <w14:textFill>
            <w14:solidFill>
              <w14:schemeClr w14:val="tx1"/>
            </w14:solidFill>
          </w14:textFill>
        </w:rPr>
        <w:t>本区域内畜禽规模养殖区域划分并组织实施，依法搬迁禁养区内的畜禽规模养殖场（小区</w:t>
      </w:r>
      <w:r>
        <w:rPr>
          <w:strike w:val="0"/>
          <w:dstrike w:val="0"/>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周边有影响环境敏感点、污染环境的养殖场</w:t>
      </w:r>
      <w:r>
        <w:rPr>
          <w:color w:val="000000" w:themeColor="text1"/>
          <w:highlight w:val="none"/>
          <w14:textFill>
            <w14:solidFill>
              <w14:schemeClr w14:val="tx1"/>
            </w14:solidFill>
          </w14:textFill>
        </w:rPr>
        <w:t>（小区）。</w:t>
      </w:r>
    </w:p>
    <w:p>
      <w:pPr>
        <w:numPr>
          <w:ilvl w:val="0"/>
          <w:numId w:val="4"/>
        </w:numPr>
        <w:spacing w:line="460" w:lineRule="exact"/>
        <w:ind w:left="0" w:leftChars="0" w:firstLine="420" w:firstLineChars="0"/>
        <w:rPr>
          <w:color w:val="000000" w:themeColor="text1"/>
          <w:spacing w:val="-1"/>
          <w:highlight w:val="none"/>
          <w14:textFill>
            <w14:solidFill>
              <w14:schemeClr w14:val="tx1"/>
            </w14:solidFill>
          </w14:textFill>
        </w:rPr>
      </w:pPr>
      <w:r>
        <w:rPr>
          <w:color w:val="000000" w:themeColor="text1"/>
          <w:highlight w:val="none"/>
          <w14:textFill>
            <w14:solidFill>
              <w14:schemeClr w14:val="tx1"/>
            </w14:solidFill>
          </w14:textFill>
        </w:rPr>
        <w:t>方案实施的目标与考核要求总体目标：为保护</w:t>
      </w:r>
      <w:r>
        <w:rPr>
          <w:rFonts w:hint="eastAsia"/>
          <w:color w:val="000000" w:themeColor="text1"/>
          <w:highlight w:val="none"/>
          <w14:textFill>
            <w14:solidFill>
              <w14:schemeClr w14:val="tx1"/>
            </w14:solidFill>
          </w14:textFill>
        </w:rPr>
        <w:t>兴宁市饮用水源</w:t>
      </w:r>
      <w:r>
        <w:rPr>
          <w:color w:val="000000" w:themeColor="text1"/>
          <w:highlight w:val="none"/>
          <w14:textFill>
            <w14:solidFill>
              <w14:schemeClr w14:val="tx1"/>
            </w14:solidFill>
          </w14:textFill>
        </w:rPr>
        <w:t>水质，通过开展养殖区划分工作，重点解决畜禽养殖污染与养殖区环保规划问题。依法搬迁禁养区内的畜禽养殖场（小区）。确保兴宁市农业生态环境的总体发展</w:t>
      </w:r>
      <w:r>
        <w:rPr>
          <w:color w:val="000000" w:themeColor="text1"/>
          <w:spacing w:val="-1"/>
          <w:highlight w:val="none"/>
          <w14:textFill>
            <w14:solidFill>
              <w14:schemeClr w14:val="tx1"/>
            </w14:solidFill>
          </w14:textFill>
        </w:rPr>
        <w:t>趋势向良性转变，养殖类污染治理明显见到成效。考核目标：禁养区域环境状况总体上应达到</w:t>
      </w:r>
      <w:r>
        <w:rPr>
          <w:rFonts w:hint="eastAsia"/>
          <w:color w:val="000000" w:themeColor="text1"/>
          <w:spacing w:val="-1"/>
          <w:highlight w:val="none"/>
          <w14:textFill>
            <w14:solidFill>
              <w14:schemeClr w14:val="tx1"/>
            </w14:solidFill>
          </w14:textFill>
        </w:rPr>
        <w:t>“</w:t>
      </w:r>
      <w:r>
        <w:rPr>
          <w:color w:val="000000" w:themeColor="text1"/>
          <w:spacing w:val="-1"/>
          <w:highlight w:val="none"/>
          <w14:textFill>
            <w14:solidFill>
              <w14:schemeClr w14:val="tx1"/>
            </w14:solidFill>
          </w14:textFill>
        </w:rPr>
        <w:t>水源清</w:t>
      </w:r>
      <w:r>
        <w:rPr>
          <w:color w:val="000000" w:themeColor="text1"/>
          <w:highlight w:val="none"/>
          <w14:textFill>
            <w14:solidFill>
              <w14:schemeClr w14:val="tx1"/>
            </w14:solidFill>
          </w14:textFill>
        </w:rPr>
        <w:t>洁、田园清洁、家园清洁</w:t>
      </w:r>
      <w:r>
        <w:rPr>
          <w:rFonts w:hint="eastAsia"/>
          <w:color w:val="000000" w:themeColor="text1"/>
          <w:spacing w:val="-1"/>
          <w:highlight w:val="none"/>
          <w14:textFill>
            <w14:solidFill>
              <w14:schemeClr w14:val="tx1"/>
            </w14:solidFill>
          </w14:textFill>
        </w:rPr>
        <w:t>”</w:t>
      </w:r>
      <w:r>
        <w:rPr>
          <w:color w:val="000000" w:themeColor="text1"/>
          <w:highlight w:val="none"/>
          <w14:textFill>
            <w14:solidFill>
              <w14:schemeClr w14:val="tx1"/>
            </w14:solidFill>
          </w14:textFill>
        </w:rPr>
        <w:t>的要求</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确保禁养区内无规模化养殖场所畜禽养殖废</w:t>
      </w:r>
      <w:r>
        <w:rPr>
          <w:color w:val="000000" w:themeColor="text1"/>
          <w:spacing w:val="-1"/>
          <w:highlight w:val="none"/>
          <w14:textFill>
            <w14:solidFill>
              <w14:schemeClr w14:val="tx1"/>
            </w14:solidFill>
          </w14:textFill>
        </w:rPr>
        <w:t>弃物均得到有效处置，畜禽粪便综合利用率显著</w:t>
      </w:r>
      <w:r>
        <w:rPr>
          <w:rFonts w:hint="eastAsia"/>
          <w:color w:val="000000" w:themeColor="text1"/>
          <w:spacing w:val="-1"/>
          <w:highlight w:val="none"/>
          <w14:textFill>
            <w14:solidFill>
              <w14:schemeClr w14:val="tx1"/>
            </w14:solidFill>
          </w14:textFill>
        </w:rPr>
        <w:t>提高。到202</w:t>
      </w:r>
      <w:r>
        <w:rPr>
          <w:rFonts w:hint="eastAsia"/>
          <w:color w:val="000000" w:themeColor="text1"/>
          <w:spacing w:val="-1"/>
          <w:highlight w:val="none"/>
          <w:lang w:val="en-US" w:eastAsia="zh-CN"/>
          <w14:textFill>
            <w14:solidFill>
              <w14:schemeClr w14:val="tx1"/>
            </w14:solidFill>
          </w14:textFill>
        </w:rPr>
        <w:t>2</w:t>
      </w:r>
      <w:r>
        <w:rPr>
          <w:rFonts w:hint="eastAsia"/>
          <w:color w:val="000000" w:themeColor="text1"/>
          <w:spacing w:val="-1"/>
          <w:highlight w:val="none"/>
          <w14:textFill>
            <w14:solidFill>
              <w14:schemeClr w14:val="tx1"/>
            </w14:solidFill>
          </w14:textFill>
        </w:rPr>
        <w:t>年，全市水环境质量得到阶段性改善，污染严重水体较大幅度减少，地表水优良（达到或优于III类）比例目标100%。</w:t>
      </w:r>
    </w:p>
    <w:p>
      <w:pPr>
        <w:numPr>
          <w:ilvl w:val="0"/>
          <w:numId w:val="4"/>
        </w:numPr>
        <w:spacing w:line="460" w:lineRule="exact"/>
        <w:ind w:left="0" w:leftChars="0" w:firstLine="420" w:firstLineChars="0"/>
        <w:rPr>
          <w:color w:val="000000" w:themeColor="text1"/>
          <w:spacing w:val="-1"/>
          <w:highlight w:val="none"/>
          <w14:textFill>
            <w14:solidFill>
              <w14:schemeClr w14:val="tx1"/>
            </w14:solidFill>
          </w14:textFill>
        </w:rPr>
      </w:pPr>
      <w:r>
        <w:rPr>
          <w:rFonts w:hint="eastAsia"/>
          <w:color w:val="000000" w:themeColor="text1"/>
          <w:spacing w:val="-1"/>
          <w:highlight w:val="none"/>
          <w14:textFill>
            <w14:solidFill>
              <w14:schemeClr w14:val="tx1"/>
            </w14:solidFill>
          </w14:textFill>
        </w:rPr>
        <w:t>项目实施计划分</w:t>
      </w:r>
      <w:r>
        <w:rPr>
          <w:rFonts w:hint="eastAsia"/>
          <w:color w:val="000000" w:themeColor="text1"/>
          <w:spacing w:val="-1"/>
          <w:highlight w:val="none"/>
          <w:lang w:eastAsia="zh-CN"/>
          <w14:textFill>
            <w14:solidFill>
              <w14:schemeClr w14:val="tx1"/>
            </w14:solidFill>
          </w14:textFill>
        </w:rPr>
        <w:t>四</w:t>
      </w:r>
      <w:r>
        <w:rPr>
          <w:rFonts w:hint="eastAsia"/>
          <w:color w:val="000000" w:themeColor="text1"/>
          <w:spacing w:val="-1"/>
          <w:highlight w:val="none"/>
          <w14:textFill>
            <w14:solidFill>
              <w14:schemeClr w14:val="tx1"/>
            </w14:solidFill>
          </w14:textFill>
        </w:rPr>
        <w:t>个阶段进行，部分阶段可同步实施：</w:t>
      </w:r>
    </w:p>
    <w:p>
      <w:pPr>
        <w:spacing w:line="460" w:lineRule="exact"/>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（1）方案编制阶段：进行划分方案编制，并报请同级人民政府批准。</w:t>
      </w:r>
    </w:p>
    <w:p>
      <w:pPr>
        <w:spacing w:line="460" w:lineRule="exact"/>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（2）动员部署与名单确定阶段：</w:t>
      </w:r>
      <w:r>
        <w:rPr>
          <w:color w:val="000000" w:themeColor="text1"/>
          <w:spacing w:val="-1"/>
          <w:highlight w:val="none"/>
          <w14:textFill>
            <w14:solidFill>
              <w14:schemeClr w14:val="tx1"/>
            </w14:solidFill>
          </w14:textFill>
        </w:rPr>
        <w:t>各镇</w:t>
      </w:r>
      <w:r>
        <w:rPr>
          <w:rFonts w:hint="eastAsia"/>
          <w:color w:val="000000" w:themeColor="text1"/>
          <w:spacing w:val="-1"/>
          <w:highlight w:val="none"/>
          <w14:textFill>
            <w14:solidFill>
              <w14:schemeClr w14:val="tx1"/>
            </w14:solidFill>
          </w14:textFill>
        </w:rPr>
        <w:t>（街道）</w:t>
      </w:r>
      <w:r>
        <w:rPr>
          <w:rFonts w:hint="eastAsia"/>
          <w:color w:val="000000" w:themeColor="text1"/>
          <w:highlight w:val="none"/>
          <w14:textFill>
            <w14:solidFill>
              <w14:schemeClr w14:val="tx1"/>
            </w14:solidFill>
          </w14:textFill>
        </w:rPr>
        <w:t>协助</w:t>
      </w:r>
      <w:r>
        <w:rPr>
          <w:rFonts w:hint="eastAsia"/>
          <w:color w:val="000000" w:themeColor="text1"/>
          <w:highlight w:val="none"/>
          <w:lang w:eastAsia="zh-CN"/>
          <w14:textFill>
            <w14:solidFill>
              <w14:schemeClr w14:val="tx1"/>
            </w14:solidFill>
          </w14:textFill>
        </w:rPr>
        <w:t>相关职能部门</w:t>
      </w:r>
      <w:r>
        <w:rPr>
          <w:rFonts w:hint="eastAsia"/>
          <w:color w:val="000000" w:themeColor="text1"/>
          <w:highlight w:val="none"/>
          <w14:textFill>
            <w14:solidFill>
              <w14:schemeClr w14:val="tx1"/>
            </w14:solidFill>
          </w14:textFill>
        </w:rPr>
        <w:t>对方案涉及区域内的规模养殖场</w:t>
      </w:r>
      <w:r>
        <w:rPr>
          <w:color w:val="000000" w:themeColor="text1"/>
          <w:highlight w:val="none"/>
          <w14:textFill>
            <w14:solidFill>
              <w14:schemeClr w14:val="tx1"/>
            </w14:solidFill>
          </w14:textFill>
        </w:rPr>
        <w:t>（小区）</w:t>
      </w:r>
      <w:r>
        <w:rPr>
          <w:rFonts w:hint="eastAsia"/>
          <w:color w:val="000000" w:themeColor="text1"/>
          <w:highlight w:val="none"/>
          <w14:textFill>
            <w14:solidFill>
              <w14:schemeClr w14:val="tx1"/>
            </w14:solidFill>
          </w14:textFill>
        </w:rPr>
        <w:t>进行摸底清查。根据调查情况，确定全兴宁市待搬迁、整改的规模养殖场</w:t>
      </w:r>
      <w:r>
        <w:rPr>
          <w:color w:val="000000" w:themeColor="text1"/>
          <w:highlight w:val="none"/>
          <w14:textFill>
            <w14:solidFill>
              <w14:schemeClr w14:val="tx1"/>
            </w14:solidFill>
          </w14:textFill>
        </w:rPr>
        <w:t>（小区）</w:t>
      </w:r>
      <w:r>
        <w:rPr>
          <w:rFonts w:hint="eastAsia"/>
          <w:color w:val="000000" w:themeColor="text1"/>
          <w:highlight w:val="none"/>
          <w14:textFill>
            <w14:solidFill>
              <w14:schemeClr w14:val="tx1"/>
            </w14:solidFill>
          </w14:textFill>
        </w:rPr>
        <w:t>名单。</w:t>
      </w:r>
    </w:p>
    <w:p>
      <w:pPr>
        <w:widowControl w:val="0"/>
        <w:spacing w:line="460" w:lineRule="exact"/>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（3）整改、搬迁措施制定阶段：整改、搬迁措施拟定并进行通知在划分方案经人民政府批准后，对名单进行核定。召开动员会议进行全面安排部署，分区域、分类型进行</w:t>
      </w:r>
      <w:r>
        <w:rPr>
          <w:rFonts w:hint="eastAsia"/>
          <w:color w:val="000000" w:themeColor="text1"/>
          <w:highlight w:val="none"/>
          <w:lang w:eastAsia="zh-CN"/>
          <w14:textFill>
            <w14:solidFill>
              <w14:schemeClr w14:val="tx1"/>
            </w14:solidFill>
          </w14:textFill>
        </w:rPr>
        <w:t>协商</w:t>
      </w:r>
      <w:r>
        <w:rPr>
          <w:rFonts w:hint="eastAsia"/>
          <w:color w:val="000000" w:themeColor="text1"/>
          <w:highlight w:val="none"/>
          <w14:textFill>
            <w14:solidFill>
              <w14:schemeClr w14:val="tx1"/>
            </w14:solidFill>
          </w14:textFill>
        </w:rPr>
        <w:t>限期搬迁、</w:t>
      </w:r>
      <w:r>
        <w:rPr>
          <w:rFonts w:hint="eastAsia"/>
          <w:color w:val="000000" w:themeColor="text1"/>
          <w:highlight w:val="none"/>
          <w:lang w:eastAsia="zh-CN"/>
          <w14:textFill>
            <w14:solidFill>
              <w14:schemeClr w14:val="tx1"/>
            </w14:solidFill>
          </w14:textFill>
        </w:rPr>
        <w:t>责</w:t>
      </w:r>
      <w:r>
        <w:rPr>
          <w:rFonts w:hint="eastAsia"/>
          <w:color w:val="000000" w:themeColor="text1"/>
          <w:highlight w:val="none"/>
          <w14:textFill>
            <w14:solidFill>
              <w14:schemeClr w14:val="tx1"/>
            </w14:solidFill>
          </w14:textFill>
        </w:rPr>
        <w:t>令整改等的通知工作。</w:t>
      </w:r>
    </w:p>
    <w:p>
      <w:pPr>
        <w:widowControl w:val="0"/>
        <w:spacing w:line="460" w:lineRule="exact"/>
        <w:rPr>
          <w:rFonts w:hint="eastAsia" w:eastAsia="宋体"/>
          <w:strike/>
          <w:dstrike w:val="0"/>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（4）整改、搬迁执行阶段：根据市人民政府审批的划分方案确定整改、搬迁执行的细则，完善合法补偿方案。推进禁养区内的搬迁、整改的持续进行</w:t>
      </w:r>
      <w:r>
        <w:rPr>
          <w:rFonts w:hint="eastAsia"/>
          <w:color w:val="000000" w:themeColor="text1"/>
          <w:highlight w:val="none"/>
          <w:lang w:eastAsia="zh-CN"/>
          <w14:textFill>
            <w14:solidFill>
              <w14:schemeClr w14:val="tx1"/>
            </w14:solidFill>
          </w14:textFill>
        </w:rPr>
        <w:t>。</w:t>
      </w:r>
    </w:p>
    <w:p>
      <w:pPr>
        <w:widowControl w:val="0"/>
        <w:spacing w:line="460" w:lineRule="exact"/>
        <w:rPr>
          <w:rFonts w:hint="eastAsia"/>
          <w:color w:val="000000" w:themeColor="text1"/>
          <w:highlight w:val="none"/>
          <w14:textFill>
            <w14:solidFill>
              <w14:schemeClr w14:val="tx1"/>
            </w14:solidFill>
          </w14:textFill>
        </w:rPr>
      </w:pPr>
    </w:p>
    <w:p>
      <w:pPr>
        <w:widowControl w:val="0"/>
        <w:spacing w:line="460" w:lineRule="exact"/>
        <w:rPr>
          <w:rFonts w:hint="eastAsia"/>
          <w:color w:val="000000" w:themeColor="text1"/>
          <w:highlight w:val="none"/>
          <w14:textFill>
            <w14:solidFill>
              <w14:schemeClr w14:val="tx1"/>
            </w14:solidFill>
          </w14:textFill>
        </w:rPr>
      </w:pPr>
    </w:p>
    <w:p>
      <w:pPr>
        <w:widowControl w:val="0"/>
        <w:spacing w:line="460" w:lineRule="exact"/>
        <w:rPr>
          <w:rFonts w:hint="eastAsia"/>
          <w:color w:val="000000" w:themeColor="text1"/>
          <w:highlight w:val="none"/>
          <w14:textFill>
            <w14:solidFill>
              <w14:schemeClr w14:val="tx1"/>
            </w14:solidFill>
          </w14:textFill>
        </w:rPr>
      </w:pPr>
    </w:p>
    <w:p>
      <w:pPr>
        <w:widowControl w:val="0"/>
        <w:spacing w:line="460" w:lineRule="exact"/>
        <w:rPr>
          <w:rFonts w:hint="eastAsia"/>
          <w:color w:val="000000" w:themeColor="text1"/>
          <w:highlight w:val="none"/>
          <w14:textFill>
            <w14:solidFill>
              <w14:schemeClr w14:val="tx1"/>
            </w14:solidFill>
          </w14:textFill>
        </w:rPr>
      </w:pPr>
    </w:p>
    <w:p>
      <w:pPr>
        <w:widowControl w:val="0"/>
        <w:spacing w:line="460" w:lineRule="exact"/>
        <w:rPr>
          <w:rFonts w:hint="eastAsia"/>
          <w:color w:val="000000" w:themeColor="text1"/>
          <w:highlight w:val="none"/>
          <w14:textFill>
            <w14:solidFill>
              <w14:schemeClr w14:val="tx1"/>
            </w14:solidFill>
          </w14:textFill>
        </w:rPr>
      </w:pPr>
    </w:p>
    <w:p>
      <w:pPr>
        <w:widowControl w:val="0"/>
        <w:spacing w:line="460" w:lineRule="exact"/>
        <w:rPr>
          <w:rFonts w:hint="eastAsia"/>
          <w:color w:val="000000" w:themeColor="text1"/>
          <w:highlight w:val="none"/>
          <w14:textFill>
            <w14:solidFill>
              <w14:schemeClr w14:val="tx1"/>
            </w14:solidFill>
          </w14:textFill>
        </w:rPr>
      </w:pPr>
    </w:p>
    <w:p>
      <w:pPr>
        <w:widowControl w:val="0"/>
        <w:spacing w:line="460" w:lineRule="exact"/>
        <w:rPr>
          <w:rFonts w:hint="eastAsia"/>
          <w:color w:val="000000" w:themeColor="text1"/>
          <w:highlight w:val="none"/>
          <w14:textFill>
            <w14:solidFill>
              <w14:schemeClr w14:val="tx1"/>
            </w14:solidFill>
          </w14:textFill>
        </w:rPr>
      </w:pPr>
    </w:p>
    <w:p>
      <w:pPr>
        <w:widowControl w:val="0"/>
        <w:spacing w:line="460" w:lineRule="exact"/>
        <w:rPr>
          <w:rFonts w:hint="eastAsia"/>
          <w:color w:val="000000" w:themeColor="text1"/>
          <w:highlight w:val="none"/>
          <w14:textFill>
            <w14:solidFill>
              <w14:schemeClr w14:val="tx1"/>
            </w14:solidFill>
          </w14:textFill>
        </w:rPr>
      </w:pPr>
    </w:p>
    <w:p>
      <w:pPr>
        <w:widowControl w:val="0"/>
        <w:spacing w:line="460" w:lineRule="exact"/>
        <w:rPr>
          <w:rFonts w:hint="eastAsia"/>
          <w:color w:val="000000" w:themeColor="text1"/>
          <w:highlight w:val="none"/>
          <w14:textFill>
            <w14:solidFill>
              <w14:schemeClr w14:val="tx1"/>
            </w14:solidFill>
          </w14:textFill>
        </w:rPr>
      </w:pPr>
    </w:p>
    <w:p>
      <w:pPr>
        <w:widowControl w:val="0"/>
        <w:spacing w:line="460" w:lineRule="exact"/>
        <w:rPr>
          <w:rFonts w:hint="eastAsia"/>
          <w:color w:val="000000" w:themeColor="text1"/>
          <w:highlight w:val="none"/>
          <w14:textFill>
            <w14:solidFill>
              <w14:schemeClr w14:val="tx1"/>
            </w14:solidFill>
          </w14:textFill>
        </w:rPr>
      </w:pPr>
    </w:p>
    <w:p>
      <w:pPr>
        <w:widowControl w:val="0"/>
        <w:spacing w:line="460" w:lineRule="exact"/>
        <w:rPr>
          <w:rFonts w:hint="eastAsia"/>
          <w:color w:val="000000" w:themeColor="text1"/>
          <w:highlight w:val="none"/>
          <w14:textFill>
            <w14:solidFill>
              <w14:schemeClr w14:val="tx1"/>
            </w14:solidFill>
          </w14:textFill>
        </w:rPr>
      </w:pPr>
    </w:p>
    <w:p>
      <w:pPr>
        <w:widowControl w:val="0"/>
        <w:spacing w:line="460" w:lineRule="exact"/>
        <w:rPr>
          <w:rFonts w:hint="eastAsia"/>
          <w:color w:val="000000" w:themeColor="text1"/>
          <w:highlight w:val="none"/>
          <w14:textFill>
            <w14:solidFill>
              <w14:schemeClr w14:val="tx1"/>
            </w14:solidFill>
          </w14:textFill>
        </w:rPr>
      </w:pPr>
    </w:p>
    <w:p>
      <w:pPr>
        <w:widowControl w:val="0"/>
        <w:spacing w:line="460" w:lineRule="exact"/>
        <w:rPr>
          <w:rFonts w:hint="eastAsia"/>
          <w:color w:val="000000" w:themeColor="text1"/>
          <w:highlight w:val="none"/>
          <w14:textFill>
            <w14:solidFill>
              <w14:schemeClr w14:val="tx1"/>
            </w14:solidFill>
          </w14:textFill>
        </w:rPr>
      </w:pPr>
    </w:p>
    <w:p>
      <w:pPr>
        <w:widowControl w:val="0"/>
        <w:spacing w:line="460" w:lineRule="exact"/>
        <w:rPr>
          <w:rFonts w:hint="eastAsia"/>
          <w:color w:val="000000" w:themeColor="text1"/>
          <w:highlight w:val="none"/>
          <w14:textFill>
            <w14:solidFill>
              <w14:schemeClr w14:val="tx1"/>
            </w14:solidFill>
          </w14:textFill>
        </w:rPr>
      </w:pPr>
    </w:p>
    <w:p>
      <w:pPr>
        <w:pStyle w:val="2"/>
        <w:rPr>
          <w:color w:val="000000" w:themeColor="text1"/>
          <w:highlight w:val="none"/>
          <w14:textFill>
            <w14:solidFill>
              <w14:schemeClr w14:val="tx1"/>
            </w14:solidFill>
          </w14:textFill>
        </w:rPr>
      </w:pPr>
      <w:bookmarkStart w:id="76" w:name="_Toc31262"/>
      <w:r>
        <w:rPr>
          <w:rFonts w:hint="eastAsia"/>
          <w:color w:val="000000" w:themeColor="text1"/>
          <w:highlight w:val="none"/>
          <w14:textFill>
            <w14:solidFill>
              <w14:schemeClr w14:val="tx1"/>
            </w14:solidFill>
          </w14:textFill>
        </w:rPr>
        <w:t>工作要求</w:t>
      </w:r>
      <w:bookmarkEnd w:id="76"/>
    </w:p>
    <w:p>
      <w:pPr>
        <w:rPr>
          <w:strike/>
          <w:dstrike w:val="0"/>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（一）执行标准统一实行“谁污染、谁治理”原则，督促各合法建设的养殖场（小区）履行环保义务</w:t>
      </w:r>
      <w:r>
        <w:rPr>
          <w:rFonts w:hint="eastAsia"/>
          <w:strike w:val="0"/>
          <w:dstrike w:val="0"/>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应按规定搬迁并完全消除遗留环境污染。</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根据兴宁市经济发展水平及环境容量等方面综合考虑，原则上要求各规模化养殖场（小区）在完成搬迁、改造等措施后均实现养殖废弃物全部综合利用。位于划定的</w:t>
      </w:r>
      <w:r>
        <w:rPr>
          <w:rFonts w:hint="eastAsia"/>
          <w:color w:val="000000" w:themeColor="text1"/>
          <w:highlight w:val="none"/>
          <w:lang w:eastAsia="zh-CN"/>
          <w14:textFill>
            <w14:solidFill>
              <w14:schemeClr w14:val="tx1"/>
            </w14:solidFill>
          </w14:textFill>
        </w:rPr>
        <w:t>禁</w:t>
      </w:r>
      <w:r>
        <w:rPr>
          <w:rFonts w:hint="eastAsia"/>
          <w:color w:val="000000" w:themeColor="text1"/>
          <w:highlight w:val="none"/>
          <w14:textFill>
            <w14:solidFill>
              <w14:schemeClr w14:val="tx1"/>
            </w14:solidFill>
          </w14:textFill>
        </w:rPr>
        <w:t>养区</w:t>
      </w:r>
      <w:r>
        <w:rPr>
          <w:rFonts w:hint="eastAsia"/>
          <w:color w:val="000000" w:themeColor="text1"/>
          <w:highlight w:val="none"/>
          <w:lang w:eastAsia="zh-CN"/>
          <w14:textFill>
            <w14:solidFill>
              <w14:schemeClr w14:val="tx1"/>
            </w14:solidFill>
          </w14:textFill>
        </w:rPr>
        <w:t>外</w:t>
      </w:r>
      <w:r>
        <w:rPr>
          <w:rFonts w:hint="eastAsia"/>
          <w:color w:val="000000" w:themeColor="text1"/>
          <w:highlight w:val="none"/>
          <w14:textFill>
            <w14:solidFill>
              <w14:schemeClr w14:val="tx1"/>
            </w14:solidFill>
          </w14:textFill>
        </w:rPr>
        <w:t>，需进行相应污染治理措施整改的，验收标准按原环评及批复，以及《畜禽养殖业污染物排放标准》（DB44/613-2009）的相关规定执行。</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（二）实施程序</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（1）前期报备：</w:t>
      </w:r>
      <w:r>
        <w:rPr>
          <w:rFonts w:hint="eastAsia"/>
          <w:color w:val="000000" w:themeColor="text1"/>
          <w:highlight w:val="none"/>
          <w:lang w:eastAsia="zh-CN"/>
          <w14:textFill>
            <w14:solidFill>
              <w14:schemeClr w14:val="tx1"/>
            </w14:solidFill>
          </w14:textFill>
        </w:rPr>
        <w:t>相关职能部门</w:t>
      </w:r>
      <w:r>
        <w:rPr>
          <w:rFonts w:hint="eastAsia"/>
          <w:color w:val="000000" w:themeColor="text1"/>
          <w:highlight w:val="none"/>
          <w14:textFill>
            <w14:solidFill>
              <w14:schemeClr w14:val="tx1"/>
            </w14:solidFill>
          </w14:textFill>
        </w:rPr>
        <w:t>对各养殖场（小区）进行报备通知，各养殖场（小区）完成报备。报备内容应包括养殖地点、养殖类型与最大规模、现有环保设施与当前养殖粪污处理方式。</w:t>
      </w:r>
    </w:p>
    <w:p>
      <w:pPr>
        <w:rPr>
          <w:rFonts w:hint="eastAsia"/>
          <w:strike w:val="0"/>
          <w:dstrike w:val="0"/>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（2）政策通知：在本划分方案由兴宁市人民政府审批通过后进行公示，并由</w:t>
      </w:r>
      <w:r>
        <w:rPr>
          <w:rFonts w:hint="eastAsia"/>
          <w:color w:val="000000" w:themeColor="text1"/>
          <w:highlight w:val="none"/>
          <w:lang w:eastAsia="zh-CN"/>
          <w14:textFill>
            <w14:solidFill>
              <w14:schemeClr w14:val="tx1"/>
            </w14:solidFill>
          </w14:textFill>
        </w:rPr>
        <w:t>相关职能部门</w:t>
      </w:r>
      <w:r>
        <w:rPr>
          <w:rFonts w:hint="eastAsia"/>
          <w:color w:val="000000" w:themeColor="text1"/>
          <w:highlight w:val="none"/>
          <w14:textFill>
            <w14:solidFill>
              <w14:schemeClr w14:val="tx1"/>
            </w14:solidFill>
          </w14:textFill>
        </w:rPr>
        <w:t>通知全</w:t>
      </w:r>
      <w:r>
        <w:rPr>
          <w:rFonts w:hint="eastAsia"/>
          <w:color w:val="000000" w:themeColor="text1"/>
          <w:highlight w:val="none"/>
          <w:lang w:eastAsia="zh-CN"/>
          <w14:textFill>
            <w14:solidFill>
              <w14:schemeClr w14:val="tx1"/>
            </w14:solidFill>
          </w14:textFill>
        </w:rPr>
        <w:t>市</w:t>
      </w:r>
      <w:r>
        <w:rPr>
          <w:rFonts w:hint="eastAsia"/>
          <w:color w:val="000000" w:themeColor="text1"/>
          <w:highlight w:val="none"/>
          <w14:textFill>
            <w14:solidFill>
              <w14:schemeClr w14:val="tx1"/>
            </w14:solidFill>
          </w14:textFill>
        </w:rPr>
        <w:t>规模化</w:t>
      </w:r>
      <w:r>
        <w:rPr>
          <w:rFonts w:hint="eastAsia"/>
          <w:strike w:val="0"/>
          <w:dstrike w:val="0"/>
          <w:color w:val="000000" w:themeColor="text1"/>
          <w:highlight w:val="none"/>
          <w14:textFill>
            <w14:solidFill>
              <w14:schemeClr w14:val="tx1"/>
            </w14:solidFill>
          </w14:textFill>
        </w:rPr>
        <w:t>养殖场（小区</w:t>
      </w:r>
      <w:r>
        <w:rPr>
          <w:rFonts w:hint="eastAsia"/>
          <w:strike w:val="0"/>
          <w:dstrike w:val="0"/>
          <w:color w:val="000000" w:themeColor="text1"/>
          <w:highlight w:val="none"/>
          <w:lang w:eastAsia="zh-CN"/>
          <w14:textFill>
            <w14:solidFill>
              <w14:schemeClr w14:val="tx1"/>
            </w14:solidFill>
          </w14:textFill>
        </w:rPr>
        <w:t>）。</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（3）摸底排查：</w:t>
      </w:r>
      <w:r>
        <w:rPr>
          <w:rFonts w:hint="eastAsia"/>
          <w:color w:val="000000" w:themeColor="text1"/>
          <w:highlight w:val="none"/>
          <w:lang w:eastAsia="zh-CN"/>
          <w14:textFill>
            <w14:solidFill>
              <w14:schemeClr w14:val="tx1"/>
            </w14:solidFill>
          </w14:textFill>
        </w:rPr>
        <w:t>相关职能部门</w:t>
      </w:r>
      <w:r>
        <w:rPr>
          <w:rFonts w:hint="eastAsia"/>
          <w:color w:val="000000" w:themeColor="text1"/>
          <w:highlight w:val="none"/>
          <w14:textFill>
            <w14:solidFill>
              <w14:schemeClr w14:val="tx1"/>
            </w14:solidFill>
          </w14:textFill>
        </w:rPr>
        <w:t>完成全面摸底清查，进行报备</w:t>
      </w:r>
      <w:r>
        <w:rPr>
          <w:rFonts w:hint="eastAsia"/>
          <w:color w:val="000000" w:themeColor="text1"/>
          <w:highlight w:val="none"/>
          <w:lang w:eastAsia="zh-CN"/>
          <w14:textFill>
            <w14:solidFill>
              <w14:schemeClr w14:val="tx1"/>
            </w14:solidFill>
          </w14:textFill>
        </w:rPr>
        <w:t>。</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如未能提供环保验收批复，建设单位需在限定期限内完成环保验收手续。污染治理措施缺失或具有较大缺陷的，应立即按照环保要求进行整改并采取措施消除影响，同时需立即履行环境影响评价手续、制定环保治理工程实施方案并报</w:t>
      </w:r>
      <w:r>
        <w:rPr>
          <w:rFonts w:hint="eastAsia"/>
          <w:color w:val="000000" w:themeColor="text1"/>
          <w:highlight w:val="none"/>
          <w:lang w:eastAsia="zh-CN"/>
          <w14:textFill>
            <w14:solidFill>
              <w14:schemeClr w14:val="tx1"/>
            </w14:solidFill>
          </w14:textFill>
        </w:rPr>
        <w:t>生态环境</w:t>
      </w:r>
      <w:r>
        <w:rPr>
          <w:rFonts w:hint="eastAsia"/>
          <w:color w:val="000000" w:themeColor="text1"/>
          <w:highlight w:val="none"/>
          <w14:textFill>
            <w14:solidFill>
              <w14:schemeClr w14:val="tx1"/>
            </w14:solidFill>
          </w14:textFill>
        </w:rPr>
        <w:t>局审查，审查通过后严格按照划分方案进行实施。</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环保治理工程实施方案中应说明养殖场（小区</w:t>
      </w:r>
      <w:r>
        <w:rPr>
          <w:rFonts w:hint="eastAsia"/>
          <w:strike w:val="0"/>
          <w:dstrike w:val="0"/>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的常年存栏量、粪污处置的技术工艺与设施建造规模及加工处理能力、粪污承载农田或山林面积、粪污浇灌方式与浇灌量。养殖场应对其上报常年存栏量的准确性负责，不得少报瞒报，主动接受环境监察单位的监管。</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拟新建或改扩建、迁建的规模化养殖场（小区）须在完善环境影响评价手续和其他行政审批手续后才能够合法进行建设，在完成环保竣工验收后才能够正式运营。</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（三）主要技术措施建议在兴宁市养殖污染治理中着重推广以下几项技术：</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①农牧结合、种养平衡。养殖粪污由农田消纳利用，实现资源循环。</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②好氧堆肥生产技术。用好氧堆肥技术将畜禽粪便加工制成有机肥料供应农资市场。</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③沼气厌氧发酵技术。通过沼气池厌氧发酵技术处理养殖场污水，实现无害化后回用于当地农田。</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④雨污分流、干法清粪。对养殖场的圈舍、排水系统进行改造，实现雨污分流，雨水可直接排放，污水尿液集中处理。全面淘汰水冲式清粪工艺，推广干式清粪工艺，以减少污水产量、节约水资源并降低固体类粪便处理难度。</w:t>
      </w:r>
    </w:p>
    <w:p>
      <w:pPr>
        <w:rPr>
          <w:color w:val="000000" w:themeColor="text1"/>
          <w:highlight w:val="none"/>
          <w14:textFill>
            <w14:solidFill>
              <w14:schemeClr w14:val="tx1"/>
            </w14:solidFill>
          </w14:textFill>
        </w:rPr>
        <w:sectPr>
          <w:pgSz w:w="11906" w:h="16838"/>
          <w:pgMar w:top="1418" w:right="1418" w:bottom="1418" w:left="1418" w:header="851" w:footer="992" w:gutter="0"/>
          <w:cols w:space="425" w:num="1"/>
          <w:docGrid w:type="lines" w:linePitch="312" w:charSpace="0"/>
        </w:sectPr>
      </w:pPr>
    </w:p>
    <w:p>
      <w:pPr>
        <w:pStyle w:val="2"/>
        <w:rPr>
          <w:color w:val="000000" w:themeColor="text1"/>
          <w:highlight w:val="none"/>
          <w14:textFill>
            <w14:solidFill>
              <w14:schemeClr w14:val="tx1"/>
            </w14:solidFill>
          </w14:textFill>
        </w:rPr>
      </w:pPr>
      <w:bookmarkStart w:id="77" w:name="_Toc450"/>
      <w:r>
        <w:rPr>
          <w:rFonts w:hint="eastAsia"/>
          <w:color w:val="000000" w:themeColor="text1"/>
          <w:highlight w:val="none"/>
          <w14:textFill>
            <w14:solidFill>
              <w14:schemeClr w14:val="tx1"/>
            </w14:solidFill>
          </w14:textFill>
        </w:rPr>
        <w:t>保障措施</w:t>
      </w:r>
      <w:bookmarkEnd w:id="77"/>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（一）组织保障措施</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明确分工按照“谁污染谁治理”的原则，各畜禽养殖场业主必须切实承担治理责任。依照《环境保护法》、《水污染防治法》、《畜禽规模养殖污染防治条例》等相关法律法规，各镇（街道）、市有关单位分工负责做好畜禽养殖污染整治相关工作：</w:t>
      </w:r>
    </w:p>
    <w:p>
      <w:pPr>
        <w:rPr>
          <w:color w:val="000000" w:themeColor="text1"/>
          <w:highlight w:val="none"/>
          <w14:textFill>
            <w14:solidFill>
              <w14:schemeClr w14:val="tx1"/>
            </w14:solidFill>
          </w14:textFill>
        </w:rPr>
      </w:pPr>
      <w:bookmarkStart w:id="78" w:name="_Toc527706850"/>
      <w:r>
        <w:rPr>
          <w:rFonts w:hint="eastAsia"/>
          <w:color w:val="000000" w:themeColor="text1"/>
          <w:highlight w:val="none"/>
          <w14:textFill>
            <w14:solidFill>
              <w14:schemeClr w14:val="tx1"/>
            </w14:solidFill>
          </w14:textFill>
        </w:rPr>
        <w:t>（1）</w:t>
      </w:r>
      <w:r>
        <w:rPr>
          <w:color w:val="000000" w:themeColor="text1"/>
          <w:spacing w:val="-1"/>
          <w:highlight w:val="none"/>
          <w14:textFill>
            <w14:solidFill>
              <w14:schemeClr w14:val="tx1"/>
            </w14:solidFill>
          </w14:textFill>
        </w:rPr>
        <w:t>各镇</w:t>
      </w:r>
      <w:r>
        <w:rPr>
          <w:rFonts w:hint="eastAsia"/>
          <w:color w:val="000000" w:themeColor="text1"/>
          <w:spacing w:val="-1"/>
          <w:highlight w:val="none"/>
          <w14:textFill>
            <w14:solidFill>
              <w14:schemeClr w14:val="tx1"/>
            </w14:solidFill>
          </w14:textFill>
        </w:rPr>
        <w:t>（街道）</w:t>
      </w:r>
      <w:r>
        <w:rPr>
          <w:rFonts w:hint="eastAsia"/>
          <w:color w:val="000000" w:themeColor="text1"/>
          <w:highlight w:val="none"/>
          <w14:textFill>
            <w14:solidFill>
              <w14:schemeClr w14:val="tx1"/>
            </w14:solidFill>
          </w14:textFill>
        </w:rPr>
        <w:t>：按照属地管理原则，负责调查、统计、宣传活动及整治行动，制订详细计划，组织实施辖区内整治工作，确保任务如期完成，并做好整治后的巡查和防范工作。</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（2）市</w:t>
      </w:r>
      <w:r>
        <w:rPr>
          <w:rFonts w:hint="eastAsia"/>
          <w:color w:val="000000" w:themeColor="text1"/>
          <w:highlight w:val="none"/>
          <w:lang w:eastAsia="zh-CN"/>
          <w14:textFill>
            <w14:solidFill>
              <w14:schemeClr w14:val="tx1"/>
            </w14:solidFill>
          </w14:textFill>
        </w:rPr>
        <w:t>农业农村</w:t>
      </w:r>
      <w:r>
        <w:rPr>
          <w:rFonts w:hint="eastAsia"/>
          <w:color w:val="000000" w:themeColor="text1"/>
          <w:highlight w:val="none"/>
          <w14:textFill>
            <w14:solidFill>
              <w14:schemeClr w14:val="tx1"/>
            </w14:solidFill>
          </w14:textFill>
        </w:rPr>
        <w:t>局：负责畜禽养殖废弃物综合利用的指导和服务</w:t>
      </w:r>
      <w:r>
        <w:rPr>
          <w:rFonts w:hint="eastAsia"/>
          <w:color w:val="000000" w:themeColor="text1"/>
          <w:highlight w:val="none"/>
          <w:lang w:eastAsia="zh-CN"/>
          <w14:textFill>
            <w14:solidFill>
              <w14:schemeClr w14:val="tx1"/>
            </w14:solidFill>
          </w14:textFill>
        </w:rPr>
        <w:t>，</w:t>
      </w:r>
      <w:r>
        <w:rPr>
          <w:rFonts w:hint="eastAsia"/>
          <w:color w:val="000000" w:themeColor="text1"/>
          <w:highlight w:val="none"/>
          <w14:textFill>
            <w14:solidFill>
              <w14:schemeClr w14:val="tx1"/>
            </w14:solidFill>
          </w14:textFill>
        </w:rPr>
        <w:t>加快推广农村沼气工程，强化监督，提高畜禽粪便利用率。</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w:t>
      </w:r>
      <w:r>
        <w:rPr>
          <w:rFonts w:hint="eastAsia"/>
          <w:color w:val="000000" w:themeColor="text1"/>
          <w:highlight w:val="none"/>
          <w:lang w:eastAsia="zh-CN"/>
          <w14:textFill>
            <w14:solidFill>
              <w14:schemeClr w14:val="tx1"/>
            </w14:solidFill>
          </w14:textFill>
        </w:rPr>
        <w:t>梅州市生态环境局兴宁分局</w:t>
      </w:r>
      <w:r>
        <w:rPr>
          <w:rFonts w:hint="eastAsia"/>
          <w:color w:val="000000" w:themeColor="text1"/>
          <w:highlight w:val="none"/>
          <w14:textFill>
            <w14:solidFill>
              <w14:schemeClr w14:val="tx1"/>
            </w14:solidFill>
          </w14:textFill>
        </w:rPr>
        <w:t>：负责禽畜养殖污染防治的</w:t>
      </w:r>
      <w:r>
        <w:rPr>
          <w:rFonts w:hint="eastAsia"/>
          <w:color w:val="000000" w:themeColor="text1"/>
          <w:highlight w:val="none"/>
          <w:lang w:eastAsia="zh-CN"/>
          <w14:textFill>
            <w14:solidFill>
              <w14:schemeClr w14:val="tx1"/>
            </w14:solidFill>
          </w14:textFill>
        </w:rPr>
        <w:t>统一</w:t>
      </w:r>
      <w:r>
        <w:rPr>
          <w:rFonts w:hint="eastAsia"/>
          <w:color w:val="000000" w:themeColor="text1"/>
          <w:highlight w:val="none"/>
          <w14:textFill>
            <w14:solidFill>
              <w14:schemeClr w14:val="tx1"/>
            </w14:solidFill>
          </w14:textFill>
        </w:rPr>
        <w:t>监督管理工作，依法查处没有环评审批手续和配套污染治理设施以及</w:t>
      </w:r>
      <w:r>
        <w:rPr>
          <w:rFonts w:hint="eastAsia"/>
          <w:color w:val="000000" w:themeColor="text1"/>
          <w:highlight w:val="none"/>
          <w:lang w:eastAsia="zh-CN"/>
          <w14:textFill>
            <w14:solidFill>
              <w14:schemeClr w14:val="tx1"/>
            </w14:solidFill>
          </w14:textFill>
        </w:rPr>
        <w:t>超标排污、</w:t>
      </w:r>
      <w:r>
        <w:rPr>
          <w:rFonts w:hint="eastAsia"/>
          <w:color w:val="000000" w:themeColor="text1"/>
          <w:highlight w:val="none"/>
          <w14:textFill>
            <w14:solidFill>
              <w14:schemeClr w14:val="tx1"/>
            </w14:solidFill>
          </w14:textFill>
        </w:rPr>
        <w:t>偷排、直排</w:t>
      </w:r>
      <w:r>
        <w:rPr>
          <w:rFonts w:hint="eastAsia"/>
          <w:color w:val="000000" w:themeColor="text1"/>
          <w:highlight w:val="none"/>
          <w:lang w:eastAsia="zh-CN"/>
          <w14:textFill>
            <w14:solidFill>
              <w14:schemeClr w14:val="tx1"/>
            </w14:solidFill>
          </w14:textFill>
        </w:rPr>
        <w:t>等环境违法行为</w:t>
      </w:r>
      <w:r>
        <w:rPr>
          <w:rFonts w:hint="eastAsia"/>
          <w:color w:val="000000" w:themeColor="text1"/>
          <w:highlight w:val="none"/>
          <w14:textFill>
            <w14:solidFill>
              <w14:schemeClr w14:val="tx1"/>
            </w14:solidFill>
          </w14:textFill>
        </w:rPr>
        <w:t>的</w:t>
      </w:r>
      <w:r>
        <w:rPr>
          <w:rFonts w:hint="eastAsia"/>
          <w:color w:val="000000" w:themeColor="text1"/>
          <w:highlight w:val="none"/>
          <w:lang w:eastAsia="zh-CN"/>
          <w14:textFill>
            <w14:solidFill>
              <w14:schemeClr w14:val="tx1"/>
            </w14:solidFill>
          </w14:textFill>
        </w:rPr>
        <w:t>规模以上</w:t>
      </w:r>
      <w:r>
        <w:rPr>
          <w:rFonts w:hint="eastAsia"/>
          <w:color w:val="000000" w:themeColor="text1"/>
          <w:highlight w:val="none"/>
          <w14:textFill>
            <w14:solidFill>
              <w14:schemeClr w14:val="tx1"/>
            </w14:solidFill>
          </w14:textFill>
        </w:rPr>
        <w:t>畜禽养殖场</w:t>
      </w:r>
      <w:r>
        <w:rPr>
          <w:rFonts w:hint="eastAsia"/>
          <w:color w:val="000000" w:themeColor="text1"/>
          <w:highlight w:val="none"/>
          <w:lang w:eastAsia="zh-CN"/>
          <w14:textFill>
            <w14:solidFill>
              <w14:schemeClr w14:val="tx1"/>
            </w14:solidFill>
          </w14:textFill>
        </w:rPr>
        <w:t>所</w:t>
      </w:r>
      <w:r>
        <w:rPr>
          <w:rFonts w:hint="eastAsia"/>
          <w:color w:val="000000" w:themeColor="text1"/>
          <w:highlight w:val="none"/>
          <w14:textFill>
            <w14:solidFill>
              <w14:schemeClr w14:val="tx1"/>
            </w14:solidFill>
          </w14:textFill>
        </w:rPr>
        <w:t>；协助</w:t>
      </w:r>
      <w:r>
        <w:rPr>
          <w:rFonts w:hint="eastAsia"/>
          <w:color w:val="000000" w:themeColor="text1"/>
          <w:highlight w:val="none"/>
          <w:lang w:eastAsia="zh-CN"/>
          <w14:textFill>
            <w14:solidFill>
              <w14:schemeClr w14:val="tx1"/>
            </w14:solidFill>
          </w14:textFill>
        </w:rPr>
        <w:t>相关职能部门</w:t>
      </w:r>
      <w:r>
        <w:rPr>
          <w:rFonts w:hint="eastAsia"/>
          <w:color w:val="000000" w:themeColor="text1"/>
          <w:highlight w:val="none"/>
          <w14:textFill>
            <w14:solidFill>
              <w14:schemeClr w14:val="tx1"/>
            </w14:solidFill>
          </w14:textFill>
        </w:rPr>
        <w:t>确认搬迁对象。</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（4）市水务局：负责清除</w:t>
      </w:r>
      <w:r>
        <w:rPr>
          <w:rFonts w:hint="eastAsia"/>
          <w:color w:val="000000" w:themeColor="text1"/>
          <w:highlight w:val="none"/>
          <w:lang w:eastAsia="zh-CN"/>
          <w14:textFill>
            <w14:solidFill>
              <w14:schemeClr w14:val="tx1"/>
            </w14:solidFill>
          </w14:textFill>
        </w:rPr>
        <w:t>市管</w:t>
      </w:r>
      <w:r>
        <w:rPr>
          <w:rFonts w:hint="eastAsia"/>
          <w:color w:val="000000" w:themeColor="text1"/>
          <w:highlight w:val="none"/>
          <w14:textFill>
            <w14:solidFill>
              <w14:schemeClr w14:val="tx1"/>
            </w14:solidFill>
          </w14:textFill>
        </w:rPr>
        <w:t>主河道、库区内的漂浮物、障碍物</w:t>
      </w:r>
      <w:r>
        <w:rPr>
          <w:rFonts w:hint="eastAsia"/>
          <w:color w:val="000000" w:themeColor="text1"/>
          <w:highlight w:val="none"/>
          <w:lang w:eastAsia="zh-CN"/>
          <w14:textFill>
            <w14:solidFill>
              <w14:schemeClr w14:val="tx1"/>
            </w14:solidFill>
          </w14:textFill>
        </w:rPr>
        <w:t>，并且监督其他河道、库区漂浮物、障碍物的清理；</w:t>
      </w:r>
      <w:r>
        <w:rPr>
          <w:rFonts w:hint="eastAsia"/>
          <w:color w:val="000000" w:themeColor="text1"/>
          <w:highlight w:val="none"/>
          <w14:textFill>
            <w14:solidFill>
              <w14:schemeClr w14:val="tx1"/>
            </w14:solidFill>
          </w14:textFill>
        </w:rPr>
        <w:t>负责清理</w:t>
      </w:r>
      <w:r>
        <w:rPr>
          <w:rFonts w:hint="eastAsia"/>
          <w:color w:val="000000" w:themeColor="text1"/>
          <w:highlight w:val="none"/>
          <w:lang w:eastAsia="zh-CN"/>
          <w14:textFill>
            <w14:solidFill>
              <w14:schemeClr w14:val="tx1"/>
            </w14:solidFill>
          </w14:textFill>
        </w:rPr>
        <w:t>市管</w:t>
      </w:r>
      <w:r>
        <w:rPr>
          <w:rFonts w:hint="eastAsia"/>
          <w:color w:val="000000" w:themeColor="text1"/>
          <w:highlight w:val="none"/>
          <w14:textFill>
            <w14:solidFill>
              <w14:schemeClr w14:val="tx1"/>
            </w14:solidFill>
          </w14:textFill>
        </w:rPr>
        <w:t>河道及水库周边的</w:t>
      </w:r>
      <w:r>
        <w:rPr>
          <w:rFonts w:hint="eastAsia"/>
          <w:color w:val="000000" w:themeColor="text1"/>
          <w:highlight w:val="none"/>
          <w:lang w:eastAsia="zh-CN"/>
          <w14:textFill>
            <w14:solidFill>
              <w14:schemeClr w14:val="tx1"/>
            </w14:solidFill>
          </w14:textFill>
        </w:rPr>
        <w:t>非法</w:t>
      </w:r>
      <w:r>
        <w:rPr>
          <w:rFonts w:hint="eastAsia"/>
          <w:color w:val="000000" w:themeColor="text1"/>
          <w:highlight w:val="none"/>
          <w14:textFill>
            <w14:solidFill>
              <w14:schemeClr w14:val="tx1"/>
            </w14:solidFill>
          </w14:textFill>
        </w:rPr>
        <w:t>排污口</w:t>
      </w:r>
      <w:r>
        <w:rPr>
          <w:rFonts w:hint="eastAsia"/>
          <w:color w:val="000000" w:themeColor="text1"/>
          <w:highlight w:val="none"/>
          <w:lang w:eastAsia="zh-CN"/>
          <w14:textFill>
            <w14:solidFill>
              <w14:schemeClr w14:val="tx1"/>
            </w14:solidFill>
          </w14:textFill>
        </w:rPr>
        <w:t>，其他河道、水库周边非法排污口的清理按属地管理原则处理，由水务局监督实施</w:t>
      </w:r>
      <w:r>
        <w:rPr>
          <w:rFonts w:hint="eastAsia"/>
          <w:color w:val="000000" w:themeColor="text1"/>
          <w:highlight w:val="none"/>
          <w14:textFill>
            <w14:solidFill>
              <w14:schemeClr w14:val="tx1"/>
            </w14:solidFill>
          </w14:textFill>
        </w:rPr>
        <w:t>。</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（5）市财政局：负责专项整</w:t>
      </w:r>
      <w:r>
        <w:rPr>
          <w:rFonts w:hint="eastAsia"/>
          <w:color w:val="000000" w:themeColor="text1"/>
          <w:highlight w:val="none"/>
          <w:lang w:eastAsia="zh-CN"/>
          <w14:textFill>
            <w14:solidFill>
              <w14:schemeClr w14:val="tx1"/>
            </w14:solidFill>
          </w14:textFill>
        </w:rPr>
        <w:t>改</w:t>
      </w:r>
      <w:r>
        <w:rPr>
          <w:rFonts w:hint="eastAsia"/>
          <w:color w:val="000000" w:themeColor="text1"/>
          <w:highlight w:val="none"/>
          <w14:textFill>
            <w14:solidFill>
              <w14:schemeClr w14:val="tx1"/>
            </w14:solidFill>
          </w14:textFill>
        </w:rPr>
        <w:t>行动的资金保障。</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（6）市</w:t>
      </w:r>
      <w:r>
        <w:rPr>
          <w:rFonts w:hint="eastAsia"/>
          <w:color w:val="000000" w:themeColor="text1"/>
          <w:highlight w:val="none"/>
          <w:lang w:eastAsia="zh-CN"/>
          <w14:textFill>
            <w14:solidFill>
              <w14:schemeClr w14:val="tx1"/>
            </w14:solidFill>
          </w14:textFill>
        </w:rPr>
        <w:t>自然资源</w:t>
      </w:r>
      <w:r>
        <w:rPr>
          <w:rFonts w:hint="eastAsia"/>
          <w:color w:val="000000" w:themeColor="text1"/>
          <w:highlight w:val="none"/>
          <w14:textFill>
            <w14:solidFill>
              <w14:schemeClr w14:val="tx1"/>
            </w14:solidFill>
          </w14:textFill>
        </w:rPr>
        <w:t>局：负责对符合条件的畜禽养殖用地按有关法律法规要求办理相关用地手续，</w:t>
      </w:r>
      <w:r>
        <w:rPr>
          <w:rFonts w:hint="eastAsia"/>
          <w:color w:val="000000" w:themeColor="text1"/>
          <w:highlight w:val="none"/>
          <w:lang w:eastAsia="zh-CN"/>
          <w14:textFill>
            <w14:solidFill>
              <w14:schemeClr w14:val="tx1"/>
            </w14:solidFill>
          </w14:textFill>
        </w:rPr>
        <w:t>联合农业农村局依据职能和法规查处不符合规定要求开展设施建设和使用土地、</w:t>
      </w:r>
      <w:r>
        <w:rPr>
          <w:rFonts w:hint="eastAsia"/>
          <w:color w:val="000000" w:themeColor="text1"/>
          <w:highlight w:val="none"/>
          <w14:textFill>
            <w14:solidFill>
              <w14:schemeClr w14:val="tx1"/>
            </w14:solidFill>
          </w14:textFill>
        </w:rPr>
        <w:t>擅自或变相将设施农用地用于其他非农建设行为，并督促镇政府（街道办）及时要求经营者纠正整改。</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（7）兴宁供电局：依据政府有关部门送达的书面协助执行文件和行政决定书，协助政府部门按停电程序对证照不齐和逾期未搬迁的养殖场（点）实施断电。</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8</w:t>
      </w:r>
      <w:r>
        <w:rPr>
          <w:rFonts w:hint="eastAsia"/>
          <w:color w:val="000000" w:themeColor="text1"/>
          <w:highlight w:val="none"/>
          <w14:textFill>
            <w14:solidFill>
              <w14:schemeClr w14:val="tx1"/>
            </w14:solidFill>
          </w14:textFill>
        </w:rPr>
        <w:t>）市公安、</w:t>
      </w:r>
      <w:r>
        <w:rPr>
          <w:rFonts w:hint="eastAsia"/>
          <w:color w:val="000000" w:themeColor="text1"/>
          <w:highlight w:val="none"/>
          <w:lang w:eastAsia="zh-CN"/>
          <w14:textFill>
            <w14:solidFill>
              <w14:schemeClr w14:val="tx1"/>
            </w14:solidFill>
          </w14:textFill>
        </w:rPr>
        <w:t>司法</w:t>
      </w:r>
      <w:r>
        <w:rPr>
          <w:rFonts w:hint="eastAsia"/>
          <w:color w:val="000000" w:themeColor="text1"/>
          <w:highlight w:val="none"/>
          <w14:textFill>
            <w14:solidFill>
              <w14:schemeClr w14:val="tx1"/>
            </w14:solidFill>
          </w14:textFill>
        </w:rPr>
        <w:t>、信访、宣传等部门应根据各自的职能，协同做好畜禽养殖污染整治的宣传、维稳等工作。</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9</w:t>
      </w:r>
      <w:r>
        <w:rPr>
          <w:rFonts w:hint="eastAsia"/>
          <w:color w:val="000000" w:themeColor="text1"/>
          <w:highlight w:val="none"/>
          <w14:textFill>
            <w14:solidFill>
              <w14:schemeClr w14:val="tx1"/>
            </w14:solidFill>
          </w14:textFill>
        </w:rPr>
        <w:t>）落实责任。建立完善考核制度，将任务指标落实到镇（街道）和部门，做到任务具体、责任到位。各镇（街道）和有关部门要按照本方案尽快制订禁止养殖区域内畜禽养殖场搬迁和整</w:t>
      </w:r>
      <w:r>
        <w:rPr>
          <w:rFonts w:hint="eastAsia"/>
          <w:color w:val="000000" w:themeColor="text1"/>
          <w:highlight w:val="none"/>
          <w:lang w:eastAsia="zh-CN"/>
          <w14:textFill>
            <w14:solidFill>
              <w14:schemeClr w14:val="tx1"/>
            </w14:solidFill>
          </w14:textFill>
        </w:rPr>
        <w:t>改</w:t>
      </w:r>
      <w:r>
        <w:rPr>
          <w:rFonts w:hint="eastAsia"/>
          <w:color w:val="000000" w:themeColor="text1"/>
          <w:highlight w:val="none"/>
          <w14:textFill>
            <w14:solidFill>
              <w14:schemeClr w14:val="tx1"/>
            </w14:solidFill>
          </w14:textFill>
        </w:rPr>
        <w:t>方案，做到统一规划、逐个落实，使兴宁市畜禽养殖业发展尽快步入良性循环，年出栏</w:t>
      </w:r>
      <w:r>
        <w:rPr>
          <w:color w:val="000000" w:themeColor="text1"/>
          <w:highlight w:val="none"/>
          <w14:textFill>
            <w14:solidFill>
              <w14:schemeClr w14:val="tx1"/>
            </w14:solidFill>
          </w14:textFill>
        </w:rPr>
        <w:t>50条以下</w:t>
      </w:r>
      <w:r>
        <w:rPr>
          <w:rFonts w:hint="eastAsia"/>
          <w:color w:val="000000" w:themeColor="text1"/>
          <w:highlight w:val="none"/>
          <w14:textFill>
            <w14:solidFill>
              <w14:schemeClr w14:val="tx1"/>
            </w14:solidFill>
          </w14:textFill>
        </w:rPr>
        <w:t>的养殖户需严格监管，</w:t>
      </w:r>
      <w:r>
        <w:rPr>
          <w:rFonts w:hint="eastAsia" w:ascii="宋体" w:hAnsi="宋体"/>
          <w:color w:val="000000" w:themeColor="text1"/>
          <w:highlight w:val="none"/>
          <w14:textFill>
            <w14:solidFill>
              <w14:schemeClr w14:val="tx1"/>
            </w14:solidFill>
          </w14:textFill>
        </w:rPr>
        <w:t>不能随意排放污染物影响环境</w:t>
      </w:r>
      <w:r>
        <w:rPr>
          <w:rFonts w:hint="eastAsia"/>
          <w:color w:val="000000" w:themeColor="text1"/>
          <w:highlight w:val="none"/>
          <w14:textFill>
            <w14:solidFill>
              <w14:schemeClr w14:val="tx1"/>
            </w14:solidFill>
          </w14:textFill>
        </w:rPr>
        <w:t>，由辖区镇（街道）、村委及相关部门监督。</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0</w:t>
      </w:r>
      <w:r>
        <w:rPr>
          <w:rFonts w:hint="eastAsia"/>
          <w:color w:val="000000" w:themeColor="text1"/>
          <w:highlight w:val="none"/>
          <w14:textFill>
            <w14:solidFill>
              <w14:schemeClr w14:val="tx1"/>
            </w14:solidFill>
          </w14:textFill>
        </w:rPr>
        <w:t>）审核与考核</w:t>
      </w:r>
    </w:p>
    <w:p>
      <w:pPr>
        <w:rPr>
          <w:color w:val="000000" w:themeColor="text1"/>
          <w:highlight w:val="none"/>
          <w14:textFill>
            <w14:solidFill>
              <w14:schemeClr w14:val="tx1"/>
            </w14:solidFill>
          </w14:textFill>
        </w:rPr>
      </w:pPr>
      <w:r>
        <w:rPr>
          <w:color w:val="000000" w:themeColor="text1"/>
          <w:spacing w:val="-1"/>
          <w:highlight w:val="none"/>
          <w14:textFill>
            <w14:solidFill>
              <w14:schemeClr w14:val="tx1"/>
            </w14:solidFill>
          </w14:textFill>
        </w:rPr>
        <w:t>各镇</w:t>
      </w:r>
      <w:r>
        <w:rPr>
          <w:rFonts w:hint="eastAsia"/>
          <w:color w:val="000000" w:themeColor="text1"/>
          <w:spacing w:val="-1"/>
          <w:highlight w:val="none"/>
          <w14:textFill>
            <w14:solidFill>
              <w14:schemeClr w14:val="tx1"/>
            </w14:solidFill>
          </w14:textFill>
        </w:rPr>
        <w:t>（街道）</w:t>
      </w:r>
      <w:r>
        <w:rPr>
          <w:rFonts w:hint="eastAsia"/>
          <w:color w:val="000000" w:themeColor="text1"/>
          <w:highlight w:val="none"/>
          <w14:textFill>
            <w14:solidFill>
              <w14:schemeClr w14:val="tx1"/>
            </w14:solidFill>
          </w14:textFill>
        </w:rPr>
        <w:t>应在规定期限前将辖区内养殖场整治资料收集汇总报</w:t>
      </w:r>
      <w:r>
        <w:rPr>
          <w:rFonts w:hint="eastAsia"/>
          <w:color w:val="000000" w:themeColor="text1"/>
          <w:highlight w:val="none"/>
          <w:lang w:eastAsia="zh-CN"/>
          <w14:textFill>
            <w14:solidFill>
              <w14:schemeClr w14:val="tx1"/>
            </w14:solidFill>
          </w14:textFill>
        </w:rPr>
        <w:t>相关职能部门</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相关职能部门</w:t>
      </w:r>
      <w:r>
        <w:rPr>
          <w:rFonts w:hint="eastAsia"/>
          <w:color w:val="000000" w:themeColor="text1"/>
          <w:highlight w:val="none"/>
          <w14:textFill>
            <w14:solidFill>
              <w14:schemeClr w14:val="tx1"/>
            </w14:solidFill>
          </w14:textFill>
        </w:rPr>
        <w:t>组织相关技术人员成立审核小组对资料审查并到现场核验，对照养殖标准得出审核结论。</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1</w:t>
      </w:r>
      <w:r>
        <w:rPr>
          <w:rFonts w:hint="eastAsia"/>
          <w:color w:val="000000" w:themeColor="text1"/>
          <w:highlight w:val="none"/>
          <w14:textFill>
            <w14:solidFill>
              <w14:schemeClr w14:val="tx1"/>
            </w14:solidFill>
          </w14:textFill>
        </w:rPr>
        <w:t>）严格执法。</w:t>
      </w:r>
      <w:r>
        <w:rPr>
          <w:rFonts w:hint="eastAsia"/>
          <w:color w:val="000000" w:themeColor="text1"/>
          <w:highlight w:val="none"/>
          <w:lang w:eastAsia="zh-CN"/>
          <w14:textFill>
            <w14:solidFill>
              <w14:schemeClr w14:val="tx1"/>
            </w14:solidFill>
          </w14:textFill>
        </w:rPr>
        <w:t>农业农村</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生态环境</w:t>
      </w:r>
      <w:r>
        <w:rPr>
          <w:rFonts w:hint="eastAsia"/>
          <w:color w:val="000000" w:themeColor="text1"/>
          <w:highlight w:val="none"/>
          <w14:textFill>
            <w14:solidFill>
              <w14:schemeClr w14:val="tx1"/>
            </w14:solidFill>
          </w14:textFill>
        </w:rPr>
        <w:t>、水务、</w:t>
      </w:r>
      <w:r>
        <w:rPr>
          <w:rFonts w:hint="eastAsia"/>
          <w:color w:val="000000" w:themeColor="text1"/>
          <w:highlight w:val="none"/>
          <w:lang w:eastAsia="zh-CN"/>
          <w14:textFill>
            <w14:solidFill>
              <w14:schemeClr w14:val="tx1"/>
            </w14:solidFill>
          </w14:textFill>
        </w:rPr>
        <w:t>自然资源</w:t>
      </w:r>
      <w:r>
        <w:rPr>
          <w:rFonts w:hint="eastAsia"/>
          <w:color w:val="000000" w:themeColor="text1"/>
          <w:highlight w:val="none"/>
          <w14:textFill>
            <w14:solidFill>
              <w14:schemeClr w14:val="tx1"/>
            </w14:solidFill>
          </w14:textFill>
        </w:rPr>
        <w:t>、林业等部门要开展畜禽养殖业污染整治联合执法，坚决查处和打击各种养殖污染环境的违法行为。</w:t>
      </w:r>
    </w:p>
    <w:p>
      <w:pPr>
        <w:rPr>
          <w:rFonts w:hint="eastAsia"/>
          <w:color w:val="000000" w:themeColor="text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注：各镇（街道）具体的工作职责以有关法律法规规定、生态环境保护责任清单、环保“一岗双责”、“三定”方案等有关规定执行。</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2、建立长效机制各畜禽养殖场（小区）必须严格按照其整</w:t>
      </w:r>
      <w:r>
        <w:rPr>
          <w:rFonts w:hint="eastAsia"/>
          <w:color w:val="000000" w:themeColor="text1"/>
          <w:highlight w:val="none"/>
          <w:lang w:eastAsia="zh-CN"/>
          <w14:textFill>
            <w14:solidFill>
              <w14:schemeClr w14:val="tx1"/>
            </w14:solidFill>
          </w14:textFill>
        </w:rPr>
        <w:t>改</w:t>
      </w:r>
      <w:r>
        <w:rPr>
          <w:rFonts w:hint="eastAsia"/>
          <w:color w:val="000000" w:themeColor="text1"/>
          <w:highlight w:val="none"/>
          <w14:textFill>
            <w14:solidFill>
              <w14:schemeClr w14:val="tx1"/>
            </w14:solidFill>
          </w14:textFill>
        </w:rPr>
        <w:t>方案进行粪污处理，循序渐进，科学安排，合理规划，建立长效的污染治理机制，使发展与生产同治污工作协调进行。</w:t>
      </w:r>
      <w:r>
        <w:rPr>
          <w:rFonts w:hint="eastAsia"/>
          <w:color w:val="000000" w:themeColor="text1"/>
          <w:highlight w:val="none"/>
          <w:lang w:eastAsia="zh-CN"/>
          <w14:textFill>
            <w14:solidFill>
              <w14:schemeClr w14:val="tx1"/>
            </w14:solidFill>
          </w14:textFill>
        </w:rPr>
        <w:t>生态环境</w:t>
      </w:r>
      <w:r>
        <w:rPr>
          <w:rFonts w:hint="eastAsia"/>
          <w:color w:val="000000" w:themeColor="text1"/>
          <w:highlight w:val="none"/>
          <w14:textFill>
            <w14:solidFill>
              <w14:schemeClr w14:val="tx1"/>
            </w14:solidFill>
          </w14:textFill>
        </w:rPr>
        <w:t>执法部门加强对这些养殖场的法律监管。</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3、宣传与协助</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（1）广泛宣传。</w:t>
      </w:r>
      <w:r>
        <w:rPr>
          <w:color w:val="000000" w:themeColor="text1"/>
          <w:spacing w:val="-1"/>
          <w:highlight w:val="none"/>
          <w14:textFill>
            <w14:solidFill>
              <w14:schemeClr w14:val="tx1"/>
            </w14:solidFill>
          </w14:textFill>
        </w:rPr>
        <w:t>各镇</w:t>
      </w:r>
      <w:r>
        <w:rPr>
          <w:rFonts w:hint="eastAsia"/>
          <w:color w:val="000000" w:themeColor="text1"/>
          <w:spacing w:val="-1"/>
          <w:highlight w:val="none"/>
          <w14:textFill>
            <w14:solidFill>
              <w14:schemeClr w14:val="tx1"/>
            </w14:solidFill>
          </w14:textFill>
        </w:rPr>
        <w:t>（街道）</w:t>
      </w:r>
      <w:r>
        <w:rPr>
          <w:rFonts w:hint="eastAsia"/>
          <w:color w:val="000000" w:themeColor="text1"/>
          <w:highlight w:val="none"/>
          <w14:textFill>
            <w14:solidFill>
              <w14:schemeClr w14:val="tx1"/>
            </w14:solidFill>
          </w14:textFill>
        </w:rPr>
        <w:t>和有关部门要充分利用广播、电视、报刊、网络等新闻媒体，面向农村广泛开展多层次、多形式的宣传，宣讲搬迁的必要性，解释奖补政策与标准，及时报道对环境造成严重影响的畜禽养殖污染事件和治污典型，形成强大的舆论声势。</w:t>
      </w:r>
    </w:p>
    <w:p>
      <w:pPr>
        <w:rPr>
          <w:color w:val="000000" w:themeColor="text1"/>
          <w:highlight w:val="none"/>
          <w14:textFill>
            <w14:solidFill>
              <w14:schemeClr w14:val="tx1"/>
            </w14:solidFill>
          </w14:textFill>
        </w:rPr>
        <w:sectPr>
          <w:pgSz w:w="11906" w:h="16838"/>
          <w:pgMar w:top="1418" w:right="1418" w:bottom="1418" w:left="1418" w:header="851" w:footer="992" w:gutter="0"/>
          <w:cols w:space="425" w:num="1"/>
          <w:docGrid w:type="lines" w:linePitch="312" w:charSpace="0"/>
        </w:sectPr>
      </w:pPr>
      <w:r>
        <w:rPr>
          <w:rFonts w:hint="eastAsia"/>
          <w:color w:val="000000" w:themeColor="text1"/>
          <w:highlight w:val="none"/>
          <w14:textFill>
            <w14:solidFill>
              <w14:schemeClr w14:val="tx1"/>
            </w14:solidFill>
          </w14:textFill>
        </w:rPr>
        <w:t>（2）加强指导。</w:t>
      </w:r>
      <w:r>
        <w:rPr>
          <w:rFonts w:hint="eastAsia"/>
          <w:color w:val="000000" w:themeColor="text1"/>
          <w:highlight w:val="none"/>
          <w:lang w:eastAsia="zh-CN"/>
          <w14:textFill>
            <w14:solidFill>
              <w14:schemeClr w14:val="tx1"/>
            </w14:solidFill>
          </w14:textFill>
        </w:rPr>
        <w:t>农业农村</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生态环境</w:t>
      </w:r>
      <w:r>
        <w:rPr>
          <w:rFonts w:hint="eastAsia"/>
          <w:color w:val="000000" w:themeColor="text1"/>
          <w:highlight w:val="none"/>
          <w14:textFill>
            <w14:solidFill>
              <w14:schemeClr w14:val="tx1"/>
            </w14:solidFill>
          </w14:textFill>
        </w:rPr>
        <w:t>等部门应加强对畜禽养殖业的指导和管理，切实采取措施，大力推广干湿分离、沼气化处理、有机复合肥加工、养殖-沼气-种植等畜禽养殖污染防治实用技术和生态养殖模式，加大畜禽粪污综合治理和循环利用力度，促进畜牧业绿色健康可持续发展。</w:t>
      </w:r>
    </w:p>
    <w:p>
      <w:pPr>
        <w:keepNext/>
        <w:ind w:firstLine="0" w:firstLineChars="0"/>
        <w:rPr>
          <w:b/>
          <w:bCs/>
          <w:color w:val="000000" w:themeColor="text1"/>
          <w:sz w:val="30"/>
          <w:szCs w:val="30"/>
          <w:highlight w:val="none"/>
          <w14:textFill>
            <w14:solidFill>
              <w14:schemeClr w14:val="tx1"/>
            </w14:solidFill>
          </w14:textFill>
        </w:rPr>
      </w:pPr>
      <w:r>
        <w:rPr>
          <w:rFonts w:hint="eastAsia"/>
          <w:b/>
          <w:bCs/>
          <w:color w:val="000000" w:themeColor="text1"/>
          <w:sz w:val="30"/>
          <w:szCs w:val="30"/>
          <w:highlight w:val="none"/>
          <w14:textFill>
            <w14:solidFill>
              <w14:schemeClr w14:val="tx1"/>
            </w14:solidFill>
          </w14:textFill>
        </w:rPr>
        <w:t>附表</w:t>
      </w:r>
      <w:bookmarkEnd w:id="78"/>
    </w:p>
    <w:p>
      <w:pPr>
        <w:keepNext/>
        <w:spacing w:before="163" w:after="163" w:line="240" w:lineRule="auto"/>
        <w:ind w:left="578" w:firstLine="0" w:firstLineChars="0"/>
        <w:jc w:val="center"/>
        <w:rPr>
          <w:b/>
          <w:bCs/>
          <w:color w:val="000000" w:themeColor="text1"/>
          <w:sz w:val="30"/>
          <w:szCs w:val="30"/>
          <w:highlight w:val="none"/>
          <w14:textFill>
            <w14:solidFill>
              <w14:schemeClr w14:val="tx1"/>
            </w14:solidFill>
          </w14:textFill>
        </w:rPr>
      </w:pPr>
      <w:bookmarkStart w:id="79" w:name="_Toc527706851"/>
      <w:r>
        <w:rPr>
          <w:rFonts w:hint="eastAsia"/>
          <w:b/>
          <w:bCs/>
          <w:color w:val="000000" w:themeColor="text1"/>
          <w:sz w:val="30"/>
          <w:szCs w:val="30"/>
          <w:highlight w:val="none"/>
          <w14:textFill>
            <w14:solidFill>
              <w14:schemeClr w14:val="tx1"/>
            </w14:solidFill>
          </w14:textFill>
        </w:rPr>
        <w:t>附表1   兴宁市畜禽养殖禁养区登记表</w:t>
      </w:r>
      <w:bookmarkEnd w:id="79"/>
    </w:p>
    <w:tbl>
      <w:tblPr>
        <w:tblStyle w:val="33"/>
        <w:tblW w:w="8578" w:type="dxa"/>
        <w:jc w:val="center"/>
        <w:tblLayout w:type="fixed"/>
        <w:tblCellMar>
          <w:top w:w="0" w:type="dxa"/>
          <w:left w:w="108" w:type="dxa"/>
          <w:bottom w:w="0" w:type="dxa"/>
          <w:right w:w="108" w:type="dxa"/>
        </w:tblCellMar>
      </w:tblPr>
      <w:tblGrid>
        <w:gridCol w:w="1095"/>
        <w:gridCol w:w="4574"/>
        <w:gridCol w:w="2909"/>
      </w:tblGrid>
      <w:tr>
        <w:tblPrEx>
          <w:tblCellMar>
            <w:top w:w="0" w:type="dxa"/>
            <w:left w:w="108" w:type="dxa"/>
            <w:bottom w:w="0" w:type="dxa"/>
            <w:right w:w="108" w:type="dxa"/>
          </w:tblCellMar>
        </w:tblPrEx>
        <w:trPr>
          <w:trHeight w:val="340" w:hRule="atLeast"/>
          <w:jc w:val="center"/>
        </w:trPr>
        <w:tc>
          <w:tcPr>
            <w:tcW w:w="109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left="0" w:leftChars="0" w:firstLine="0" w:firstLineChars="0"/>
              <w:jc w:val="center"/>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序号</w:t>
            </w:r>
          </w:p>
        </w:tc>
        <w:tc>
          <w:tcPr>
            <w:tcW w:w="4574"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名称</w:t>
            </w:r>
          </w:p>
        </w:tc>
        <w:tc>
          <w:tcPr>
            <w:tcW w:w="2909"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禁养区面积（</w:t>
            </w:r>
            <w:r>
              <w:rPr>
                <w:b/>
                <w:bCs/>
                <w:color w:val="000000" w:themeColor="text1"/>
                <w:highlight w:val="none"/>
                <w14:textFill>
                  <w14:solidFill>
                    <w14:schemeClr w14:val="tx1"/>
                  </w14:solidFill>
                </w14:textFill>
              </w:rPr>
              <w:t>km</w:t>
            </w:r>
            <w:r>
              <w:rPr>
                <w:b/>
                <w:bCs/>
                <w:color w:val="000000" w:themeColor="text1"/>
                <w:highlight w:val="none"/>
                <w:vertAlign w:val="superscript"/>
                <w14:textFill>
                  <w14:solidFill>
                    <w14:schemeClr w14:val="tx1"/>
                  </w14:solidFill>
                </w14:textFill>
              </w:rPr>
              <w:t>2</w:t>
            </w:r>
            <w:r>
              <w:rPr>
                <w:rFonts w:hint="eastAsia" w:ascii="宋体" w:hAnsi="宋体" w:cs="宋体"/>
                <w:b/>
                <w:bCs/>
                <w:color w:val="000000" w:themeColor="text1"/>
                <w:highlight w:val="none"/>
                <w14:textFill>
                  <w14:solidFill>
                    <w14:schemeClr w14:val="tx1"/>
                  </w14:solidFill>
                </w14:textFill>
              </w:rPr>
              <w:t>）</w:t>
            </w:r>
          </w:p>
        </w:tc>
      </w:tr>
      <w:tr>
        <w:tblPrEx>
          <w:tblCellMar>
            <w:top w:w="0" w:type="dxa"/>
            <w:left w:w="108" w:type="dxa"/>
            <w:bottom w:w="0" w:type="dxa"/>
            <w:right w:w="108" w:type="dxa"/>
          </w:tblCellMar>
        </w:tblPrEx>
        <w:trPr>
          <w:trHeight w:val="340" w:hRule="atLeast"/>
          <w:jc w:val="center"/>
        </w:trPr>
        <w:tc>
          <w:tcPr>
            <w:tcW w:w="8578"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一、饮用水源保护区</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和山岩水库饮用水源保护区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14.71</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合水水库饮用水源保护区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11.18</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3</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溜石塘溪饮用水源保护区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5.28</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4</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建民村建新水库饮用水源保护区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3.26</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5</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黄溪村班基坪水库饮用水源保护区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13.37</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6</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后山村石崆里山塘饮用水源保护区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3.01</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7</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溪庄村热水水库饮用水源保护区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3.62</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8</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兰塘村钳口陂水库饮用水源保护区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4.95</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9</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苏京村九莱口水库饮用水源保护区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7.48</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10</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汤一村红湖水库饮用水源保护区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14.24</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11</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林场村童子排山塘饮用水源保护区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1.52</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12</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大新村九子坑上库饮用水源保护区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1.1</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13</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新丰村大草坝水库饮用水源保护区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1.63</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14</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龙岗村老虎石水库饮用水源保护区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1.08</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15</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洋田村炉背坑饮用水源保护区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0.11</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16</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高坑村罗坑水饮用水源保护区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9.82</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17</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石岌村王正坑水饮用水源保护区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6.2</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18</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官亭村旱寨坑饮用水源保护区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0.29</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19</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黄坭坑水库饮用水源保护区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w:t>
            </w:r>
            <w:r>
              <w:rPr>
                <w:rFonts w:hint="eastAsia"/>
                <w:color w:val="000000" w:themeColor="text1"/>
                <w:sz w:val="21"/>
                <w:szCs w:val="21"/>
                <w:highlight w:val="none"/>
                <w14:textFill>
                  <w14:solidFill>
                    <w14:schemeClr w14:val="tx1"/>
                  </w14:solidFill>
                </w14:textFill>
              </w:rPr>
              <w:t>86</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20</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eastAsia="zh-CN"/>
                <w14:textFill>
                  <w14:solidFill>
                    <w14:schemeClr w14:val="tx1"/>
                  </w14:solidFill>
                </w14:textFill>
              </w:rPr>
              <w:t>畲江镇饮用水源保护区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7.91</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21</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eastAsia="zh-CN"/>
                <w14:textFill>
                  <w14:solidFill>
                    <w14:schemeClr w14:val="tx1"/>
                  </w14:solidFill>
                </w14:textFill>
              </w:rPr>
              <w:t>福岭水库饮用水源保护区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5.85</w:t>
            </w:r>
          </w:p>
        </w:tc>
      </w:tr>
      <w:tr>
        <w:tblPrEx>
          <w:tblCellMar>
            <w:top w:w="0" w:type="dxa"/>
            <w:left w:w="108" w:type="dxa"/>
            <w:bottom w:w="0" w:type="dxa"/>
            <w:right w:w="108" w:type="dxa"/>
          </w:tblCellMar>
        </w:tblPrEx>
        <w:trPr>
          <w:trHeight w:val="202" w:hRule="atLeast"/>
          <w:jc w:val="center"/>
        </w:trPr>
        <w:tc>
          <w:tcPr>
            <w:tcW w:w="566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小计</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118.47</w:t>
            </w:r>
          </w:p>
        </w:tc>
      </w:tr>
      <w:tr>
        <w:tblPrEx>
          <w:tblCellMar>
            <w:top w:w="0" w:type="dxa"/>
            <w:left w:w="108" w:type="dxa"/>
            <w:bottom w:w="0" w:type="dxa"/>
            <w:right w:w="108" w:type="dxa"/>
          </w:tblCellMar>
        </w:tblPrEx>
        <w:trPr>
          <w:trHeight w:val="141" w:hRule="atLeast"/>
          <w:jc w:val="center"/>
        </w:trPr>
        <w:tc>
          <w:tcPr>
            <w:tcW w:w="566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减去</w:t>
            </w:r>
            <w:r>
              <w:rPr>
                <w:rFonts w:hint="eastAsia" w:ascii="宋体" w:hAnsi="宋体" w:cs="宋体"/>
                <w:color w:val="000000" w:themeColor="text1"/>
                <w:sz w:val="21"/>
                <w:szCs w:val="21"/>
                <w:highlight w:val="none"/>
                <w14:textFill>
                  <w14:solidFill>
                    <w14:schemeClr w14:val="tx1"/>
                  </w14:solidFill>
                </w14:textFill>
              </w:rPr>
              <w:t>重叠面积</w:t>
            </w:r>
            <w:r>
              <w:rPr>
                <w:rFonts w:hint="eastAsia" w:ascii="宋体" w:hAnsi="宋体" w:cs="宋体"/>
                <w:color w:val="000000" w:themeColor="text1"/>
                <w:sz w:val="21"/>
                <w:szCs w:val="21"/>
                <w:highlight w:val="none"/>
                <w:lang w:val="en-US" w:eastAsia="zh-CN"/>
                <w14:textFill>
                  <w14:solidFill>
                    <w14:schemeClr w14:val="tx1"/>
                  </w14:solidFill>
                </w14:textFill>
              </w:rPr>
              <w:t>15</w:t>
            </w:r>
            <w:r>
              <w:rPr>
                <w:rFonts w:hint="eastAsia"/>
                <w:color w:val="000000" w:themeColor="text1"/>
                <w:sz w:val="21"/>
                <w:szCs w:val="21"/>
                <w:highlight w:val="none"/>
                <w:lang w:val="en-US" w:eastAsia="zh-CN"/>
                <w14:textFill>
                  <w14:solidFill>
                    <w14:schemeClr w14:val="tx1"/>
                  </w14:solidFill>
                </w14:textFill>
              </w:rPr>
              <w:t>km</w:t>
            </w:r>
            <w:r>
              <w:rPr>
                <w:rFonts w:hint="eastAsia"/>
                <w:color w:val="000000" w:themeColor="text1"/>
                <w:sz w:val="21"/>
                <w:szCs w:val="21"/>
                <w:highlight w:val="none"/>
                <w:vertAlign w:val="superscript"/>
                <w:lang w:val="en-US" w:eastAsia="zh-CN"/>
                <w14:textFill>
                  <w14:solidFill>
                    <w14:schemeClr w14:val="tx1"/>
                  </w14:solidFill>
                </w14:textFill>
              </w:rPr>
              <w:t>2</w:t>
            </w:r>
          </w:p>
        </w:tc>
        <w:tc>
          <w:tcPr>
            <w:tcW w:w="2909"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禁养区面积合计103.47km</w:t>
            </w:r>
            <w:r>
              <w:rPr>
                <w:rFonts w:hint="eastAsia"/>
                <w:color w:val="000000" w:themeColor="text1"/>
                <w:sz w:val="21"/>
                <w:szCs w:val="21"/>
                <w:highlight w:val="none"/>
                <w:vertAlign w:val="superscript"/>
                <w:lang w:val="en-US" w:eastAsia="zh-CN"/>
                <w14:textFill>
                  <w14:solidFill>
                    <w14:schemeClr w14:val="tx1"/>
                  </w14:solidFill>
                </w14:textFill>
              </w:rPr>
              <w:t>2</w:t>
            </w:r>
          </w:p>
        </w:tc>
      </w:tr>
      <w:tr>
        <w:tblPrEx>
          <w:tblCellMar>
            <w:top w:w="0" w:type="dxa"/>
            <w:left w:w="108" w:type="dxa"/>
            <w:bottom w:w="0" w:type="dxa"/>
            <w:right w:w="108" w:type="dxa"/>
          </w:tblCellMar>
        </w:tblPrEx>
        <w:trPr>
          <w:trHeight w:val="340" w:hRule="atLeast"/>
          <w:jc w:val="center"/>
        </w:trPr>
        <w:tc>
          <w:tcPr>
            <w:tcW w:w="8578"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二、自然保护区</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铁山渡田河省级自然保护区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178.27</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白鹤仙师自然保护区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20</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3</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兴宁和山岩自然保护区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6.67</w:t>
            </w:r>
          </w:p>
        </w:tc>
      </w:tr>
      <w:tr>
        <w:tblPrEx>
          <w:tblCellMar>
            <w:top w:w="0" w:type="dxa"/>
            <w:left w:w="108" w:type="dxa"/>
            <w:bottom w:w="0" w:type="dxa"/>
            <w:right w:w="108" w:type="dxa"/>
          </w:tblCellMar>
        </w:tblPrEx>
        <w:trPr>
          <w:trHeight w:val="9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4</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兴宁合水自然保护区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20</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5</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兴宁石壁自然保护区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10.00</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6</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兴宁四望嶂自然保护区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20</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7</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神光山自然保护区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13.33</w:t>
            </w:r>
          </w:p>
        </w:tc>
      </w:tr>
      <w:tr>
        <w:tblPrEx>
          <w:tblCellMar>
            <w:top w:w="0" w:type="dxa"/>
            <w:left w:w="108" w:type="dxa"/>
            <w:bottom w:w="0" w:type="dxa"/>
            <w:right w:w="108" w:type="dxa"/>
          </w:tblCellMar>
        </w:tblPrEx>
        <w:trPr>
          <w:trHeight w:val="226" w:hRule="atLeast"/>
          <w:jc w:val="center"/>
        </w:trPr>
        <w:tc>
          <w:tcPr>
            <w:tcW w:w="5669"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小计</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268.27</w:t>
            </w:r>
          </w:p>
        </w:tc>
      </w:tr>
      <w:tr>
        <w:tblPrEx>
          <w:tblCellMar>
            <w:top w:w="0" w:type="dxa"/>
            <w:left w:w="108" w:type="dxa"/>
            <w:bottom w:w="0" w:type="dxa"/>
            <w:right w:w="108" w:type="dxa"/>
          </w:tblCellMar>
        </w:tblPrEx>
        <w:trPr>
          <w:trHeight w:val="133" w:hRule="atLeast"/>
          <w:jc w:val="center"/>
        </w:trPr>
        <w:tc>
          <w:tcPr>
            <w:tcW w:w="5669"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pPr>
              <w:spacing w:line="240" w:lineRule="auto"/>
              <w:ind w:firstLine="0" w:firstLineChars="0"/>
              <w:jc w:val="center"/>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减去</w:t>
            </w:r>
            <w:r>
              <w:rPr>
                <w:rFonts w:hint="eastAsia" w:ascii="宋体" w:hAnsi="宋体" w:cs="宋体"/>
                <w:color w:val="000000" w:themeColor="text1"/>
                <w:sz w:val="21"/>
                <w:szCs w:val="21"/>
                <w:highlight w:val="none"/>
                <w14:textFill>
                  <w14:solidFill>
                    <w14:schemeClr w14:val="tx1"/>
                  </w14:solidFill>
                </w14:textFill>
              </w:rPr>
              <w:t>重叠面积</w:t>
            </w:r>
            <w:r>
              <w:rPr>
                <w:rFonts w:hint="eastAsia" w:ascii="宋体" w:hAnsi="宋体" w:cs="宋体"/>
                <w:color w:val="000000" w:themeColor="text1"/>
                <w:sz w:val="21"/>
                <w:szCs w:val="21"/>
                <w:highlight w:val="none"/>
                <w:lang w:val="en-US" w:eastAsia="zh-CN"/>
                <w14:textFill>
                  <w14:solidFill>
                    <w14:schemeClr w14:val="tx1"/>
                  </w14:solidFill>
                </w14:textFill>
              </w:rPr>
              <w:t>104</w:t>
            </w:r>
            <w:r>
              <w:rPr>
                <w:rFonts w:hint="eastAsia"/>
                <w:color w:val="000000" w:themeColor="text1"/>
                <w:sz w:val="21"/>
                <w:szCs w:val="21"/>
                <w:highlight w:val="none"/>
                <w:lang w:val="en-US" w:eastAsia="zh-CN"/>
                <w14:textFill>
                  <w14:solidFill>
                    <w14:schemeClr w14:val="tx1"/>
                  </w14:solidFill>
                </w14:textFill>
              </w:rPr>
              <w:t>km</w:t>
            </w:r>
            <w:r>
              <w:rPr>
                <w:rFonts w:hint="eastAsia"/>
                <w:color w:val="000000" w:themeColor="text1"/>
                <w:sz w:val="21"/>
                <w:szCs w:val="21"/>
                <w:highlight w:val="none"/>
                <w:vertAlign w:val="superscript"/>
                <w:lang w:val="en-US" w:eastAsia="zh-CN"/>
                <w14:textFill>
                  <w14:solidFill>
                    <w14:schemeClr w14:val="tx1"/>
                  </w14:solidFill>
                </w14:textFill>
              </w:rPr>
              <w:t>2</w:t>
            </w:r>
          </w:p>
        </w:tc>
        <w:tc>
          <w:tcPr>
            <w:tcW w:w="2909"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禁养区面积合计164.27km</w:t>
            </w:r>
            <w:r>
              <w:rPr>
                <w:rFonts w:hint="eastAsia"/>
                <w:color w:val="000000" w:themeColor="text1"/>
                <w:sz w:val="21"/>
                <w:szCs w:val="21"/>
                <w:highlight w:val="none"/>
                <w:vertAlign w:val="superscript"/>
                <w:lang w:val="en-US" w:eastAsia="zh-CN"/>
                <w14:textFill>
                  <w14:solidFill>
                    <w14:schemeClr w14:val="tx1"/>
                  </w14:solidFill>
                </w14:textFill>
              </w:rPr>
              <w:t>2</w:t>
            </w:r>
          </w:p>
        </w:tc>
      </w:tr>
      <w:tr>
        <w:tblPrEx>
          <w:tblCellMar>
            <w:top w:w="0" w:type="dxa"/>
            <w:left w:w="108" w:type="dxa"/>
            <w:bottom w:w="0" w:type="dxa"/>
            <w:right w:w="108" w:type="dxa"/>
          </w:tblCellMar>
        </w:tblPrEx>
        <w:trPr>
          <w:trHeight w:val="340" w:hRule="atLeast"/>
          <w:jc w:val="center"/>
        </w:trPr>
        <w:tc>
          <w:tcPr>
            <w:tcW w:w="8578" w:type="dxa"/>
            <w:gridSpan w:val="3"/>
            <w:tcBorders>
              <w:top w:val="single" w:color="auto" w:sz="4" w:space="0"/>
              <w:left w:val="single" w:color="auto" w:sz="4" w:space="0"/>
              <w:bottom w:val="single" w:color="auto" w:sz="4" w:space="0"/>
              <w:right w:val="single" w:color="000000" w:sz="4" w:space="0"/>
            </w:tcBorders>
            <w:shd w:val="clear" w:color="auto" w:fill="auto"/>
            <w:vAlign w:val="center"/>
          </w:tcPr>
          <w:p>
            <w:pPr>
              <w:spacing w:line="240" w:lineRule="auto"/>
              <w:ind w:firstLine="0" w:firstLineChars="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三、城镇居民区和文化教育研究区</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黄槐镇城市建成区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4.8</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罗浮镇城市建成区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1.56</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3</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罗岗镇城市建成区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6.79</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4</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黄陂镇城市建成区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11.46</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5</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大坪镇城市建成区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2.24</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6</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合水镇城市建成区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5.17</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7</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石马镇城市建成区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4.55</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8</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径南镇城市建成区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2.49</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9</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叶塘镇城市建成区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5.46</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10</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龙田镇城市建成区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2.49</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11</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永和镇城市建成区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2.81</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12</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宁中镇城市建成区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2.43</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13</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新陂镇城市建成区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1.07</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14</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宁新街道城市建成区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8.77</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15</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兴田街道城市建成区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4.84</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16</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新圩镇城市建成区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3.53</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17</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福兴街道城市建成区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9.72</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18</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坭陂镇城市建成区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1.91</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19</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刁坊镇城市建成区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4.52</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20</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水口镇城市建成区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7.03</w:t>
            </w:r>
          </w:p>
        </w:tc>
      </w:tr>
      <w:tr>
        <w:tblPrEx>
          <w:tblCellMar>
            <w:top w:w="0" w:type="dxa"/>
            <w:left w:w="108" w:type="dxa"/>
            <w:bottom w:w="0" w:type="dxa"/>
            <w:right w:w="108" w:type="dxa"/>
          </w:tblCellMar>
        </w:tblPrEx>
        <w:trPr>
          <w:trHeight w:val="200" w:hRule="atLeast"/>
          <w:jc w:val="center"/>
        </w:trPr>
        <w:tc>
          <w:tcPr>
            <w:tcW w:w="566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小计</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93.64</w:t>
            </w:r>
          </w:p>
        </w:tc>
      </w:tr>
      <w:tr>
        <w:tblPrEx>
          <w:tblCellMar>
            <w:top w:w="0" w:type="dxa"/>
            <w:left w:w="108" w:type="dxa"/>
            <w:bottom w:w="0" w:type="dxa"/>
            <w:right w:w="108" w:type="dxa"/>
          </w:tblCellMar>
        </w:tblPrEx>
        <w:trPr>
          <w:trHeight w:val="150" w:hRule="atLeast"/>
          <w:jc w:val="center"/>
        </w:trPr>
        <w:tc>
          <w:tcPr>
            <w:tcW w:w="566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减去</w:t>
            </w:r>
            <w:r>
              <w:rPr>
                <w:rFonts w:hint="eastAsia" w:ascii="宋体" w:hAnsi="宋体" w:cs="宋体"/>
                <w:color w:val="000000" w:themeColor="text1"/>
                <w:sz w:val="21"/>
                <w:szCs w:val="21"/>
                <w:highlight w:val="none"/>
                <w14:textFill>
                  <w14:solidFill>
                    <w14:schemeClr w14:val="tx1"/>
                  </w14:solidFill>
                </w14:textFill>
              </w:rPr>
              <w:t>重叠面积</w:t>
            </w:r>
            <w:r>
              <w:rPr>
                <w:rFonts w:hint="eastAsia" w:ascii="宋体" w:hAnsi="宋体" w:cs="宋体"/>
                <w:color w:val="000000" w:themeColor="text1"/>
                <w:sz w:val="21"/>
                <w:szCs w:val="21"/>
                <w:highlight w:val="none"/>
                <w:lang w:val="en-US" w:eastAsia="zh-CN"/>
                <w14:textFill>
                  <w14:solidFill>
                    <w14:schemeClr w14:val="tx1"/>
                  </w14:solidFill>
                </w14:textFill>
              </w:rPr>
              <w:t>18</w:t>
            </w:r>
            <w:r>
              <w:rPr>
                <w:rFonts w:hint="eastAsia"/>
                <w:color w:val="000000" w:themeColor="text1"/>
                <w:sz w:val="21"/>
                <w:szCs w:val="21"/>
                <w:highlight w:val="none"/>
                <w:lang w:val="en-US" w:eastAsia="zh-CN"/>
                <w14:textFill>
                  <w14:solidFill>
                    <w14:schemeClr w14:val="tx1"/>
                  </w14:solidFill>
                </w14:textFill>
              </w:rPr>
              <w:t>km</w:t>
            </w:r>
            <w:r>
              <w:rPr>
                <w:rFonts w:hint="eastAsia"/>
                <w:color w:val="000000" w:themeColor="text1"/>
                <w:sz w:val="21"/>
                <w:szCs w:val="21"/>
                <w:highlight w:val="none"/>
                <w:vertAlign w:val="superscript"/>
                <w:lang w:val="en-US" w:eastAsia="zh-CN"/>
                <w14:textFill>
                  <w14:solidFill>
                    <w14:schemeClr w14:val="tx1"/>
                  </w14:solidFill>
                </w14:textFill>
              </w:rPr>
              <w:t>2</w:t>
            </w:r>
          </w:p>
        </w:tc>
        <w:tc>
          <w:tcPr>
            <w:tcW w:w="2909"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禁养区面积合计75.64km</w:t>
            </w:r>
            <w:r>
              <w:rPr>
                <w:rFonts w:hint="eastAsia"/>
                <w:color w:val="000000" w:themeColor="text1"/>
                <w:sz w:val="21"/>
                <w:szCs w:val="21"/>
                <w:highlight w:val="none"/>
                <w:vertAlign w:val="superscript"/>
                <w:lang w:val="en-US" w:eastAsia="zh-CN"/>
                <w14:textFill>
                  <w14:solidFill>
                    <w14:schemeClr w14:val="tx1"/>
                  </w14:solidFill>
                </w14:textFill>
              </w:rPr>
              <w:t>2</w:t>
            </w:r>
          </w:p>
        </w:tc>
      </w:tr>
      <w:tr>
        <w:tblPrEx>
          <w:tblCellMar>
            <w:top w:w="0" w:type="dxa"/>
            <w:left w:w="108" w:type="dxa"/>
            <w:bottom w:w="0" w:type="dxa"/>
            <w:right w:w="108" w:type="dxa"/>
          </w:tblCellMar>
        </w:tblPrEx>
        <w:trPr>
          <w:trHeight w:val="340" w:hRule="atLeast"/>
          <w:jc w:val="center"/>
        </w:trPr>
        <w:tc>
          <w:tcPr>
            <w:tcW w:w="8578"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（二）文物保护单位</w:t>
            </w:r>
          </w:p>
        </w:tc>
      </w:tr>
      <w:tr>
        <w:tblPrEx>
          <w:tblCellMar>
            <w:top w:w="0" w:type="dxa"/>
            <w:left w:w="108" w:type="dxa"/>
            <w:bottom w:w="0" w:type="dxa"/>
            <w:right w:w="108" w:type="dxa"/>
          </w:tblCellMar>
        </w:tblPrEx>
        <w:trPr>
          <w:trHeight w:val="340" w:hRule="atLeast"/>
          <w:jc w:val="center"/>
        </w:trPr>
        <w:tc>
          <w:tcPr>
            <w:tcW w:w="566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ascii="宋体" w:hAnsi="宋体" w:cs="宋体"/>
                <w:color w:val="000000" w:themeColor="text1"/>
                <w:sz w:val="21"/>
                <w:szCs w:val="21"/>
                <w:highlight w:val="none"/>
                <w:lang w:val="en-US"/>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文物保护单位47个小计</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0.03</w:t>
            </w:r>
          </w:p>
        </w:tc>
      </w:tr>
      <w:tr>
        <w:tblPrEx>
          <w:tblCellMar>
            <w:top w:w="0" w:type="dxa"/>
            <w:left w:w="108" w:type="dxa"/>
            <w:bottom w:w="0" w:type="dxa"/>
            <w:right w:w="108" w:type="dxa"/>
          </w:tblCellMar>
        </w:tblPrEx>
        <w:trPr>
          <w:trHeight w:val="340" w:hRule="atLeast"/>
          <w:jc w:val="center"/>
        </w:trPr>
        <w:tc>
          <w:tcPr>
            <w:tcW w:w="8578"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bookmarkStart w:id="80" w:name="_Toc527706852"/>
            <w:r>
              <w:rPr>
                <w:rFonts w:hint="eastAsia" w:ascii="宋体" w:hAnsi="宋体" w:cs="宋体"/>
                <w:color w:val="000000" w:themeColor="text1"/>
                <w:sz w:val="21"/>
                <w:szCs w:val="21"/>
                <w:highlight w:val="none"/>
                <w14:textFill>
                  <w14:solidFill>
                    <w14:schemeClr w14:val="tx1"/>
                  </w14:solidFill>
                </w14:textFill>
              </w:rPr>
              <w:t>（</w:t>
            </w:r>
            <w:r>
              <w:rPr>
                <w:rFonts w:hint="eastAsia" w:ascii="宋体" w:hAnsi="宋体" w:cs="宋体"/>
                <w:color w:val="000000" w:themeColor="text1"/>
                <w:sz w:val="21"/>
                <w:szCs w:val="21"/>
                <w:highlight w:val="none"/>
                <w:lang w:val="en-US" w:eastAsia="zh-CN"/>
                <w14:textFill>
                  <w14:solidFill>
                    <w14:schemeClr w14:val="tx1"/>
                  </w14:solidFill>
                </w14:textFill>
              </w:rPr>
              <w:t>三</w:t>
            </w:r>
            <w:r>
              <w:rPr>
                <w:rFonts w:hint="eastAsia" w:ascii="宋体" w:hAnsi="宋体" w:cs="宋体"/>
                <w:color w:val="000000" w:themeColor="text1"/>
                <w:sz w:val="21"/>
                <w:szCs w:val="21"/>
                <w:highlight w:val="none"/>
                <w14:textFill>
                  <w14:solidFill>
                    <w14:schemeClr w14:val="tx1"/>
                  </w14:solidFill>
                </w14:textFill>
              </w:rPr>
              <w:t>）工业集中地</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梅兴华丰（水口工业园区）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16.58</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东莞石碣（兴宁）产业转移工业园</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6.43</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3</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东莞石碣（兴宁）产业转移工业园北区</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0.66</w:t>
            </w:r>
          </w:p>
        </w:tc>
      </w:tr>
      <w:tr>
        <w:tblPrEx>
          <w:tblCellMar>
            <w:top w:w="0" w:type="dxa"/>
            <w:left w:w="108" w:type="dxa"/>
            <w:bottom w:w="0" w:type="dxa"/>
            <w:right w:w="108" w:type="dxa"/>
          </w:tblCellMar>
        </w:tblPrEx>
        <w:trPr>
          <w:trHeight w:val="207" w:hRule="atLeast"/>
          <w:jc w:val="center"/>
        </w:trPr>
        <w:tc>
          <w:tcPr>
            <w:tcW w:w="566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小计</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23.67</w:t>
            </w:r>
          </w:p>
        </w:tc>
      </w:tr>
      <w:tr>
        <w:tblPrEx>
          <w:tblCellMar>
            <w:top w:w="0" w:type="dxa"/>
            <w:left w:w="108" w:type="dxa"/>
            <w:bottom w:w="0" w:type="dxa"/>
            <w:right w:w="108" w:type="dxa"/>
          </w:tblCellMar>
        </w:tblPrEx>
        <w:trPr>
          <w:trHeight w:val="143" w:hRule="atLeast"/>
          <w:jc w:val="center"/>
        </w:trPr>
        <w:tc>
          <w:tcPr>
            <w:tcW w:w="566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减去</w:t>
            </w:r>
            <w:r>
              <w:rPr>
                <w:rFonts w:hint="eastAsia" w:ascii="宋体" w:hAnsi="宋体" w:cs="宋体"/>
                <w:color w:val="000000" w:themeColor="text1"/>
                <w:sz w:val="21"/>
                <w:szCs w:val="21"/>
                <w:highlight w:val="none"/>
                <w14:textFill>
                  <w14:solidFill>
                    <w14:schemeClr w14:val="tx1"/>
                  </w14:solidFill>
                </w14:textFill>
              </w:rPr>
              <w:t>重叠面积</w:t>
            </w:r>
            <w:r>
              <w:rPr>
                <w:rFonts w:hint="eastAsia" w:ascii="宋体" w:hAnsi="宋体" w:cs="宋体"/>
                <w:color w:val="000000" w:themeColor="text1"/>
                <w:sz w:val="21"/>
                <w:szCs w:val="21"/>
                <w:highlight w:val="none"/>
                <w:lang w:val="en-US" w:eastAsia="zh-CN"/>
                <w14:textFill>
                  <w14:solidFill>
                    <w14:schemeClr w14:val="tx1"/>
                  </w14:solidFill>
                </w14:textFill>
              </w:rPr>
              <w:t>2.5</w:t>
            </w:r>
            <w:r>
              <w:rPr>
                <w:rFonts w:hint="eastAsia"/>
                <w:color w:val="000000" w:themeColor="text1"/>
                <w:sz w:val="21"/>
                <w:szCs w:val="21"/>
                <w:highlight w:val="none"/>
                <w:lang w:val="en-US" w:eastAsia="zh-CN"/>
                <w14:textFill>
                  <w14:solidFill>
                    <w14:schemeClr w14:val="tx1"/>
                  </w14:solidFill>
                </w14:textFill>
              </w:rPr>
              <w:t>km</w:t>
            </w:r>
            <w:r>
              <w:rPr>
                <w:rFonts w:hint="eastAsia"/>
                <w:color w:val="000000" w:themeColor="text1"/>
                <w:sz w:val="21"/>
                <w:szCs w:val="21"/>
                <w:highlight w:val="none"/>
                <w:vertAlign w:val="superscript"/>
                <w:lang w:val="en-US" w:eastAsia="zh-CN"/>
                <w14:textFill>
                  <w14:solidFill>
                    <w14:schemeClr w14:val="tx1"/>
                  </w14:solidFill>
                </w14:textFill>
              </w:rPr>
              <w:t>2</w:t>
            </w:r>
          </w:p>
        </w:tc>
        <w:tc>
          <w:tcPr>
            <w:tcW w:w="2909"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rFonts w:hint="eastAsia"/>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禁养区面积合计21.17km</w:t>
            </w:r>
            <w:r>
              <w:rPr>
                <w:rFonts w:hint="eastAsia"/>
                <w:color w:val="000000" w:themeColor="text1"/>
                <w:sz w:val="21"/>
                <w:szCs w:val="21"/>
                <w:highlight w:val="none"/>
                <w:vertAlign w:val="superscript"/>
                <w:lang w:val="en-US" w:eastAsia="zh-CN"/>
                <w14:textFill>
                  <w14:solidFill>
                    <w14:schemeClr w14:val="tx1"/>
                  </w14:solidFill>
                </w14:textFill>
              </w:rPr>
              <w:t>2</w:t>
            </w:r>
          </w:p>
        </w:tc>
      </w:tr>
      <w:tr>
        <w:tblPrEx>
          <w:tblCellMar>
            <w:top w:w="0" w:type="dxa"/>
            <w:left w:w="108" w:type="dxa"/>
            <w:bottom w:w="0" w:type="dxa"/>
            <w:right w:w="108" w:type="dxa"/>
          </w:tblCellMar>
        </w:tblPrEx>
        <w:trPr>
          <w:trHeight w:val="340" w:hRule="atLeast"/>
          <w:jc w:val="center"/>
        </w:trPr>
        <w:tc>
          <w:tcPr>
            <w:tcW w:w="8578"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四、法律法规规定应当划定的区域</w:t>
            </w:r>
          </w:p>
        </w:tc>
      </w:tr>
      <w:tr>
        <w:tblPrEx>
          <w:tblCellMar>
            <w:top w:w="0" w:type="dxa"/>
            <w:left w:w="108" w:type="dxa"/>
            <w:bottom w:w="0" w:type="dxa"/>
            <w:right w:w="108" w:type="dxa"/>
          </w:tblCellMar>
        </w:tblPrEx>
        <w:trPr>
          <w:trHeight w:val="340" w:hRule="atLeast"/>
          <w:jc w:val="center"/>
        </w:trPr>
        <w:tc>
          <w:tcPr>
            <w:tcW w:w="8578"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（一）森林公园</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神光山国家森林公园</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6.75</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eastAsia="zh-CN"/>
                <w14:textFill>
                  <w14:solidFill>
                    <w14:schemeClr w14:val="tx1"/>
                  </w14:solidFill>
                </w14:textFill>
              </w:rPr>
              <w:t>兴宁黄龙寨市级森林公园</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1.74</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3</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eastAsia="zh-CN"/>
                <w14:textFill>
                  <w14:solidFill>
                    <w14:schemeClr w14:val="tx1"/>
                  </w14:solidFill>
                </w14:textFill>
              </w:rPr>
              <w:t>兴宁龙田市级森林公园</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1.98</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4</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兴宁和山岩森林公园</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20</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5</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兴宁鸡鸣山森林公园</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20</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6</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兴宁武仙岩森林公园</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10</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7</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兴宁狮子岩森林公园</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18</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8</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兴宁龙母嶂森林公园</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15</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9</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兴宁白沙宫森林公园</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18</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10</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兴宁乐仙森林公园</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10</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11</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兴宁温公森林公园</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15</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12</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兴宁宝山森林公园</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12</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13</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eastAsia="zh-CN"/>
                <w14:textFill>
                  <w14:solidFill>
                    <w14:schemeClr w14:val="tx1"/>
                  </w14:solidFill>
                </w14:textFill>
              </w:rPr>
              <w:t>兴宁熙和湾森林公园</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1.42</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14</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eastAsia="zh-CN"/>
                <w14:textFill>
                  <w14:solidFill>
                    <w14:schemeClr w14:val="tx1"/>
                  </w14:solidFill>
                </w14:textFill>
              </w:rPr>
              <w:t>兴宁朱岭寨森林公园</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1.01</w:t>
            </w:r>
          </w:p>
        </w:tc>
      </w:tr>
      <w:tr>
        <w:tblPrEx>
          <w:tblCellMar>
            <w:top w:w="0" w:type="dxa"/>
            <w:left w:w="108" w:type="dxa"/>
            <w:bottom w:w="0" w:type="dxa"/>
            <w:right w:w="108" w:type="dxa"/>
          </w:tblCellMar>
        </w:tblPrEx>
        <w:trPr>
          <w:trHeight w:val="206" w:hRule="atLeast"/>
          <w:jc w:val="center"/>
        </w:trPr>
        <w:tc>
          <w:tcPr>
            <w:tcW w:w="566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小计</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150.9</w:t>
            </w:r>
          </w:p>
        </w:tc>
      </w:tr>
      <w:tr>
        <w:tblPrEx>
          <w:tblCellMar>
            <w:top w:w="0" w:type="dxa"/>
            <w:left w:w="108" w:type="dxa"/>
            <w:bottom w:w="0" w:type="dxa"/>
            <w:right w:w="108" w:type="dxa"/>
          </w:tblCellMar>
        </w:tblPrEx>
        <w:trPr>
          <w:trHeight w:val="144" w:hRule="atLeast"/>
          <w:jc w:val="center"/>
        </w:trPr>
        <w:tc>
          <w:tcPr>
            <w:tcW w:w="566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减去</w:t>
            </w:r>
            <w:r>
              <w:rPr>
                <w:rFonts w:hint="eastAsia" w:ascii="宋体" w:hAnsi="宋体" w:cs="宋体"/>
                <w:color w:val="000000" w:themeColor="text1"/>
                <w:sz w:val="21"/>
                <w:szCs w:val="21"/>
                <w:highlight w:val="none"/>
                <w14:textFill>
                  <w14:solidFill>
                    <w14:schemeClr w14:val="tx1"/>
                  </w14:solidFill>
                </w14:textFill>
              </w:rPr>
              <w:t>重叠面积</w:t>
            </w:r>
            <w:r>
              <w:rPr>
                <w:rFonts w:hint="eastAsia" w:ascii="宋体" w:hAnsi="宋体" w:cs="宋体"/>
                <w:color w:val="000000" w:themeColor="text1"/>
                <w:sz w:val="21"/>
                <w:szCs w:val="21"/>
                <w:highlight w:val="none"/>
                <w:lang w:val="en-US" w:eastAsia="zh-CN"/>
                <w14:textFill>
                  <w14:solidFill>
                    <w14:schemeClr w14:val="tx1"/>
                  </w14:solidFill>
                </w14:textFill>
              </w:rPr>
              <w:t>60</w:t>
            </w:r>
            <w:r>
              <w:rPr>
                <w:rFonts w:hint="eastAsia"/>
                <w:color w:val="000000" w:themeColor="text1"/>
                <w:sz w:val="21"/>
                <w:szCs w:val="21"/>
                <w:highlight w:val="none"/>
                <w:lang w:val="en-US" w:eastAsia="zh-CN"/>
                <w14:textFill>
                  <w14:solidFill>
                    <w14:schemeClr w14:val="tx1"/>
                  </w14:solidFill>
                </w14:textFill>
              </w:rPr>
              <w:t>km</w:t>
            </w:r>
            <w:r>
              <w:rPr>
                <w:rFonts w:hint="eastAsia"/>
                <w:color w:val="000000" w:themeColor="text1"/>
                <w:sz w:val="21"/>
                <w:szCs w:val="21"/>
                <w:highlight w:val="none"/>
                <w:vertAlign w:val="superscript"/>
                <w:lang w:val="en-US" w:eastAsia="zh-CN"/>
                <w14:textFill>
                  <w14:solidFill>
                    <w14:schemeClr w14:val="tx1"/>
                  </w14:solidFill>
                </w14:textFill>
              </w:rPr>
              <w:t>2</w:t>
            </w:r>
          </w:p>
        </w:tc>
        <w:tc>
          <w:tcPr>
            <w:tcW w:w="2909"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禁养区面积合计90.9km</w:t>
            </w:r>
            <w:r>
              <w:rPr>
                <w:rFonts w:hint="eastAsia"/>
                <w:color w:val="000000" w:themeColor="text1"/>
                <w:sz w:val="21"/>
                <w:szCs w:val="21"/>
                <w:highlight w:val="none"/>
                <w:vertAlign w:val="superscript"/>
                <w:lang w:val="en-US" w:eastAsia="zh-CN"/>
                <w14:textFill>
                  <w14:solidFill>
                    <w14:schemeClr w14:val="tx1"/>
                  </w14:solidFill>
                </w14:textFill>
              </w:rPr>
              <w:t>2</w:t>
            </w:r>
          </w:p>
        </w:tc>
      </w:tr>
      <w:tr>
        <w:tblPrEx>
          <w:tblCellMar>
            <w:top w:w="0" w:type="dxa"/>
            <w:left w:w="108" w:type="dxa"/>
            <w:bottom w:w="0" w:type="dxa"/>
            <w:right w:w="108" w:type="dxa"/>
          </w:tblCellMar>
        </w:tblPrEx>
        <w:trPr>
          <w:trHeight w:val="340" w:hRule="atLeast"/>
          <w:jc w:val="center"/>
        </w:trPr>
        <w:tc>
          <w:tcPr>
            <w:tcW w:w="8578"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eastAsia="宋体"/>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（二）湿地公园</w:t>
            </w:r>
          </w:p>
        </w:tc>
      </w:tr>
      <w:tr>
        <w:tblPrEx>
          <w:tblCellMar>
            <w:top w:w="0" w:type="dxa"/>
            <w:left w:w="108" w:type="dxa"/>
            <w:bottom w:w="0" w:type="dxa"/>
            <w:right w:w="108" w:type="dxa"/>
          </w:tblCellMar>
        </w:tblPrEx>
        <w:trPr>
          <w:trHeight w:val="340" w:hRule="atLeast"/>
          <w:jc w:val="center"/>
        </w:trPr>
        <w:tc>
          <w:tcPr>
            <w:tcW w:w="109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1</w:t>
            </w:r>
          </w:p>
        </w:tc>
        <w:tc>
          <w:tcPr>
            <w:tcW w:w="457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eastAsia="zh-CN"/>
                <w14:textFill>
                  <w14:solidFill>
                    <w14:schemeClr w14:val="tx1"/>
                  </w14:solidFill>
                </w14:textFill>
              </w:rPr>
              <w:t>兴宁梅子县级湿地公园</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1.24</w:t>
            </w:r>
          </w:p>
        </w:tc>
      </w:tr>
      <w:tr>
        <w:tblPrEx>
          <w:tblCellMar>
            <w:top w:w="0" w:type="dxa"/>
            <w:left w:w="108" w:type="dxa"/>
            <w:bottom w:w="0" w:type="dxa"/>
            <w:right w:w="108" w:type="dxa"/>
          </w:tblCellMar>
        </w:tblPrEx>
        <w:trPr>
          <w:trHeight w:val="340" w:hRule="atLeast"/>
          <w:jc w:val="center"/>
        </w:trPr>
        <w:tc>
          <w:tcPr>
            <w:tcW w:w="8578"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w:t>
            </w:r>
            <w:r>
              <w:rPr>
                <w:rFonts w:hint="eastAsia" w:ascii="宋体" w:hAnsi="宋体" w:cs="宋体"/>
                <w:color w:val="000000" w:themeColor="text1"/>
                <w:sz w:val="21"/>
                <w:szCs w:val="21"/>
                <w:highlight w:val="none"/>
                <w:lang w:eastAsia="zh-CN"/>
                <w14:textFill>
                  <w14:solidFill>
                    <w14:schemeClr w14:val="tx1"/>
                  </w14:solidFill>
                </w14:textFill>
              </w:rPr>
              <w:t>三</w:t>
            </w:r>
            <w:r>
              <w:rPr>
                <w:rFonts w:hint="eastAsia" w:ascii="宋体" w:hAnsi="宋体" w:cs="宋体"/>
                <w:color w:val="000000" w:themeColor="text1"/>
                <w:sz w:val="21"/>
                <w:szCs w:val="21"/>
                <w:highlight w:val="none"/>
                <w14:textFill>
                  <w14:solidFill>
                    <w14:schemeClr w14:val="tx1"/>
                  </w14:solidFill>
                </w14:textFill>
              </w:rPr>
              <w:t>）基本农田</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黄槐镇基本农田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5.61</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罗浮镇基本农田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21.66</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3</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罗岗镇基本农田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17.32</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4</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黄陂镇基本农田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11.34</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5</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大坪镇基本农田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22.59</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6</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合水镇基本农田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8</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7</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石马镇基本农田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12.93</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8</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径南镇基本农田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15.09</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9</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叶塘镇基本农田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28.92</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10</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龙田镇基本农田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11.77</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11</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永和镇基本农田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15.38</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12</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宁中镇基本农田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11.32</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13</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新陂镇基本农田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9.71</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14</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宁新街道基本农田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3.38</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15</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兴田街道基本农田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1.34</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16</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新圩镇基本农田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15.62</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17</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福兴街道基本农田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2.06</w:t>
            </w:r>
          </w:p>
        </w:tc>
      </w:tr>
      <w:tr>
        <w:tblPrEx>
          <w:tblCellMar>
            <w:top w:w="0" w:type="dxa"/>
            <w:left w:w="108" w:type="dxa"/>
            <w:bottom w:w="0" w:type="dxa"/>
            <w:right w:w="108" w:type="dxa"/>
          </w:tblCellMar>
        </w:tblPrEx>
        <w:trPr>
          <w:trHeight w:val="340" w:hRule="atLeast"/>
          <w:jc w:val="center"/>
        </w:trPr>
        <w:tc>
          <w:tcPr>
            <w:tcW w:w="1095" w:type="dxa"/>
            <w:tcBorders>
              <w:top w:val="nil"/>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18</w:t>
            </w:r>
          </w:p>
        </w:tc>
        <w:tc>
          <w:tcPr>
            <w:tcW w:w="4574"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坭陂镇基本农田</w:t>
            </w:r>
          </w:p>
        </w:tc>
        <w:tc>
          <w:tcPr>
            <w:tcW w:w="2909" w:type="dxa"/>
            <w:tcBorders>
              <w:top w:val="nil"/>
              <w:left w:val="nil"/>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25.73</w:t>
            </w:r>
            <w:r>
              <w:rPr>
                <w:color w:val="000000" w:themeColor="text1"/>
                <w:sz w:val="21"/>
                <w:szCs w:val="21"/>
                <w:highlight w:val="none"/>
                <w14:textFill>
                  <w14:solidFill>
                    <w14:schemeClr w14:val="tx1"/>
                  </w14:solidFill>
                </w14:textFill>
              </w:rPr>
              <w:t xml:space="preserve"> </w:t>
            </w:r>
          </w:p>
        </w:tc>
      </w:tr>
      <w:tr>
        <w:tblPrEx>
          <w:tblCellMar>
            <w:top w:w="0" w:type="dxa"/>
            <w:left w:w="108" w:type="dxa"/>
            <w:bottom w:w="0" w:type="dxa"/>
            <w:right w:w="108" w:type="dxa"/>
          </w:tblCellMar>
        </w:tblPrEx>
        <w:trPr>
          <w:trHeight w:val="340" w:hRule="atLeast"/>
          <w:jc w:val="center"/>
        </w:trPr>
        <w:tc>
          <w:tcPr>
            <w:tcW w:w="109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19</w:t>
            </w:r>
          </w:p>
        </w:tc>
        <w:tc>
          <w:tcPr>
            <w:tcW w:w="457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刁坊镇基本农田</w:t>
            </w:r>
          </w:p>
        </w:tc>
        <w:tc>
          <w:tcPr>
            <w:tcW w:w="29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11.76</w:t>
            </w:r>
          </w:p>
        </w:tc>
      </w:tr>
      <w:tr>
        <w:tblPrEx>
          <w:tblCellMar>
            <w:top w:w="0" w:type="dxa"/>
            <w:left w:w="108" w:type="dxa"/>
            <w:bottom w:w="0" w:type="dxa"/>
            <w:right w:w="108" w:type="dxa"/>
          </w:tblCellMar>
        </w:tblPrEx>
        <w:trPr>
          <w:trHeight w:val="340" w:hRule="atLeast"/>
          <w:jc w:val="center"/>
        </w:trPr>
        <w:tc>
          <w:tcPr>
            <w:tcW w:w="109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20</w:t>
            </w:r>
          </w:p>
        </w:tc>
        <w:tc>
          <w:tcPr>
            <w:tcW w:w="457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水口镇基本农田</w:t>
            </w:r>
          </w:p>
        </w:tc>
        <w:tc>
          <w:tcPr>
            <w:tcW w:w="29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18.08</w:t>
            </w:r>
          </w:p>
        </w:tc>
      </w:tr>
      <w:tr>
        <w:tblPrEx>
          <w:tblCellMar>
            <w:top w:w="0" w:type="dxa"/>
            <w:left w:w="108" w:type="dxa"/>
            <w:bottom w:w="0" w:type="dxa"/>
            <w:right w:w="108" w:type="dxa"/>
          </w:tblCellMar>
        </w:tblPrEx>
        <w:trPr>
          <w:trHeight w:val="193" w:hRule="atLeast"/>
          <w:jc w:val="center"/>
        </w:trPr>
        <w:tc>
          <w:tcPr>
            <w:tcW w:w="566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小计</w:t>
            </w:r>
          </w:p>
        </w:tc>
        <w:tc>
          <w:tcPr>
            <w:tcW w:w="29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269.61</w:t>
            </w:r>
          </w:p>
        </w:tc>
      </w:tr>
      <w:tr>
        <w:tblPrEx>
          <w:tblCellMar>
            <w:top w:w="0" w:type="dxa"/>
            <w:left w:w="108" w:type="dxa"/>
            <w:bottom w:w="0" w:type="dxa"/>
            <w:right w:w="108" w:type="dxa"/>
          </w:tblCellMar>
        </w:tblPrEx>
        <w:trPr>
          <w:trHeight w:val="150" w:hRule="atLeast"/>
          <w:jc w:val="center"/>
        </w:trPr>
        <w:tc>
          <w:tcPr>
            <w:tcW w:w="566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减去</w:t>
            </w:r>
            <w:r>
              <w:rPr>
                <w:rFonts w:hint="eastAsia" w:ascii="宋体" w:hAnsi="宋体" w:cs="宋体"/>
                <w:color w:val="000000" w:themeColor="text1"/>
                <w:sz w:val="21"/>
                <w:szCs w:val="21"/>
                <w:highlight w:val="none"/>
                <w14:textFill>
                  <w14:solidFill>
                    <w14:schemeClr w14:val="tx1"/>
                  </w14:solidFill>
                </w14:textFill>
              </w:rPr>
              <w:t>重叠面积</w:t>
            </w:r>
            <w:r>
              <w:rPr>
                <w:rFonts w:hint="eastAsia" w:ascii="宋体" w:hAnsi="宋体" w:cs="宋体"/>
                <w:color w:val="000000" w:themeColor="text1"/>
                <w:sz w:val="21"/>
                <w:szCs w:val="21"/>
                <w:highlight w:val="none"/>
                <w:lang w:val="en-US" w:eastAsia="zh-CN"/>
                <w14:textFill>
                  <w14:solidFill>
                    <w14:schemeClr w14:val="tx1"/>
                  </w14:solidFill>
                </w14:textFill>
              </w:rPr>
              <w:t>121</w:t>
            </w:r>
            <w:r>
              <w:rPr>
                <w:rFonts w:hint="eastAsia"/>
                <w:color w:val="000000" w:themeColor="text1"/>
                <w:sz w:val="21"/>
                <w:szCs w:val="21"/>
                <w:highlight w:val="none"/>
                <w:lang w:val="en-US" w:eastAsia="zh-CN"/>
                <w14:textFill>
                  <w14:solidFill>
                    <w14:schemeClr w14:val="tx1"/>
                  </w14:solidFill>
                </w14:textFill>
              </w:rPr>
              <w:t>km</w:t>
            </w:r>
            <w:r>
              <w:rPr>
                <w:rFonts w:hint="eastAsia"/>
                <w:color w:val="000000" w:themeColor="text1"/>
                <w:sz w:val="21"/>
                <w:szCs w:val="21"/>
                <w:highlight w:val="none"/>
                <w:vertAlign w:val="superscript"/>
                <w:lang w:val="en-US" w:eastAsia="zh-CN"/>
                <w14:textFill>
                  <w14:solidFill>
                    <w14:schemeClr w14:val="tx1"/>
                  </w14:solidFill>
                </w14:textFill>
              </w:rPr>
              <w:t>2</w:t>
            </w:r>
          </w:p>
        </w:tc>
        <w:tc>
          <w:tcPr>
            <w:tcW w:w="29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禁养区面积合计148.61km</w:t>
            </w:r>
            <w:r>
              <w:rPr>
                <w:rFonts w:hint="eastAsia"/>
                <w:color w:val="000000" w:themeColor="text1"/>
                <w:sz w:val="21"/>
                <w:szCs w:val="21"/>
                <w:highlight w:val="none"/>
                <w:vertAlign w:val="superscript"/>
                <w:lang w:val="en-US" w:eastAsia="zh-CN"/>
                <w14:textFill>
                  <w14:solidFill>
                    <w14:schemeClr w14:val="tx1"/>
                  </w14:solidFill>
                </w14:textFill>
              </w:rPr>
              <w:t>2</w:t>
            </w:r>
          </w:p>
        </w:tc>
      </w:tr>
      <w:tr>
        <w:tblPrEx>
          <w:tblCellMar>
            <w:top w:w="0" w:type="dxa"/>
            <w:left w:w="108" w:type="dxa"/>
            <w:bottom w:w="0" w:type="dxa"/>
            <w:right w:w="108" w:type="dxa"/>
          </w:tblCellMar>
        </w:tblPrEx>
        <w:trPr>
          <w:trHeight w:val="340" w:hRule="atLeast"/>
          <w:jc w:val="center"/>
        </w:trPr>
        <w:tc>
          <w:tcPr>
            <w:tcW w:w="8578"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eastAsia="宋体"/>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（四）主要交通干线</w:t>
            </w:r>
          </w:p>
        </w:tc>
      </w:tr>
      <w:tr>
        <w:tblPrEx>
          <w:tblCellMar>
            <w:top w:w="0" w:type="dxa"/>
            <w:left w:w="108" w:type="dxa"/>
            <w:bottom w:w="0" w:type="dxa"/>
            <w:right w:w="108" w:type="dxa"/>
          </w:tblCellMar>
        </w:tblPrEx>
        <w:trPr>
          <w:trHeight w:val="340" w:hRule="atLeast"/>
          <w:jc w:val="center"/>
        </w:trPr>
        <w:tc>
          <w:tcPr>
            <w:tcW w:w="109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color w:val="000000" w:themeColor="text1"/>
                <w:sz w:val="21"/>
                <w:szCs w:val="21"/>
                <w:highlight w:val="none"/>
                <w14:textFill>
                  <w14:solidFill>
                    <w14:schemeClr w14:val="tx1"/>
                  </w14:solidFill>
                </w14:textFill>
              </w:rPr>
              <w:t>1</w:t>
            </w:r>
          </w:p>
        </w:tc>
        <w:tc>
          <w:tcPr>
            <w:tcW w:w="457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2"/>
              <w:ind w:firstLine="0" w:firstLineChars="0"/>
              <w:rPr>
                <w:rFonts w:hint="eastAsia" w:ascii="宋体" w:hAnsi="宋体" w:cs="宋体"/>
                <w:color w:val="000000" w:themeColor="text1"/>
                <w:sz w:val="21"/>
                <w:szCs w:val="21"/>
                <w:highlight w:val="none"/>
                <w14:textFill>
                  <w14:solidFill>
                    <w14:schemeClr w14:val="tx1"/>
                  </w14:solidFill>
                </w14:textFill>
              </w:rPr>
            </w:pPr>
            <w:r>
              <w:rPr>
                <w:rFonts w:hint="eastAsia"/>
                <w:color w:val="000000" w:themeColor="text1"/>
                <w:highlight w:val="none"/>
                <w14:textFill>
                  <w14:solidFill>
                    <w14:schemeClr w14:val="tx1"/>
                  </w14:solidFill>
                </w14:textFill>
              </w:rPr>
              <w:t>梅汕铁路</w:t>
            </w:r>
          </w:p>
        </w:tc>
        <w:tc>
          <w:tcPr>
            <w:tcW w:w="29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1.74</w:t>
            </w:r>
          </w:p>
        </w:tc>
      </w:tr>
      <w:tr>
        <w:tblPrEx>
          <w:tblCellMar>
            <w:top w:w="0" w:type="dxa"/>
            <w:left w:w="108" w:type="dxa"/>
            <w:bottom w:w="0" w:type="dxa"/>
            <w:right w:w="108" w:type="dxa"/>
          </w:tblCellMar>
        </w:tblPrEx>
        <w:trPr>
          <w:trHeight w:val="340" w:hRule="atLeast"/>
          <w:jc w:val="center"/>
        </w:trPr>
        <w:tc>
          <w:tcPr>
            <w:tcW w:w="109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color w:val="000000" w:themeColor="text1"/>
                <w:sz w:val="21"/>
                <w:szCs w:val="21"/>
                <w:highlight w:val="none"/>
                <w14:textFill>
                  <w14:solidFill>
                    <w14:schemeClr w14:val="tx1"/>
                  </w14:solidFill>
                </w14:textFill>
              </w:rPr>
              <w:t>2</w:t>
            </w:r>
          </w:p>
        </w:tc>
        <w:tc>
          <w:tcPr>
            <w:tcW w:w="457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2"/>
              <w:ind w:firstLine="0" w:firstLineChars="0"/>
              <w:rPr>
                <w:rFonts w:hint="eastAsia" w:ascii="宋体" w:hAnsi="宋体" w:cs="宋体"/>
                <w:color w:val="000000" w:themeColor="text1"/>
                <w:sz w:val="21"/>
                <w:szCs w:val="21"/>
                <w:highlight w:val="none"/>
                <w14:textFill>
                  <w14:solidFill>
                    <w14:schemeClr w14:val="tx1"/>
                  </w14:solidFill>
                </w14:textFill>
              </w:rPr>
            </w:pPr>
            <w:r>
              <w:rPr>
                <w:rFonts w:hint="eastAsia"/>
                <w:color w:val="000000" w:themeColor="text1"/>
                <w:highlight w:val="none"/>
                <w14:textFill>
                  <w14:solidFill>
                    <w14:schemeClr w14:val="tx1"/>
                  </w14:solidFill>
                </w14:textFill>
              </w:rPr>
              <w:t>济广高速</w:t>
            </w:r>
          </w:p>
        </w:tc>
        <w:tc>
          <w:tcPr>
            <w:tcW w:w="29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4.23</w:t>
            </w:r>
          </w:p>
        </w:tc>
      </w:tr>
      <w:tr>
        <w:tblPrEx>
          <w:tblCellMar>
            <w:top w:w="0" w:type="dxa"/>
            <w:left w:w="108" w:type="dxa"/>
            <w:bottom w:w="0" w:type="dxa"/>
            <w:right w:w="108" w:type="dxa"/>
          </w:tblCellMar>
        </w:tblPrEx>
        <w:trPr>
          <w:trHeight w:val="340" w:hRule="atLeast"/>
          <w:jc w:val="center"/>
        </w:trPr>
        <w:tc>
          <w:tcPr>
            <w:tcW w:w="109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color w:val="000000" w:themeColor="text1"/>
                <w:sz w:val="21"/>
                <w:szCs w:val="21"/>
                <w:highlight w:val="none"/>
                <w14:textFill>
                  <w14:solidFill>
                    <w14:schemeClr w14:val="tx1"/>
                  </w14:solidFill>
                </w14:textFill>
              </w:rPr>
              <w:t>3</w:t>
            </w:r>
          </w:p>
        </w:tc>
        <w:tc>
          <w:tcPr>
            <w:tcW w:w="457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2"/>
              <w:ind w:firstLine="0" w:firstLineChars="0"/>
              <w:rPr>
                <w:rFonts w:hint="eastAsia" w:ascii="宋体" w:hAnsi="宋体" w:cs="宋体"/>
                <w:color w:val="000000" w:themeColor="text1"/>
                <w:sz w:val="21"/>
                <w:szCs w:val="21"/>
                <w:highlight w:val="none"/>
                <w14:textFill>
                  <w14:solidFill>
                    <w14:schemeClr w14:val="tx1"/>
                  </w14:solidFill>
                </w14:textFill>
              </w:rPr>
            </w:pPr>
            <w:r>
              <w:rPr>
                <w:rFonts w:hint="eastAsia"/>
                <w:color w:val="000000" w:themeColor="text1"/>
                <w:highlight w:val="none"/>
                <w14:textFill>
                  <w14:solidFill>
                    <w14:schemeClr w14:val="tx1"/>
                  </w14:solidFill>
                </w14:textFill>
              </w:rPr>
              <w:t>畲华高速</w:t>
            </w:r>
          </w:p>
        </w:tc>
        <w:tc>
          <w:tcPr>
            <w:tcW w:w="29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0.75</w:t>
            </w:r>
          </w:p>
        </w:tc>
      </w:tr>
      <w:tr>
        <w:tblPrEx>
          <w:tblCellMar>
            <w:top w:w="0" w:type="dxa"/>
            <w:left w:w="108" w:type="dxa"/>
            <w:bottom w:w="0" w:type="dxa"/>
            <w:right w:w="108" w:type="dxa"/>
          </w:tblCellMar>
        </w:tblPrEx>
        <w:trPr>
          <w:trHeight w:val="340" w:hRule="atLeast"/>
          <w:jc w:val="center"/>
        </w:trPr>
        <w:tc>
          <w:tcPr>
            <w:tcW w:w="109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cs="宋体"/>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4</w:t>
            </w:r>
          </w:p>
        </w:tc>
        <w:tc>
          <w:tcPr>
            <w:tcW w:w="457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2"/>
              <w:ind w:firstLine="0" w:firstLineChars="0"/>
              <w:rPr>
                <w:rFonts w:hint="eastAsia" w:ascii="宋体" w:hAnsi="宋体" w:cs="宋体"/>
                <w:color w:val="000000" w:themeColor="text1"/>
                <w:sz w:val="21"/>
                <w:szCs w:val="21"/>
                <w:highlight w:val="none"/>
                <w14:textFill>
                  <w14:solidFill>
                    <w14:schemeClr w14:val="tx1"/>
                  </w14:solidFill>
                </w14:textFill>
              </w:rPr>
            </w:pPr>
            <w:r>
              <w:rPr>
                <w:rFonts w:hint="eastAsia"/>
                <w:color w:val="000000" w:themeColor="text1"/>
                <w:highlight w:val="none"/>
                <w14:textFill>
                  <w14:solidFill>
                    <w14:schemeClr w14:val="tx1"/>
                  </w14:solidFill>
                </w14:textFill>
              </w:rPr>
              <w:t>汕昆高速</w:t>
            </w:r>
          </w:p>
        </w:tc>
        <w:tc>
          <w:tcPr>
            <w:tcW w:w="29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2.13</w:t>
            </w:r>
          </w:p>
        </w:tc>
      </w:tr>
      <w:tr>
        <w:tblPrEx>
          <w:tblCellMar>
            <w:top w:w="0" w:type="dxa"/>
            <w:left w:w="108" w:type="dxa"/>
            <w:bottom w:w="0" w:type="dxa"/>
            <w:right w:w="108" w:type="dxa"/>
          </w:tblCellMar>
        </w:tblPrEx>
        <w:trPr>
          <w:trHeight w:val="340" w:hRule="atLeast"/>
          <w:jc w:val="center"/>
        </w:trPr>
        <w:tc>
          <w:tcPr>
            <w:tcW w:w="109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cs="宋体"/>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5</w:t>
            </w:r>
          </w:p>
        </w:tc>
        <w:tc>
          <w:tcPr>
            <w:tcW w:w="457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2"/>
              <w:ind w:firstLine="0" w:firstLineChars="0"/>
              <w:rPr>
                <w:rFonts w:hint="eastAsia" w:ascii="宋体" w:hAnsi="宋体" w:cs="宋体"/>
                <w:color w:val="000000" w:themeColor="text1"/>
                <w:sz w:val="21"/>
                <w:szCs w:val="2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长深高速</w:t>
            </w:r>
          </w:p>
        </w:tc>
        <w:tc>
          <w:tcPr>
            <w:tcW w:w="29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2.92</w:t>
            </w:r>
          </w:p>
        </w:tc>
      </w:tr>
      <w:tr>
        <w:tblPrEx>
          <w:tblCellMar>
            <w:top w:w="0" w:type="dxa"/>
            <w:left w:w="108" w:type="dxa"/>
            <w:bottom w:w="0" w:type="dxa"/>
            <w:right w:w="108" w:type="dxa"/>
          </w:tblCellMar>
        </w:tblPrEx>
        <w:trPr>
          <w:trHeight w:val="340" w:hRule="atLeast"/>
          <w:jc w:val="center"/>
        </w:trPr>
        <w:tc>
          <w:tcPr>
            <w:tcW w:w="109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cs="宋体"/>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6</w:t>
            </w:r>
          </w:p>
        </w:tc>
        <w:tc>
          <w:tcPr>
            <w:tcW w:w="457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2"/>
              <w:ind w:firstLine="0" w:firstLineChars="0"/>
              <w:rPr>
                <w:rFonts w:hint="eastAsia" w:ascii="宋体" w:hAnsi="宋体" w:cs="宋体"/>
                <w:color w:val="000000" w:themeColor="text1"/>
                <w:sz w:val="21"/>
                <w:szCs w:val="2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205国道</w:t>
            </w:r>
          </w:p>
        </w:tc>
        <w:tc>
          <w:tcPr>
            <w:tcW w:w="29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3.15</w:t>
            </w:r>
          </w:p>
        </w:tc>
      </w:tr>
      <w:tr>
        <w:tblPrEx>
          <w:tblCellMar>
            <w:top w:w="0" w:type="dxa"/>
            <w:left w:w="108" w:type="dxa"/>
            <w:bottom w:w="0" w:type="dxa"/>
            <w:right w:w="108" w:type="dxa"/>
          </w:tblCellMar>
        </w:tblPrEx>
        <w:trPr>
          <w:trHeight w:val="340" w:hRule="atLeast"/>
          <w:jc w:val="center"/>
        </w:trPr>
        <w:tc>
          <w:tcPr>
            <w:tcW w:w="109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cs="宋体"/>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7</w:t>
            </w:r>
          </w:p>
        </w:tc>
        <w:tc>
          <w:tcPr>
            <w:tcW w:w="457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2"/>
              <w:ind w:firstLine="0" w:firstLineChars="0"/>
              <w:rPr>
                <w:rFonts w:hint="eastAsia" w:ascii="宋体" w:hAnsi="宋体" w:cs="宋体"/>
                <w:color w:val="000000" w:themeColor="text1"/>
                <w:sz w:val="21"/>
                <w:szCs w:val="2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 xml:space="preserve">206国道 </w:t>
            </w:r>
          </w:p>
        </w:tc>
        <w:tc>
          <w:tcPr>
            <w:tcW w:w="29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3.40</w:t>
            </w:r>
          </w:p>
        </w:tc>
      </w:tr>
      <w:tr>
        <w:tblPrEx>
          <w:tblCellMar>
            <w:top w:w="0" w:type="dxa"/>
            <w:left w:w="108" w:type="dxa"/>
            <w:bottom w:w="0" w:type="dxa"/>
            <w:right w:w="108" w:type="dxa"/>
          </w:tblCellMar>
        </w:tblPrEx>
        <w:trPr>
          <w:trHeight w:val="340" w:hRule="atLeast"/>
          <w:jc w:val="center"/>
        </w:trPr>
        <w:tc>
          <w:tcPr>
            <w:tcW w:w="109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cs="宋体"/>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8</w:t>
            </w:r>
          </w:p>
        </w:tc>
        <w:tc>
          <w:tcPr>
            <w:tcW w:w="457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2"/>
              <w:ind w:firstLine="0" w:firstLineChars="0"/>
              <w:rPr>
                <w:rFonts w:hint="eastAsia" w:ascii="宋体" w:hAnsi="宋体" w:cs="宋体"/>
                <w:color w:val="000000" w:themeColor="text1"/>
                <w:sz w:val="21"/>
                <w:szCs w:val="2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省道</w:t>
            </w:r>
            <w:r>
              <w:rPr>
                <w:rFonts w:hint="eastAsia"/>
                <w:color w:val="000000" w:themeColor="text1"/>
                <w:highlight w:val="none"/>
                <w:lang w:val="en-US" w:eastAsia="zh-CN"/>
                <w14:textFill>
                  <w14:solidFill>
                    <w14:schemeClr w14:val="tx1"/>
                  </w14:solidFill>
                </w14:textFill>
              </w:rPr>
              <w:t>226</w:t>
            </w:r>
          </w:p>
        </w:tc>
        <w:tc>
          <w:tcPr>
            <w:tcW w:w="29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8.10</w:t>
            </w:r>
          </w:p>
        </w:tc>
      </w:tr>
      <w:tr>
        <w:tblPrEx>
          <w:tblCellMar>
            <w:top w:w="0" w:type="dxa"/>
            <w:left w:w="108" w:type="dxa"/>
            <w:bottom w:w="0" w:type="dxa"/>
            <w:right w:w="108" w:type="dxa"/>
          </w:tblCellMar>
        </w:tblPrEx>
        <w:trPr>
          <w:trHeight w:val="340" w:hRule="atLeast"/>
          <w:jc w:val="center"/>
        </w:trPr>
        <w:tc>
          <w:tcPr>
            <w:tcW w:w="109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cs="宋体"/>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9</w:t>
            </w:r>
          </w:p>
        </w:tc>
        <w:tc>
          <w:tcPr>
            <w:tcW w:w="457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2"/>
              <w:ind w:firstLine="0" w:firstLineChars="0"/>
              <w:rPr>
                <w:rFonts w:hint="eastAsia" w:ascii="宋体" w:hAnsi="宋体" w:cs="宋体"/>
                <w:color w:val="000000" w:themeColor="text1"/>
                <w:sz w:val="21"/>
                <w:szCs w:val="2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省道</w:t>
            </w:r>
            <w:r>
              <w:rPr>
                <w:rFonts w:hint="eastAsia"/>
                <w:color w:val="000000" w:themeColor="text1"/>
                <w:highlight w:val="none"/>
                <w:lang w:val="en-US" w:eastAsia="zh-CN"/>
                <w14:textFill>
                  <w14:solidFill>
                    <w14:schemeClr w14:val="tx1"/>
                  </w14:solidFill>
                </w14:textFill>
              </w:rPr>
              <w:t>225</w:t>
            </w:r>
          </w:p>
        </w:tc>
        <w:tc>
          <w:tcPr>
            <w:tcW w:w="29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4.70</w:t>
            </w:r>
          </w:p>
        </w:tc>
      </w:tr>
      <w:tr>
        <w:tblPrEx>
          <w:tblCellMar>
            <w:top w:w="0" w:type="dxa"/>
            <w:left w:w="108" w:type="dxa"/>
            <w:bottom w:w="0" w:type="dxa"/>
            <w:right w:w="108" w:type="dxa"/>
          </w:tblCellMar>
        </w:tblPrEx>
        <w:trPr>
          <w:trHeight w:val="340" w:hRule="atLeast"/>
          <w:jc w:val="center"/>
        </w:trPr>
        <w:tc>
          <w:tcPr>
            <w:tcW w:w="109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cs="宋体"/>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10</w:t>
            </w:r>
          </w:p>
        </w:tc>
        <w:tc>
          <w:tcPr>
            <w:tcW w:w="457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2"/>
              <w:ind w:firstLine="0" w:firstLineChars="0"/>
              <w:rPr>
                <w:rFonts w:hint="eastAsia" w:ascii="宋体" w:hAnsi="宋体" w:cs="宋体"/>
                <w:color w:val="000000" w:themeColor="text1"/>
                <w:sz w:val="21"/>
                <w:szCs w:val="2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省道</w:t>
            </w:r>
            <w:r>
              <w:rPr>
                <w:rFonts w:hint="eastAsia"/>
                <w:color w:val="000000" w:themeColor="text1"/>
                <w:highlight w:val="none"/>
                <w:lang w:val="en-US" w:eastAsia="zh-CN"/>
                <w14:textFill>
                  <w14:solidFill>
                    <w14:schemeClr w14:val="tx1"/>
                  </w14:solidFill>
                </w14:textFill>
              </w:rPr>
              <w:t>120</w:t>
            </w:r>
          </w:p>
        </w:tc>
        <w:tc>
          <w:tcPr>
            <w:tcW w:w="29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0.82</w:t>
            </w:r>
          </w:p>
        </w:tc>
      </w:tr>
      <w:tr>
        <w:tblPrEx>
          <w:tblCellMar>
            <w:top w:w="0" w:type="dxa"/>
            <w:left w:w="108" w:type="dxa"/>
            <w:bottom w:w="0" w:type="dxa"/>
            <w:right w:w="108" w:type="dxa"/>
          </w:tblCellMar>
        </w:tblPrEx>
        <w:trPr>
          <w:trHeight w:val="340" w:hRule="atLeast"/>
          <w:jc w:val="center"/>
        </w:trPr>
        <w:tc>
          <w:tcPr>
            <w:tcW w:w="109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11</w:t>
            </w:r>
          </w:p>
        </w:tc>
        <w:tc>
          <w:tcPr>
            <w:tcW w:w="457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2"/>
              <w:ind w:firstLine="0" w:firstLineChars="0"/>
              <w:rPr>
                <w:rFonts w:hint="default"/>
                <w:color w:val="000000" w:themeColor="text1"/>
                <w:highlight w:val="none"/>
                <w:lang w:val="en-US"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省道</w:t>
            </w:r>
            <w:r>
              <w:rPr>
                <w:rFonts w:hint="eastAsia"/>
                <w:color w:val="000000" w:themeColor="text1"/>
                <w:highlight w:val="none"/>
                <w:lang w:val="en-US" w:eastAsia="zh-CN"/>
                <w14:textFill>
                  <w14:solidFill>
                    <w14:schemeClr w14:val="tx1"/>
                  </w14:solidFill>
                </w14:textFill>
              </w:rPr>
              <w:t>339</w:t>
            </w:r>
          </w:p>
        </w:tc>
        <w:tc>
          <w:tcPr>
            <w:tcW w:w="29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0.35</w:t>
            </w:r>
          </w:p>
        </w:tc>
      </w:tr>
      <w:tr>
        <w:tblPrEx>
          <w:tblCellMar>
            <w:top w:w="0" w:type="dxa"/>
            <w:left w:w="108" w:type="dxa"/>
            <w:bottom w:w="0" w:type="dxa"/>
            <w:right w:w="108" w:type="dxa"/>
          </w:tblCellMar>
        </w:tblPrEx>
        <w:trPr>
          <w:trHeight w:val="340" w:hRule="atLeast"/>
          <w:jc w:val="center"/>
        </w:trPr>
        <w:tc>
          <w:tcPr>
            <w:tcW w:w="566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禁养区面积</w:t>
            </w:r>
            <w:r>
              <w:rPr>
                <w:rFonts w:hint="eastAsia" w:ascii="宋体" w:hAnsi="宋体" w:cs="宋体"/>
                <w:color w:val="000000" w:themeColor="text1"/>
                <w:sz w:val="21"/>
                <w:szCs w:val="21"/>
                <w:highlight w:val="none"/>
                <w:lang w:eastAsia="zh-CN"/>
                <w14:textFill>
                  <w14:solidFill>
                    <w14:schemeClr w14:val="tx1"/>
                  </w14:solidFill>
                </w14:textFill>
              </w:rPr>
              <w:t>小计</w:t>
            </w:r>
          </w:p>
        </w:tc>
        <w:tc>
          <w:tcPr>
            <w:tcW w:w="29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32.29</w:t>
            </w:r>
          </w:p>
        </w:tc>
      </w:tr>
    </w:tbl>
    <w:p>
      <w:pPr>
        <w:keepNext w:val="0"/>
        <w:keepLines w:val="0"/>
        <w:pageBreakBefore w:val="0"/>
        <w:widowControl/>
        <w:kinsoku/>
        <w:wordWrap/>
        <w:overflowPunct/>
        <w:topLinePunct w:val="0"/>
        <w:autoSpaceDE/>
        <w:autoSpaceDN/>
        <w:bidi w:val="0"/>
        <w:adjustRightInd/>
        <w:snapToGrid/>
        <w:spacing w:before="163" w:after="163" w:line="240" w:lineRule="auto"/>
        <w:ind w:left="578" w:firstLine="0" w:firstLineChars="0"/>
        <w:jc w:val="center"/>
        <w:textAlignment w:val="auto"/>
        <w:rPr>
          <w:rFonts w:hint="eastAsia"/>
          <w:b/>
          <w:bCs/>
          <w:color w:val="000000" w:themeColor="text1"/>
          <w:sz w:val="30"/>
          <w:szCs w:val="30"/>
          <w:highlight w:val="none"/>
          <w14:textFill>
            <w14:solidFill>
              <w14:schemeClr w14:val="tx1"/>
            </w14:solidFill>
          </w14:textFill>
        </w:rPr>
      </w:pPr>
    </w:p>
    <w:p>
      <w:pPr>
        <w:keepNext w:val="0"/>
        <w:keepLines w:val="0"/>
        <w:pageBreakBefore w:val="0"/>
        <w:widowControl/>
        <w:kinsoku/>
        <w:wordWrap/>
        <w:overflowPunct/>
        <w:topLinePunct w:val="0"/>
        <w:autoSpaceDE/>
        <w:autoSpaceDN/>
        <w:bidi w:val="0"/>
        <w:adjustRightInd/>
        <w:snapToGrid/>
        <w:spacing w:before="163" w:after="163" w:line="240" w:lineRule="auto"/>
        <w:ind w:left="578" w:firstLine="0" w:firstLineChars="0"/>
        <w:jc w:val="center"/>
        <w:textAlignment w:val="auto"/>
        <w:rPr>
          <w:color w:val="000000" w:themeColor="text1"/>
          <w:highlight w:val="none"/>
          <w14:textFill>
            <w14:solidFill>
              <w14:schemeClr w14:val="tx1"/>
            </w14:solidFill>
          </w14:textFill>
        </w:rPr>
      </w:pPr>
      <w:r>
        <w:rPr>
          <w:rFonts w:hint="eastAsia"/>
          <w:b/>
          <w:bCs/>
          <w:color w:val="000000" w:themeColor="text1"/>
          <w:sz w:val="30"/>
          <w:szCs w:val="30"/>
          <w:highlight w:val="none"/>
          <w14:textFill>
            <w14:solidFill>
              <w14:schemeClr w14:val="tx1"/>
            </w14:solidFill>
          </w14:textFill>
        </w:rPr>
        <w:t>附表</w:t>
      </w:r>
      <w:r>
        <w:rPr>
          <w:rFonts w:hint="eastAsia"/>
          <w:b/>
          <w:bCs/>
          <w:color w:val="000000" w:themeColor="text1"/>
          <w:sz w:val="30"/>
          <w:szCs w:val="30"/>
          <w:highlight w:val="none"/>
          <w:lang w:val="en-US" w:eastAsia="zh-CN"/>
          <w14:textFill>
            <w14:solidFill>
              <w14:schemeClr w14:val="tx1"/>
            </w14:solidFill>
          </w14:textFill>
        </w:rPr>
        <w:t>3</w:t>
      </w:r>
      <w:r>
        <w:rPr>
          <w:rFonts w:hint="eastAsia"/>
          <w:b/>
          <w:bCs/>
          <w:color w:val="000000" w:themeColor="text1"/>
          <w:sz w:val="30"/>
          <w:szCs w:val="30"/>
          <w:highlight w:val="none"/>
          <w14:textFill>
            <w14:solidFill>
              <w14:schemeClr w14:val="tx1"/>
            </w14:solidFill>
          </w14:textFill>
        </w:rPr>
        <w:t xml:space="preserve">   城镇居民区和文化教育研究区禁止养殖区——医疗区</w:t>
      </w:r>
      <w:bookmarkEnd w:id="80"/>
    </w:p>
    <w:tbl>
      <w:tblPr>
        <w:tblStyle w:val="84"/>
        <w:tblW w:w="9161" w:type="dxa"/>
        <w:jc w:val="center"/>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Layout w:type="fixed"/>
        <w:tblCellMar>
          <w:top w:w="0" w:type="dxa"/>
          <w:left w:w="0" w:type="dxa"/>
          <w:bottom w:w="0" w:type="dxa"/>
          <w:right w:w="0" w:type="dxa"/>
        </w:tblCellMar>
      </w:tblPr>
      <w:tblGrid>
        <w:gridCol w:w="1206"/>
        <w:gridCol w:w="3725"/>
        <w:gridCol w:w="4230"/>
      </w:tblGrid>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tblHeader/>
          <w:jc w:val="center"/>
        </w:trPr>
        <w:tc>
          <w:tcPr>
            <w:tcW w:w="1206" w:type="dxa"/>
            <w:vMerge w:val="restart"/>
            <w:vAlign w:val="center"/>
          </w:tcPr>
          <w:p>
            <w:pPr>
              <w:widowControl w:val="0"/>
              <w:spacing w:line="240" w:lineRule="auto"/>
              <w:ind w:firstLine="0" w:firstLineChars="0"/>
              <w:jc w:val="center"/>
              <w:rPr>
                <w:b/>
                <w:color w:val="000000" w:themeColor="text1"/>
                <w:sz w:val="21"/>
                <w:szCs w:val="21"/>
                <w:highlight w:val="none"/>
                <w:lang w:eastAsia="en-US"/>
                <w14:textFill>
                  <w14:solidFill>
                    <w14:schemeClr w14:val="tx1"/>
                  </w14:solidFill>
                </w14:textFill>
              </w:rPr>
            </w:pPr>
            <w:r>
              <w:rPr>
                <w:rFonts w:hint="eastAsia"/>
                <w:b/>
                <w:color w:val="000000" w:themeColor="text1"/>
                <w:sz w:val="21"/>
                <w:szCs w:val="21"/>
                <w:highlight w:val="none"/>
                <w:lang w:eastAsia="en-US"/>
                <w14:textFill>
                  <w14:solidFill>
                    <w14:schemeClr w14:val="tx1"/>
                  </w14:solidFill>
                </w14:textFill>
              </w:rPr>
              <w:t>序号</w:t>
            </w:r>
          </w:p>
        </w:tc>
        <w:tc>
          <w:tcPr>
            <w:tcW w:w="3725" w:type="dxa"/>
            <w:vMerge w:val="restart"/>
            <w:vAlign w:val="center"/>
          </w:tcPr>
          <w:p>
            <w:pPr>
              <w:widowControl w:val="0"/>
              <w:spacing w:line="240" w:lineRule="auto"/>
              <w:ind w:firstLine="0" w:firstLineChars="0"/>
              <w:jc w:val="center"/>
              <w:rPr>
                <w:b/>
                <w:color w:val="000000" w:themeColor="text1"/>
                <w:sz w:val="21"/>
                <w:szCs w:val="21"/>
                <w:highlight w:val="none"/>
                <w:lang w:eastAsia="en-US"/>
                <w14:textFill>
                  <w14:solidFill>
                    <w14:schemeClr w14:val="tx1"/>
                  </w14:solidFill>
                </w14:textFill>
              </w:rPr>
            </w:pPr>
            <w:r>
              <w:rPr>
                <w:rFonts w:hint="eastAsia"/>
                <w:b/>
                <w:color w:val="000000" w:themeColor="text1"/>
                <w:sz w:val="21"/>
                <w:szCs w:val="21"/>
                <w:highlight w:val="none"/>
                <w:lang w:eastAsia="en-US"/>
                <w14:textFill>
                  <w14:solidFill>
                    <w14:schemeClr w14:val="tx1"/>
                  </w14:solidFill>
                </w14:textFill>
              </w:rPr>
              <w:t>医院名称</w:t>
            </w:r>
          </w:p>
        </w:tc>
        <w:tc>
          <w:tcPr>
            <w:tcW w:w="4230" w:type="dxa"/>
            <w:vMerge w:val="restart"/>
            <w:vAlign w:val="center"/>
          </w:tcPr>
          <w:p>
            <w:pPr>
              <w:widowControl w:val="0"/>
              <w:spacing w:line="240" w:lineRule="auto"/>
              <w:ind w:firstLine="0" w:firstLineChars="0"/>
              <w:jc w:val="center"/>
              <w:rPr>
                <w:b/>
                <w:color w:val="000000" w:themeColor="text1"/>
                <w:sz w:val="21"/>
                <w:szCs w:val="21"/>
                <w:highlight w:val="none"/>
                <w:lang w:eastAsia="en-US"/>
                <w14:textFill>
                  <w14:solidFill>
                    <w14:schemeClr w14:val="tx1"/>
                  </w14:solidFill>
                </w14:textFill>
              </w:rPr>
            </w:pPr>
            <w:r>
              <w:rPr>
                <w:rFonts w:hint="eastAsia"/>
                <w:b/>
                <w:color w:val="000000" w:themeColor="text1"/>
                <w:sz w:val="21"/>
                <w:szCs w:val="21"/>
                <w:highlight w:val="none"/>
                <w:lang w:eastAsia="en-US"/>
                <w14:textFill>
                  <w14:solidFill>
                    <w14:schemeClr w14:val="tx1"/>
                  </w14:solidFill>
                </w14:textFill>
              </w:rPr>
              <w:t>禁养区范围</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tblHeader/>
          <w:jc w:val="center"/>
        </w:trPr>
        <w:tc>
          <w:tcPr>
            <w:tcW w:w="1206" w:type="dxa"/>
            <w:vMerge w:val="continue"/>
            <w:vAlign w:val="center"/>
          </w:tcPr>
          <w:p>
            <w:pPr>
              <w:widowControl w:val="0"/>
              <w:spacing w:line="240" w:lineRule="auto"/>
              <w:ind w:firstLine="0" w:firstLineChars="0"/>
              <w:jc w:val="left"/>
              <w:rPr>
                <w:b/>
                <w:color w:val="000000" w:themeColor="text1"/>
                <w:sz w:val="21"/>
                <w:szCs w:val="21"/>
                <w:highlight w:val="none"/>
                <w:lang w:eastAsia="en-US"/>
                <w14:textFill>
                  <w14:solidFill>
                    <w14:schemeClr w14:val="tx1"/>
                  </w14:solidFill>
                </w14:textFill>
              </w:rPr>
            </w:pPr>
          </w:p>
        </w:tc>
        <w:tc>
          <w:tcPr>
            <w:tcW w:w="3725" w:type="dxa"/>
            <w:vMerge w:val="continue"/>
            <w:vAlign w:val="center"/>
          </w:tcPr>
          <w:p>
            <w:pPr>
              <w:widowControl w:val="0"/>
              <w:spacing w:line="240" w:lineRule="auto"/>
              <w:ind w:firstLine="0" w:firstLineChars="0"/>
              <w:jc w:val="left"/>
              <w:rPr>
                <w:b/>
                <w:color w:val="000000" w:themeColor="text1"/>
                <w:sz w:val="21"/>
                <w:szCs w:val="21"/>
                <w:highlight w:val="none"/>
                <w:lang w:eastAsia="en-US"/>
                <w14:textFill>
                  <w14:solidFill>
                    <w14:schemeClr w14:val="tx1"/>
                  </w14:solidFill>
                </w14:textFill>
              </w:rPr>
            </w:pPr>
          </w:p>
        </w:tc>
        <w:tc>
          <w:tcPr>
            <w:tcW w:w="4230" w:type="dxa"/>
            <w:vMerge w:val="continue"/>
            <w:vAlign w:val="center"/>
          </w:tcPr>
          <w:p>
            <w:pPr>
              <w:widowControl w:val="0"/>
              <w:spacing w:line="240" w:lineRule="auto"/>
              <w:ind w:firstLine="0" w:firstLineChars="0"/>
              <w:jc w:val="left"/>
              <w:rPr>
                <w:color w:val="000000" w:themeColor="text1"/>
                <w:sz w:val="21"/>
                <w:szCs w:val="21"/>
                <w:highlight w:val="none"/>
                <w:lang w:eastAsia="en-US"/>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1</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兴宁市中医医院</w:t>
            </w:r>
          </w:p>
        </w:tc>
        <w:tc>
          <w:tcPr>
            <w:tcW w:w="4230" w:type="dxa"/>
            <w:vAlign w:val="center"/>
          </w:tcPr>
          <w:p>
            <w:pPr>
              <w:widowControl w:val="0"/>
              <w:spacing w:line="240" w:lineRule="auto"/>
              <w:ind w:firstLine="0" w:firstLineChars="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 xml:space="preserve">    </w:t>
            </w: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2</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兴宁市叶南卫生院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3</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兴宁市径南卫生院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4</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兴宁市下堡卫生院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5</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兴宁市永和卫生院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6</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兴宁市坪洋卫生院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7</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兴宁市宁塘卫生院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8</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兴宁市妇幼保健院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9</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兴宁市龙田镇中心卫生院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10</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兴宁市皮肤病防治院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11</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兴宁市黄槐卫生院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12</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兴宁市径心卫生院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13</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兴宁市宋声卫生院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14</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兴宁市龙北卫生院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15</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兴宁市叶塘卫生院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16</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兴宁市第三人民医院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17</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兴宁市人民医院（现址）</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18</w:t>
            </w:r>
          </w:p>
        </w:tc>
        <w:tc>
          <w:tcPr>
            <w:tcW w:w="3725" w:type="dxa"/>
            <w:vAlign w:val="center"/>
          </w:tcPr>
          <w:p>
            <w:pPr>
              <w:widowControl w:val="0"/>
              <w:spacing w:line="240" w:lineRule="auto"/>
              <w:ind w:firstLine="0" w:firstLineChars="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兴宁市人民医院（迁址）</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19</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兴宁市皮肤医院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20</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兴宁市水口卫生院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21</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兴宁市合水卫生院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22</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兴宁市石马卫生院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23</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兴宁市新圩卫生院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24</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兴宁市岗背卫生院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25</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兴宁市福兴卫生院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26</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兴宁市慢性病防治院</w:t>
            </w:r>
            <w:r>
              <w:rPr>
                <w:color w:val="000000" w:themeColor="text1"/>
                <w:sz w:val="21"/>
                <w:szCs w:val="21"/>
                <w:highlight w:val="none"/>
                <w:lang w:eastAsia="zh-CN"/>
                <w14:textFill>
                  <w14:solidFill>
                    <w14:schemeClr w14:val="tx1"/>
                  </w14:solidFill>
                </w14:textFill>
              </w:rPr>
              <w:br w:type="textWrapping"/>
            </w:r>
            <w:r>
              <w:rPr>
                <w:rFonts w:hint="eastAsia"/>
                <w:color w:val="000000" w:themeColor="text1"/>
                <w:sz w:val="21"/>
                <w:szCs w:val="21"/>
                <w:highlight w:val="none"/>
                <w:lang w:eastAsia="zh-CN"/>
                <w14:textFill>
                  <w14:solidFill>
                    <w14:schemeClr w14:val="tx1"/>
                  </w14:solidFill>
                </w14:textFill>
              </w:rPr>
              <w:t>（庭芳医院）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27</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兴宁市罗岗中心卫生院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28</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兴宁市刁坊卫生院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29</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兴宁市罗浮卫生院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30</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兴宁市坜陂卫生院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31</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兴宁市黄陂卫生院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Ansi="Calibri"/>
                <w:color w:val="000000" w:themeColor="text1"/>
                <w:sz w:val="21"/>
                <w:szCs w:val="21"/>
                <w:highlight w:val="none"/>
                <w:lang w:eastAsia="en-US"/>
                <w14:textFill>
                  <w14:solidFill>
                    <w14:schemeClr w14:val="tx1"/>
                  </w14:solidFill>
                </w14:textFill>
              </w:rPr>
              <w:t>32</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兴宁市大坪卫生院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1206" w:type="dxa"/>
            <w:vAlign w:val="center"/>
          </w:tcPr>
          <w:p>
            <w:pPr>
              <w:widowControl w:val="0"/>
              <w:spacing w:line="240" w:lineRule="auto"/>
              <w:ind w:firstLine="0" w:firstLineChars="0"/>
              <w:jc w:val="center"/>
              <w:rPr>
                <w:rFonts w:hAnsi="Calibri"/>
                <w:color w:val="000000" w:themeColor="text1"/>
                <w:sz w:val="21"/>
                <w:szCs w:val="21"/>
                <w:highlight w:val="none"/>
                <w:lang w:eastAsia="en-US"/>
                <w14:textFill>
                  <w14:solidFill>
                    <w14:schemeClr w14:val="tx1"/>
                  </w14:solidFill>
                </w14:textFill>
              </w:rPr>
            </w:pPr>
            <w:r>
              <w:rPr>
                <w:rFonts w:hint="eastAsia" w:hAnsi="Calibri"/>
                <w:color w:val="000000" w:themeColor="text1"/>
                <w:sz w:val="21"/>
                <w:szCs w:val="21"/>
                <w:highlight w:val="none"/>
                <w:lang w:eastAsia="zh-CN"/>
                <w14:textFill>
                  <w14:solidFill>
                    <w14:schemeClr w14:val="tx1"/>
                  </w14:solidFill>
                </w14:textFill>
              </w:rPr>
              <w:t>33</w:t>
            </w:r>
          </w:p>
        </w:tc>
        <w:tc>
          <w:tcPr>
            <w:tcW w:w="3725" w:type="dxa"/>
            <w:vAlign w:val="center"/>
          </w:tcPr>
          <w:p>
            <w:pPr>
              <w:widowControl w:val="0"/>
              <w:spacing w:line="240" w:lineRule="auto"/>
              <w:ind w:firstLine="0" w:firstLineChars="0"/>
              <w:jc w:val="center"/>
              <w:rPr>
                <w:rFonts w:ascii="宋体" w:hAnsi="宋体" w:cs="宋体"/>
                <w:color w:val="000000" w:themeColor="text1"/>
                <w:sz w:val="21"/>
                <w:szCs w:val="21"/>
                <w:highlight w:val="none"/>
                <w:lang w:eastAsia="en-US"/>
                <w14:textFill>
                  <w14:solidFill>
                    <w14:schemeClr w14:val="tx1"/>
                  </w14:solidFill>
                </w14:textFill>
              </w:rPr>
            </w:pPr>
            <w:r>
              <w:rPr>
                <w:rFonts w:hint="eastAsia"/>
                <w:color w:val="000000" w:themeColor="text1"/>
                <w:sz w:val="21"/>
                <w:szCs w:val="21"/>
                <w:highlight w:val="none"/>
                <w:lang w:eastAsia="en-US"/>
                <w14:textFill>
                  <w14:solidFill>
                    <w14:schemeClr w14:val="tx1"/>
                  </w14:solidFill>
                </w14:textFill>
              </w:rPr>
              <w:t>兴宁市第二人民医院</w:t>
            </w:r>
          </w:p>
        </w:tc>
        <w:tc>
          <w:tcPr>
            <w:tcW w:w="4230" w:type="dxa"/>
            <w:vAlign w:val="center"/>
          </w:tcPr>
          <w:p>
            <w:pPr>
              <w:widowControl w:val="0"/>
              <w:spacing w:line="240" w:lineRule="auto"/>
              <w:ind w:firstLine="420" w:firstLineChars="200"/>
              <w:jc w:val="center"/>
              <w:rPr>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bl>
    <w:p>
      <w:pPr>
        <w:keepNext/>
        <w:spacing w:before="163" w:after="163"/>
        <w:ind w:left="578" w:firstLine="0" w:firstLineChars="0"/>
        <w:jc w:val="center"/>
        <w:rPr>
          <w:b/>
          <w:bCs/>
          <w:color w:val="000000" w:themeColor="text1"/>
          <w:sz w:val="30"/>
          <w:szCs w:val="30"/>
          <w:highlight w:val="none"/>
          <w14:textFill>
            <w14:solidFill>
              <w14:schemeClr w14:val="tx1"/>
            </w14:solidFill>
          </w14:textFill>
        </w:rPr>
      </w:pPr>
      <w:bookmarkStart w:id="81" w:name="_Toc527706853"/>
      <w:r>
        <w:rPr>
          <w:rFonts w:hint="eastAsia"/>
          <w:b/>
          <w:bCs/>
          <w:color w:val="000000" w:themeColor="text1"/>
          <w:sz w:val="30"/>
          <w:szCs w:val="30"/>
          <w:highlight w:val="none"/>
          <w14:textFill>
            <w14:solidFill>
              <w14:schemeClr w14:val="tx1"/>
            </w14:solidFill>
          </w14:textFill>
        </w:rPr>
        <w:t>附表</w:t>
      </w:r>
      <w:r>
        <w:rPr>
          <w:rFonts w:hint="eastAsia"/>
          <w:b/>
          <w:bCs/>
          <w:color w:val="000000" w:themeColor="text1"/>
          <w:sz w:val="30"/>
          <w:szCs w:val="30"/>
          <w:highlight w:val="none"/>
          <w:lang w:val="en-US" w:eastAsia="zh-CN"/>
          <w14:textFill>
            <w14:solidFill>
              <w14:schemeClr w14:val="tx1"/>
            </w14:solidFill>
          </w14:textFill>
        </w:rPr>
        <w:t>4</w:t>
      </w:r>
      <w:r>
        <w:rPr>
          <w:b/>
          <w:bCs/>
          <w:color w:val="000000" w:themeColor="text1"/>
          <w:sz w:val="30"/>
          <w:szCs w:val="30"/>
          <w:highlight w:val="none"/>
          <w14:textFill>
            <w14:solidFill>
              <w14:schemeClr w14:val="tx1"/>
            </w14:solidFill>
          </w14:textFill>
        </w:rPr>
        <w:t xml:space="preserve"> </w:t>
      </w:r>
      <w:r>
        <w:rPr>
          <w:rFonts w:hint="eastAsia"/>
          <w:b/>
          <w:bCs/>
          <w:color w:val="000000" w:themeColor="text1"/>
          <w:sz w:val="30"/>
          <w:szCs w:val="30"/>
          <w:highlight w:val="none"/>
          <w14:textFill>
            <w14:solidFill>
              <w14:schemeClr w14:val="tx1"/>
            </w14:solidFill>
          </w14:textFill>
        </w:rPr>
        <w:t xml:space="preserve">  城镇居民区和文化教育研究区禁止养殖区——学校</w:t>
      </w:r>
      <w:bookmarkEnd w:id="81"/>
    </w:p>
    <w:tbl>
      <w:tblPr>
        <w:tblStyle w:val="33"/>
        <w:tblW w:w="921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234"/>
        <w:gridCol w:w="3762"/>
        <w:gridCol w:w="4222"/>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tblHeader/>
          <w:jc w:val="center"/>
        </w:trPr>
        <w:tc>
          <w:tcPr>
            <w:tcW w:w="1234" w:type="dxa"/>
            <w:vMerge w:val="restart"/>
            <w:vAlign w:val="center"/>
          </w:tcPr>
          <w:p>
            <w:pPr>
              <w:spacing w:line="240" w:lineRule="auto"/>
              <w:ind w:firstLine="0" w:firstLineChars="0"/>
              <w:jc w:val="center"/>
              <w:rPr>
                <w:b/>
                <w:color w:val="000000" w:themeColor="text1"/>
                <w:kern w:val="2"/>
                <w:sz w:val="21"/>
                <w:highlight w:val="none"/>
                <w14:textFill>
                  <w14:solidFill>
                    <w14:schemeClr w14:val="tx1"/>
                  </w14:solidFill>
                </w14:textFill>
              </w:rPr>
            </w:pPr>
            <w:r>
              <w:rPr>
                <w:rFonts w:hint="eastAsia"/>
                <w:b/>
                <w:color w:val="000000" w:themeColor="text1"/>
                <w:kern w:val="2"/>
                <w:sz w:val="21"/>
                <w:highlight w:val="none"/>
                <w14:textFill>
                  <w14:solidFill>
                    <w14:schemeClr w14:val="tx1"/>
                  </w14:solidFill>
                </w14:textFill>
              </w:rPr>
              <w:t>序号</w:t>
            </w:r>
          </w:p>
        </w:tc>
        <w:tc>
          <w:tcPr>
            <w:tcW w:w="3762" w:type="dxa"/>
            <w:vMerge w:val="restart"/>
            <w:vAlign w:val="center"/>
          </w:tcPr>
          <w:p>
            <w:pPr>
              <w:spacing w:line="240" w:lineRule="auto"/>
              <w:ind w:firstLine="0" w:firstLineChars="0"/>
              <w:jc w:val="center"/>
              <w:rPr>
                <w:b/>
                <w:color w:val="000000" w:themeColor="text1"/>
                <w:kern w:val="2"/>
                <w:sz w:val="21"/>
                <w:highlight w:val="none"/>
                <w14:textFill>
                  <w14:solidFill>
                    <w14:schemeClr w14:val="tx1"/>
                  </w14:solidFill>
                </w14:textFill>
              </w:rPr>
            </w:pPr>
            <w:r>
              <w:rPr>
                <w:rFonts w:hint="eastAsia"/>
                <w:b/>
                <w:color w:val="000000" w:themeColor="text1"/>
                <w:kern w:val="2"/>
                <w:sz w:val="21"/>
                <w:highlight w:val="none"/>
                <w14:textFill>
                  <w14:solidFill>
                    <w14:schemeClr w14:val="tx1"/>
                  </w14:solidFill>
                </w14:textFill>
              </w:rPr>
              <w:t>名称</w:t>
            </w:r>
          </w:p>
        </w:tc>
        <w:tc>
          <w:tcPr>
            <w:tcW w:w="4222" w:type="dxa"/>
            <w:vMerge w:val="restart"/>
            <w:vAlign w:val="center"/>
          </w:tcPr>
          <w:p>
            <w:pPr>
              <w:spacing w:line="240" w:lineRule="auto"/>
              <w:ind w:firstLine="0" w:firstLineChars="0"/>
              <w:jc w:val="center"/>
              <w:rPr>
                <w:b/>
                <w:color w:val="000000" w:themeColor="text1"/>
                <w:kern w:val="2"/>
                <w:sz w:val="21"/>
                <w:highlight w:val="none"/>
                <w14:textFill>
                  <w14:solidFill>
                    <w14:schemeClr w14:val="tx1"/>
                  </w14:solidFill>
                </w14:textFill>
              </w:rPr>
            </w:pPr>
            <w:r>
              <w:rPr>
                <w:rFonts w:hint="eastAsia"/>
                <w:b/>
                <w:color w:val="000000" w:themeColor="text1"/>
                <w:kern w:val="2"/>
                <w:sz w:val="21"/>
                <w:highlight w:val="none"/>
                <w14:textFill>
                  <w14:solidFill>
                    <w14:schemeClr w14:val="tx1"/>
                  </w14:solidFill>
                </w14:textFill>
              </w:rPr>
              <w:t>禁养区范围</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tblHeader/>
          <w:jc w:val="center"/>
        </w:trPr>
        <w:tc>
          <w:tcPr>
            <w:tcW w:w="1234" w:type="dxa"/>
            <w:vMerge w:val="continue"/>
            <w:vAlign w:val="center"/>
          </w:tcPr>
          <w:p>
            <w:pPr>
              <w:spacing w:line="240" w:lineRule="auto"/>
              <w:ind w:firstLine="0" w:firstLineChars="0"/>
              <w:jc w:val="left"/>
              <w:rPr>
                <w:b/>
                <w:color w:val="000000" w:themeColor="text1"/>
                <w:kern w:val="2"/>
                <w:sz w:val="21"/>
                <w:highlight w:val="none"/>
                <w14:textFill>
                  <w14:solidFill>
                    <w14:schemeClr w14:val="tx1"/>
                  </w14:solidFill>
                </w14:textFill>
              </w:rPr>
            </w:pPr>
          </w:p>
        </w:tc>
        <w:tc>
          <w:tcPr>
            <w:tcW w:w="3762" w:type="dxa"/>
            <w:vMerge w:val="continue"/>
            <w:vAlign w:val="center"/>
          </w:tcPr>
          <w:p>
            <w:pPr>
              <w:spacing w:line="240" w:lineRule="auto"/>
              <w:ind w:firstLine="0" w:firstLineChars="0"/>
              <w:jc w:val="left"/>
              <w:rPr>
                <w:b/>
                <w:color w:val="000000" w:themeColor="text1"/>
                <w:kern w:val="2"/>
                <w:sz w:val="21"/>
                <w:highlight w:val="none"/>
                <w14:textFill>
                  <w14:solidFill>
                    <w14:schemeClr w14:val="tx1"/>
                  </w14:solidFill>
                </w14:textFill>
              </w:rPr>
            </w:pPr>
          </w:p>
        </w:tc>
        <w:tc>
          <w:tcPr>
            <w:tcW w:w="4222" w:type="dxa"/>
            <w:vMerge w:val="continue"/>
            <w:vAlign w:val="center"/>
          </w:tcPr>
          <w:p>
            <w:pPr>
              <w:spacing w:line="240" w:lineRule="auto"/>
              <w:ind w:firstLine="0" w:firstLineChars="0"/>
              <w:jc w:val="left"/>
              <w:rPr>
                <w:b/>
                <w:color w:val="000000" w:themeColor="text1"/>
                <w:kern w:val="2"/>
                <w:sz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兴宁市田家炳中学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兴宁市兴民中学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兴宁市第一中学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w:t>
            </w:r>
            <w:r>
              <w:rPr>
                <w:rFonts w:hint="eastAsia"/>
                <w:color w:val="000000" w:themeColor="text1"/>
                <w:kern w:val="2"/>
                <w:sz w:val="21"/>
                <w:highlight w:val="none"/>
                <w:lang w:eastAsia="zh-CN"/>
                <w14:textFill>
                  <w14:solidFill>
                    <w14:schemeClr w14:val="tx1"/>
                  </w14:solidFill>
                </w14:textFill>
              </w:rPr>
              <w:t>罗</w:t>
            </w:r>
            <w:r>
              <w:rPr>
                <w:rFonts w:hint="eastAsia"/>
                <w:color w:val="000000" w:themeColor="text1"/>
                <w:kern w:val="2"/>
                <w:sz w:val="21"/>
                <w:highlight w:val="none"/>
                <w14:textFill>
                  <w14:solidFill>
                    <w14:schemeClr w14:val="tx1"/>
                  </w14:solidFill>
                </w14:textFill>
              </w:rPr>
              <w:t>岗中学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兴宁市黄陂中学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兴宁市龙田中学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兴宁市坭陂中心小学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兴宁市宁中中学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兴宁市坭陂中学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rFonts w:hint="eastAsia" w:eastAsia="宋体"/>
                <w:color w:val="000000" w:themeColor="text1"/>
                <w:kern w:val="2"/>
                <w:sz w:val="21"/>
                <w:highlight w:val="none"/>
                <w:lang w:val="en-US" w:eastAsia="zh-CN"/>
                <w14:textFill>
                  <w14:solidFill>
                    <w14:schemeClr w14:val="tx1"/>
                  </w14:solidFill>
                </w14:textFill>
              </w:rPr>
            </w:pPr>
            <w:r>
              <w:rPr>
                <w:rFonts w:hint="eastAsia"/>
                <w:color w:val="000000" w:themeColor="text1"/>
                <w:kern w:val="2"/>
                <w:sz w:val="21"/>
                <w:highlight w:val="none"/>
                <w:lang w:val="en-US" w:eastAsia="zh-CN"/>
                <w14:textFill>
                  <w14:solidFill>
                    <w14:schemeClr w14:val="tx1"/>
                  </w14:solidFill>
                </w14:textFill>
              </w:rPr>
              <w:t>10</w:t>
            </w:r>
          </w:p>
        </w:tc>
        <w:tc>
          <w:tcPr>
            <w:tcW w:w="3762" w:type="dxa"/>
            <w:vAlign w:val="center"/>
          </w:tcPr>
          <w:p>
            <w:pPr>
              <w:spacing w:line="240" w:lineRule="auto"/>
              <w:ind w:firstLine="0" w:firstLineChars="0"/>
              <w:jc w:val="center"/>
              <w:rPr>
                <w:rFonts w:hint="eastAsia"/>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兴宁市黄槐镇岗背学士小学</w:t>
            </w:r>
          </w:p>
        </w:tc>
        <w:tc>
          <w:tcPr>
            <w:tcW w:w="4222" w:type="dxa"/>
            <w:vAlign w:val="center"/>
          </w:tcPr>
          <w:p>
            <w:pPr>
              <w:spacing w:line="240" w:lineRule="auto"/>
              <w:ind w:firstLine="420" w:firstLineChars="200"/>
              <w:jc w:val="center"/>
              <w:rPr>
                <w:rFonts w:hint="eastAsia"/>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兴宁市实验中学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兴宁市华侨中学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兴宁市福兴中学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兴宁市第三中学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兴宁市司城中学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兴宁市霞岚中学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兴宁市大坪镇中心幼儿园</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兴宁市大坪镇中心小学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兴宁市胜清中学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兴宁市新陂中心幼儿园</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兴宁市新陂中学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兴宁市刁坊中学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兴宁市黄槐中学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兴宁市国本学校</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兴宁市侨光中学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兴宁市岗背中学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30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兴宁市永兴中学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31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兴宁市永和中学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32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兴宁市龙北中学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33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兴宁市石马中学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34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兴宁市合水中学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35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兴宁市合水中心小学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36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兴宁市宁江中学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37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兴宁市宁塘中学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38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兴宁市径兴中学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39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兴宁市坭陂中学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40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兴宁市陂西中学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41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兴宁市新圩中学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42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兴宁市水西学校</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43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兴宁市洋坪中学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44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兴宁市下堡中学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45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兴宁市宋声中学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46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兴宁市成人中专</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47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兴宁市卫生职业技术学校</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48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兴宁市兴城中心小学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49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兴宁市兴城第三小学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50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兴宁市兴城第六小学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51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兴宁市兴城南新小学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52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兴宁市兴城灌新小学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53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兴宁市兴城管岭小学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54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兴宁市兴城第五小学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55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兴宁市兴城第八小学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56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兴宁市兴城中心幼儿园</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57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58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兴宁市罗浮镇石蕉小学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59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兴宁市罗浮镇中坑小学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60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兴宁市罗浮镇浮东小学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61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兴宁市罗浮镇徐东小学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62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兴宁市罗浮镇向阳小学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63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兴宁市罗浮镇练优小学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64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兴宁市罗浮镇塘社小学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65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兴宁市罗浮镇浮南小学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66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兴宁市罗浮镇浮西小学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67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兴宁市罗浮镇焦浮小学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68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兴宁市罗浮镇罗栋小学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69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兴宁市罗浮镇大信小学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70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兴宁市罗浮镇瑶兴小学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71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兴宁市罗浮镇中和小学</w:t>
            </w:r>
          </w:p>
        </w:tc>
        <w:tc>
          <w:tcPr>
            <w:tcW w:w="4222" w:type="dxa"/>
            <w:vAlign w:val="center"/>
          </w:tcPr>
          <w:p>
            <w:pPr>
              <w:spacing w:line="240" w:lineRule="auto"/>
              <w:ind w:firstLine="420" w:firstLineChars="200"/>
              <w:jc w:val="center"/>
              <w:rPr>
                <w:rFonts w:hint="eastAsia" w:eastAsia="宋体"/>
                <w:color w:val="000000" w:themeColor="text1"/>
                <w:kern w:val="2"/>
                <w:sz w:val="21"/>
                <w:highlight w:val="none"/>
                <w:lang w:eastAsia="zh-CN"/>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72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兴宁市罗浮镇新南小学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73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兴宁市罗浮镇高坑小学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74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兴宁市罗浮镇浮光小学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75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兴宁市罗浮镇南风小学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76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兴宁市罗浮镇勤光小学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77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兴宁市罗浮镇浮塘小学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78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兴宁市罗浮镇小佑小学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79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兴宁市罗浮镇浮美小学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80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兴宁市罗岗镇白水小学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81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兴宁市罗岗镇白群希望小学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82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w:t>
            </w:r>
            <w:r>
              <w:rPr>
                <w:rFonts w:hint="eastAsia"/>
                <w:color w:val="000000" w:themeColor="text1"/>
                <w:kern w:val="2"/>
                <w:sz w:val="21"/>
                <w:highlight w:val="none"/>
                <w:lang w:eastAsia="zh-CN"/>
                <w14:textFill>
                  <w14:solidFill>
                    <w14:schemeClr w14:val="tx1"/>
                  </w14:solidFill>
                </w14:textFill>
              </w:rPr>
              <w:t>罗</w:t>
            </w:r>
            <w:r>
              <w:rPr>
                <w:rFonts w:hint="eastAsia"/>
                <w:color w:val="000000" w:themeColor="text1"/>
                <w:kern w:val="2"/>
                <w:sz w:val="21"/>
                <w:highlight w:val="none"/>
                <w14:textFill>
                  <w14:solidFill>
                    <w14:schemeClr w14:val="tx1"/>
                  </w14:solidFill>
                </w14:textFill>
              </w:rPr>
              <w:t>岗中学小学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83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兴宁市罗岗镇元潘小学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84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兴宁市罗岗镇四德小学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85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兴宁市罗岗镇甘村小学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86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兴宁市罗岗镇霞光小学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87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兴宁市罗岗镇官庄小学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88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兴宁市罗岗镇莲湖小学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89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兴宁市罗岗镇大望小学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90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兴宁市罗岗镇柿子小学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91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兴宁市罗岗镇焦坑小学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92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w:t>
            </w:r>
            <w:r>
              <w:rPr>
                <w:rFonts w:hint="eastAsia"/>
                <w:color w:val="000000" w:themeColor="text1"/>
                <w:kern w:val="2"/>
                <w:sz w:val="21"/>
                <w:highlight w:val="none"/>
                <w:lang w:eastAsia="zh-CN"/>
                <w14:textFill>
                  <w14:solidFill>
                    <w14:schemeClr w14:val="tx1"/>
                  </w14:solidFill>
                </w14:textFill>
              </w:rPr>
              <w:t>罗</w:t>
            </w:r>
            <w:r>
              <w:rPr>
                <w:rFonts w:hint="eastAsia"/>
                <w:color w:val="000000" w:themeColor="text1"/>
                <w:kern w:val="2"/>
                <w:sz w:val="21"/>
                <w:highlight w:val="none"/>
                <w14:textFill>
                  <w14:solidFill>
                    <w14:schemeClr w14:val="tx1"/>
                  </w14:solidFill>
                </w14:textFill>
              </w:rPr>
              <w:t>岗镇罗中小学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93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兴宁市罗岗镇潘洞小学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94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w:t>
            </w:r>
            <w:r>
              <w:rPr>
                <w:rFonts w:hint="eastAsia"/>
                <w:color w:val="000000" w:themeColor="text1"/>
                <w:kern w:val="2"/>
                <w:sz w:val="21"/>
                <w:highlight w:val="none"/>
                <w:lang w:eastAsia="zh-CN"/>
                <w14:textFill>
                  <w14:solidFill>
                    <w14:schemeClr w14:val="tx1"/>
                  </w14:solidFill>
                </w14:textFill>
              </w:rPr>
              <w:t>罗</w:t>
            </w:r>
            <w:r>
              <w:rPr>
                <w:rFonts w:hint="eastAsia"/>
                <w:color w:val="000000" w:themeColor="text1"/>
                <w:kern w:val="2"/>
                <w:sz w:val="21"/>
                <w:highlight w:val="none"/>
                <w14:textFill>
                  <w14:solidFill>
                    <w14:schemeClr w14:val="tx1"/>
                  </w14:solidFill>
                </w14:textFill>
              </w:rPr>
              <w:t>岗镇明星小学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95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兴宁市罗岗镇坳下小学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96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兴宁市罗岗镇澄清小学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97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兴宁市罗岗镇溪庄小学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98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兴宁市罗岗镇焦一小学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99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兴宁市罗岗镇青湖小学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100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兴宁市罗岗镇红旗小学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101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兴宁市大坪镇小碰小学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102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兴宁市大坪镇吴田小学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103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兴宁市大坪镇岭河小学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104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兴宁市大坪镇布洛小学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105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兴宁市大坪镇白云小学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106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兴宁市大坪镇坪汉小学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107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兴宁市大坪镇胜利小学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108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兴宁市大坪镇兰亭小学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109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兴宁市大坪镇兰亭幼儿园</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110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兴宁市大坪镇朱坑小学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111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兴宁市大坪镇将军小学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112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兴宁市大坪镇上大塘小学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113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兴宁市大坪镇下大塘小学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114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115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116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兴宁市叶塘镇下洋小学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117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兴宁市叶塘镇彭陂小学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118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兴宁市叶塘镇甘塘小学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119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兴宁市新陂镇华新小学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120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兴宁市叶塘镇同众小学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121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兴宁市叶塘镇留桥小学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122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兴宁市叶塘镇胜青小学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123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兴宁市叶塘镇乌池小学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124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兴宁市叶塘镇教礼小学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125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兴宁市叶塘镇红光小学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126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兴宁市叶塘镇苏京小学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127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兴宁市叶塘镇叶南中心小学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128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兴宁市叶塘镇中心幼儿园</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129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兴宁市叶塘镇上径希望小学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130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兴宁市叶塘镇陂下小学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131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兴宁市叶塘镇上中小学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132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兴宁市新陂镇中心小学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133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兴宁市新陂镇先声小学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134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兴宁市新陂镇河南小学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135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兴宁市新陂镇福民小学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136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兴宁市福兴中心小学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137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兴宁市五里小学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138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兴宁市福兴高田教学点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139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兴宁市福兴梅子教学点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140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兴宁市福兴大塘教学点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141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兴宁市主力小学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142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兴宁市大坪镇洋坪中学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143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兴宁市合水镇龙北中官小学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144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兴宁市石马中心幼儿园</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145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兴宁市石马刁田教学点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146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兴宁市石马小学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147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兴宁市石马镇下庄教学点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148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兴宁市洋门小学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149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兴宁市石马镇虎石教学点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150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兴宁市石马镇马下教学点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151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兴宁市石马镇红星教学点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152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兴宁市石马镇大觉教学点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153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兴宁市石马镇礤下教学点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154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兴宁市合水镇双溪小学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155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兴宁市龙田镇中心小学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156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兴宁市龙田鸳塘小学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157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兴宁市龙田秋水小学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158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兴宁市龙田石壁小学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159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兴宁市龙田坪见小学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160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兴宁市高陂镇高陂小学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161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兴宁市宁塘中心小学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162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兴宁市宁中镇幸福小学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163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兴宁市宁中镇洋岭小学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164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兴宁市宁中镇宁二教学点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165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兴宁市宁中镇古塘教学点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166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兴宁市宁中镇望江教学点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167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兴宁市宁中镇枫岭教学点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168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兴宁市宁中镇大圳教学点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169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兴宁市宁新横新小学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170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兴宁市宁新文星小学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171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兴宁市宁新黄岭小学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172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兴宁市永和湖乡小学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173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兴宁市永和大成小学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174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兴宁市永和成鹊小学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175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兴宁市永和沙坪小学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176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兴宁市宁中和山小学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177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兴宁市永和廉峰小学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178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兴宁市永和仁里小学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179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兴宁市永和崇新小学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180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兴宁市径南劲心中心小学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181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兴宁市径南李莲小学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182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兴宁市径南宝山小学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183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兴宁市径南古楼小学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184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兴宁市径南中心小学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185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兴宁市径南白石小学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186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兴宁市径南陂蓬小学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187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兴宁市径南中心幼儿园</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188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兴宁市坭陂中心幼儿园</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189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兴宁市坭陂陂新小学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190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兴宁市坭陂中心小学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191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兴宁市坭陂济坪学校</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192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兴宁市坭陂镇西湖小学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193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兴宁市坭陂镇柑子小学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194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兴宁市坭陂镇红山小学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195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兴宁市坭陂镇王村小学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196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兴宁市坭陂镇汤一小学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197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兴宁市坭陂镇黄铜小学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198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兴宁市坭陂镇湖柏小学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199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兴宁市新圩中心小学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200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兴宁市新圩蓝布小学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201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兴宁市新圩官峰小学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202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兴宁市新圩镇大村小学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203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兴宁市心虚石岸小学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204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兴宁市水口镇经纬小学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205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兴宁市水口镇光华小学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206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兴宁市水口镇宝丰小学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207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兴宁市水口镇彭洞小学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208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兴宁市水口镇大坑小学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209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兴宁市水口镇皱洞小学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210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兴宁市水口镇八一小学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211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兴宁市水口镇教岭小学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212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兴宁市水口镇下堡小学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213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兴宁市水口镇下堡光夏小学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214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兴宁市水口镇下堡布新小学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215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兴宁市水口镇下堡博民小学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216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兴宁市径南镇太阳小学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217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兴宁市水口镇下堡教美小学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218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兴宁市水口镇宋声中心小学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219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兴宁市水口镇璜江小学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220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兴宁市水口镇茂兴小学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221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兴宁市汉芬小学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222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兴宁市新陂镇茅塘小学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223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兴宁市刁坊镇双岗小学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224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兴宁市刁坊镇坪塘小学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225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兴宁市刁坊镇河郑小学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226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兴宁市刁坊镇大桥小学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227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兴宁市刁坊镇大新小学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228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兴宁市刁坊镇四联小学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229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兴宁市黄陂中心小学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230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兴宁市黄陂镇径口小学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231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兴宁市黄陂镇大二小学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232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兴宁市黄陂镇大一小学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233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兴宁市黄陂镇劲中小学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234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兴宁市黄槐镇中心小学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235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兴宁市黄陂镇英华小学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236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兴宁市黄槐镇联新小学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237</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兴宁市黄槐镇双头教学点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238</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兴宁市黄槐镇西联教学点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239</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兴宁市黄槐镇双下教学点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240</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兴宁市黄槐镇红光教学点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241</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兴宁市黄槐镇宝新教学点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242</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兴宁市黄槐镇新村教学点</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243</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兴宁市黄槐镇中心幼儿园</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244</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兴宁市黄槐镇禾村幼儿园</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245</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兴宁市黄槐镇岗背中心小学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234"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color w:val="000000" w:themeColor="text1"/>
                <w:kern w:val="2"/>
                <w:sz w:val="21"/>
                <w:highlight w:val="none"/>
                <w14:textFill>
                  <w14:solidFill>
                    <w14:schemeClr w14:val="tx1"/>
                  </w14:solidFill>
                </w14:textFill>
              </w:rPr>
              <w:t>246</w:t>
            </w:r>
          </w:p>
        </w:tc>
        <w:tc>
          <w:tcPr>
            <w:tcW w:w="3762" w:type="dxa"/>
            <w:vAlign w:val="center"/>
          </w:tcPr>
          <w:p>
            <w:pPr>
              <w:spacing w:line="240" w:lineRule="auto"/>
              <w:ind w:firstLine="0" w:firstLineChars="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14:textFill>
                  <w14:solidFill>
                    <w14:schemeClr w14:val="tx1"/>
                  </w14:solidFill>
                </w14:textFill>
              </w:rPr>
              <w:t>兴宁市黄槐镇岗背五星小学</w:t>
            </w:r>
          </w:p>
        </w:tc>
        <w:tc>
          <w:tcPr>
            <w:tcW w:w="4222" w:type="dxa"/>
            <w:vAlign w:val="center"/>
          </w:tcPr>
          <w:p>
            <w:pPr>
              <w:spacing w:line="240" w:lineRule="auto"/>
              <w:ind w:firstLine="420" w:firstLineChars="200"/>
              <w:jc w:val="center"/>
              <w:rPr>
                <w:color w:val="000000" w:themeColor="text1"/>
                <w:kern w:val="2"/>
                <w:sz w:val="21"/>
                <w:highlight w:val="none"/>
                <w14:textFill>
                  <w14:solidFill>
                    <w14:schemeClr w14:val="tx1"/>
                  </w14:solidFill>
                </w14:textFill>
              </w:rPr>
            </w:pPr>
            <w:r>
              <w:rPr>
                <w:rFonts w:hint="eastAsia"/>
                <w:color w:val="000000" w:themeColor="text1"/>
                <w:kern w:val="2"/>
                <w:sz w:val="21"/>
                <w:highlight w:val="none"/>
                <w:lang w:eastAsia="zh-CN"/>
                <w14:textFill>
                  <w14:solidFill>
                    <w14:schemeClr w14:val="tx1"/>
                  </w14:solidFill>
                </w14:textFill>
              </w:rPr>
              <w:t>所在区域内</w:t>
            </w:r>
          </w:p>
        </w:tc>
      </w:tr>
    </w:tbl>
    <w:p>
      <w:pPr>
        <w:spacing w:line="240" w:lineRule="auto"/>
        <w:ind w:left="0" w:leftChars="0" w:firstLine="0" w:firstLineChars="0"/>
        <w:jc w:val="both"/>
        <w:rPr>
          <w:rFonts w:hint="eastAsia" w:cstheme="majorBidi"/>
          <w:b/>
          <w:bCs/>
          <w:iCs/>
          <w:color w:val="000000" w:themeColor="text1"/>
          <w:sz w:val="30"/>
          <w:szCs w:val="28"/>
          <w:lang w:val="en-US" w:eastAsia="zh-CN" w:bidi="ar-SA"/>
          <w14:textFill>
            <w14:solidFill>
              <w14:schemeClr w14:val="tx1"/>
            </w14:solidFill>
          </w14:textFill>
        </w:rPr>
      </w:pPr>
    </w:p>
    <w:p>
      <w:pPr>
        <w:spacing w:line="240" w:lineRule="auto"/>
        <w:ind w:firstLine="602" w:firstLineChars="200"/>
        <w:jc w:val="both"/>
        <w:rPr>
          <w:rFonts w:hint="eastAsia" w:ascii="Times New Roman" w:hAnsi="Times New Roman" w:eastAsia="宋体" w:cstheme="majorBidi"/>
          <w:b/>
          <w:bCs/>
          <w:iCs/>
          <w:color w:val="000000" w:themeColor="text1"/>
          <w:sz w:val="30"/>
          <w:szCs w:val="28"/>
          <w:lang w:val="en-US" w:eastAsia="zh-CN" w:bidi="ar-SA"/>
          <w14:textFill>
            <w14:solidFill>
              <w14:schemeClr w14:val="tx1"/>
            </w14:solidFill>
          </w14:textFill>
        </w:rPr>
      </w:pPr>
      <w:r>
        <w:rPr>
          <w:rFonts w:hint="eastAsia" w:cstheme="majorBidi"/>
          <w:b/>
          <w:bCs/>
          <w:iCs/>
          <w:color w:val="000000" w:themeColor="text1"/>
          <w:sz w:val="30"/>
          <w:szCs w:val="28"/>
          <w:lang w:val="en-US" w:eastAsia="zh-CN" w:bidi="ar-SA"/>
          <w14:textFill>
            <w14:solidFill>
              <w14:schemeClr w14:val="tx1"/>
            </w14:solidFill>
          </w14:textFill>
        </w:rPr>
        <w:t>附</w:t>
      </w:r>
      <w:r>
        <w:rPr>
          <w:rFonts w:hint="eastAsia" w:ascii="Times New Roman" w:hAnsi="Times New Roman" w:eastAsia="宋体" w:cstheme="majorBidi"/>
          <w:b/>
          <w:bCs/>
          <w:iCs/>
          <w:color w:val="000000" w:themeColor="text1"/>
          <w:sz w:val="30"/>
          <w:szCs w:val="28"/>
          <w:lang w:val="en-US" w:eastAsia="zh-CN" w:bidi="ar-SA"/>
          <w14:textFill>
            <w14:solidFill>
              <w14:schemeClr w14:val="tx1"/>
            </w14:solidFill>
          </w14:textFill>
        </w:rPr>
        <w:t>表</w:t>
      </w:r>
      <w:r>
        <w:rPr>
          <w:rFonts w:hint="eastAsia" w:cstheme="majorBidi"/>
          <w:b/>
          <w:bCs/>
          <w:iCs/>
          <w:color w:val="000000" w:themeColor="text1"/>
          <w:sz w:val="30"/>
          <w:szCs w:val="28"/>
          <w:lang w:val="en-US" w:eastAsia="zh-CN" w:bidi="ar-SA"/>
          <w14:textFill>
            <w14:solidFill>
              <w14:schemeClr w14:val="tx1"/>
            </w14:solidFill>
          </w14:textFill>
        </w:rPr>
        <w:t>5</w:t>
      </w:r>
      <w:r>
        <w:rPr>
          <w:rFonts w:hint="eastAsia" w:ascii="Times New Roman" w:hAnsi="Times New Roman" w:eastAsia="宋体" w:cstheme="majorBidi"/>
          <w:b/>
          <w:bCs/>
          <w:iCs/>
          <w:color w:val="000000" w:themeColor="text1"/>
          <w:sz w:val="30"/>
          <w:szCs w:val="28"/>
          <w:lang w:val="en-US" w:eastAsia="zh-CN" w:bidi="ar-SA"/>
          <w14:textFill>
            <w14:solidFill>
              <w14:schemeClr w14:val="tx1"/>
            </w14:solidFill>
          </w14:textFill>
        </w:rPr>
        <w:t xml:space="preserve"> </w:t>
      </w:r>
      <w:r>
        <w:rPr>
          <w:rFonts w:hint="eastAsia" w:cstheme="majorBidi"/>
          <w:b/>
          <w:bCs/>
          <w:iCs/>
          <w:color w:val="000000" w:themeColor="text1"/>
          <w:sz w:val="30"/>
          <w:szCs w:val="28"/>
          <w:lang w:val="en-US" w:eastAsia="zh-CN" w:bidi="ar-SA"/>
          <w14:textFill>
            <w14:solidFill>
              <w14:schemeClr w14:val="tx1"/>
            </w14:solidFill>
          </w14:textFill>
        </w:rPr>
        <w:t>文物保护单位和古民居禁止养殖区</w:t>
      </w:r>
    </w:p>
    <w:tbl>
      <w:tblPr>
        <w:tblStyle w:val="33"/>
        <w:tblW w:w="90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7"/>
        <w:gridCol w:w="3765"/>
        <w:gridCol w:w="42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blHeader/>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b/>
                <w:color w:val="000000" w:themeColor="text1"/>
                <w14:textFill>
                  <w14:solidFill>
                    <w14:schemeClr w14:val="tx1"/>
                  </w14:solidFill>
                </w14:textFill>
              </w:rPr>
            </w:pPr>
            <w:r>
              <w:rPr>
                <w:rFonts w:hint="eastAsia"/>
                <w:b/>
                <w:color w:val="000000" w:themeColor="text1"/>
                <w14:textFill>
                  <w14:solidFill>
                    <w14:schemeClr w14:val="tx1"/>
                  </w14:solidFill>
                </w14:textFill>
              </w:rPr>
              <w:t>序号</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b/>
                <w:color w:val="000000" w:themeColor="text1"/>
                <w14:textFill>
                  <w14:solidFill>
                    <w14:schemeClr w14:val="tx1"/>
                  </w14:solidFill>
                </w14:textFill>
              </w:rPr>
            </w:pPr>
            <w:r>
              <w:rPr>
                <w:rFonts w:hint="eastAsia"/>
                <w:b/>
                <w:color w:val="000000" w:themeColor="text1"/>
                <w14:textFill>
                  <w14:solidFill>
                    <w14:schemeClr w14:val="tx1"/>
                  </w14:solidFill>
                </w14:textFill>
              </w:rPr>
              <w:t>名称</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b/>
                <w:color w:val="000000" w:themeColor="text1"/>
                <w14:textFill>
                  <w14:solidFill>
                    <w14:schemeClr w14:val="tx1"/>
                  </w14:solidFill>
                </w14:textFill>
              </w:rPr>
            </w:pPr>
            <w:r>
              <w:rPr>
                <w:rFonts w:hint="eastAsia"/>
                <w:b/>
                <w:color w:val="000000" w:themeColor="text1"/>
                <w:kern w:val="2"/>
                <w:sz w:val="21"/>
                <w:highlight w:val="none"/>
                <w14:textFill>
                  <w14:solidFill>
                    <w14:schemeClr w14:val="tx1"/>
                  </w14:solidFill>
                </w14:textFill>
              </w:rPr>
              <w:t>禁养区范围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1</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兴宁学宫</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2</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两海会馆</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3</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磐安围</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4</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文峰塔</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5</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兴宁古城墙</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6</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善述围</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7</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棣华围</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rFonts w:hint="eastAsia" w:eastAsiaTheme="majorEastAsia"/>
                <w:color w:val="000000" w:themeColor="text1"/>
                <w:highlight w:val="none"/>
                <w:lang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8</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李和美屋</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rFonts w:hint="eastAsia" w:eastAsiaTheme="majorEastAsia"/>
                <w:color w:val="000000" w:themeColor="text1"/>
                <w:highlight w:val="none"/>
                <w:lang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9</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五里大黄屋</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rFonts w:hint="eastAsia" w:eastAsiaTheme="majorEastAsia"/>
                <w:color w:val="000000" w:themeColor="text1"/>
                <w:highlight w:val="none"/>
                <w:lang w:eastAsia="zh-CN"/>
                <w14:textFill>
                  <w14:solidFill>
                    <w14:schemeClr w14:val="tx1"/>
                  </w14:solidFill>
                </w14:textFill>
              </w:rPr>
            </w:pPr>
            <w:r>
              <w:rPr>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0</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进士第</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rFonts w:hint="eastAsia" w:eastAsiaTheme="major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11</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墨池寺</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rFonts w:hint="eastAsia" w:eastAsiaTheme="major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12</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合水革命烈士纪念碑</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rFonts w:hint="eastAsia" w:eastAsiaTheme="major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13</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瑶兴石拱桥</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rFonts w:hint="eastAsia" w:eastAsiaTheme="major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14</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金子甲石拱桥</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rFonts w:hint="eastAsia" w:eastAsiaTheme="major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15</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合水古塔</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rFonts w:hint="eastAsia" w:eastAsiaTheme="major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16</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长兴围</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rFonts w:hint="eastAsia" w:eastAsiaTheme="major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17</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color w:val="000000" w:themeColor="text1"/>
                <w14:textFill>
                  <w14:solidFill>
                    <w14:schemeClr w14:val="tx1"/>
                  </w14:solidFill>
                </w14:textFill>
              </w:rPr>
            </w:pPr>
            <w:r>
              <w:rPr>
                <w:color w:val="000000" w:themeColor="text1"/>
                <w14:textFill>
                  <w14:solidFill>
                    <w14:schemeClr w14:val="tx1"/>
                  </w14:solidFill>
                </w14:textFill>
              </w:rPr>
              <w:t>刘氏总祠</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rFonts w:hint="eastAsia" w:eastAsiaTheme="major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18</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rFonts w:hint="eastAsia" w:eastAsiaTheme="major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何天炯故居</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color w:val="000000" w:themeColor="text1"/>
                <w:lang w:val="en-US"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color w:val="000000" w:themeColor="text1"/>
                <w:highlight w:val="none"/>
                <w14:textFill>
                  <w14:solidFill>
                    <w14:schemeClr w14:val="tx1"/>
                  </w14:solidFill>
                </w14:textFill>
              </w:rPr>
              <w:t>19</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玉成围</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color w:val="000000" w:themeColor="text1"/>
                <w:highlight w:val="none"/>
                <w14:textFill>
                  <w14:solidFill>
                    <w14:schemeClr w14:val="tx1"/>
                  </w14:solidFill>
                </w14:textFill>
              </w:rPr>
              <w:t>20</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文蔚第</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color w:val="000000" w:themeColor="text1"/>
                <w:highlight w:val="none"/>
                <w14:textFill>
                  <w14:solidFill>
                    <w14:schemeClr w14:val="tx1"/>
                  </w14:solidFill>
                </w14:textFill>
              </w:rPr>
              <w:t>21</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崇德围</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14:textFill>
                  <w14:solidFill>
                    <w14:schemeClr w14:val="tx1"/>
                  </w14:solidFill>
                </w14:textFill>
              </w:rPr>
              <w:t>22</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耀堃第</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14:textFill>
                  <w14:solidFill>
                    <w14:schemeClr w14:val="tx1"/>
                  </w14:solidFill>
                </w14:textFill>
              </w:rPr>
              <w:t>23</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光绍庐</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24</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恒云楼</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25</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刘氏始祖开七公墓</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26</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明始祖讳酆幸公墓</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27</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永泰关</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28</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罗永兴屋</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29</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莲塘背肖屋</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30</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报福寺</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31</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桂安围</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32</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坪里龙田世基</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33</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磐石围祠堂</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34</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龙兴围</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35</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何子渊故居</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36</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继述围</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37</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南阳世居</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38</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文魁屋</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39</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新宝丰昌张屋</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40</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和山寺</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41</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灵化寺</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42</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万安围</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43</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刘氏大夫第</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44</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下</w:t>
            </w:r>
            <w:r>
              <w:rPr>
                <w:rFonts w:hint="eastAsia"/>
                <w:color w:val="000000" w:themeColor="text1"/>
                <w14:textFill>
                  <w14:solidFill>
                    <w14:schemeClr w14:val="tx1"/>
                  </w14:solidFill>
                </w14:textFill>
              </w:rPr>
              <w:t>走</w:t>
            </w:r>
            <w:r>
              <w:rPr>
                <w:color w:val="000000" w:themeColor="text1"/>
                <w14:textFill>
                  <w14:solidFill>
                    <w14:schemeClr w14:val="tx1"/>
                  </w14:solidFill>
                </w14:textFill>
              </w:rPr>
              <w:t>马岗罗屋</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45</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龙岭围</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14:textFill>
                  <w14:solidFill>
                    <w14:schemeClr w14:val="tx1"/>
                  </w14:solidFill>
                </w14:textFill>
              </w:rPr>
              <w:t>46</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拙庐</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47</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荆荣第</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1097"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48</w:t>
            </w:r>
          </w:p>
        </w:tc>
        <w:tc>
          <w:tcPr>
            <w:tcW w:w="3765" w:type="dxa"/>
            <w:shd w:val="clear" w:color="auto" w:fill="auto"/>
            <w:vAlign w:val="center"/>
          </w:tcPr>
          <w:p>
            <w:pPr>
              <w:pStyle w:val="52"/>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rPr>
                <w:rFonts w:hint="eastAsia" w:eastAsia="宋体"/>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李洁之将军府</w:t>
            </w:r>
          </w:p>
        </w:tc>
        <w:tc>
          <w:tcPr>
            <w:tcW w:w="421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所在区域内</w:t>
            </w:r>
          </w:p>
        </w:tc>
      </w:tr>
    </w:tbl>
    <w:p>
      <w:pPr>
        <w:spacing w:line="240" w:lineRule="auto"/>
        <w:ind w:firstLine="602" w:firstLineChars="200"/>
        <w:jc w:val="both"/>
        <w:rPr>
          <w:rFonts w:hint="eastAsia" w:ascii="Times New Roman" w:hAnsi="Times New Roman" w:eastAsia="宋体" w:cstheme="majorBidi"/>
          <w:b/>
          <w:bCs/>
          <w:iCs/>
          <w:color w:val="000000" w:themeColor="text1"/>
          <w:sz w:val="30"/>
          <w:szCs w:val="28"/>
          <w:lang w:val="en-US" w:eastAsia="zh-CN" w:bidi="ar-SA"/>
          <w14:textFill>
            <w14:solidFill>
              <w14:schemeClr w14:val="tx1"/>
            </w14:solidFill>
          </w14:textFill>
        </w:rPr>
      </w:pPr>
    </w:p>
    <w:p>
      <w:pPr>
        <w:keepNext w:val="0"/>
        <w:keepLines w:val="0"/>
        <w:widowControl/>
        <w:suppressLineNumbers w:val="0"/>
        <w:jc w:val="left"/>
        <w:rPr>
          <w:color w:val="000000" w:themeColor="text1"/>
          <w14:textFill>
            <w14:solidFill>
              <w14:schemeClr w14:val="tx1"/>
            </w14:solidFill>
          </w14:textFill>
        </w:rPr>
      </w:pPr>
      <w:r>
        <w:rPr>
          <w:rFonts w:ascii="宋体" w:hAnsi="宋体" w:eastAsia="宋体" w:cs="宋体"/>
          <w:color w:val="000000" w:themeColor="text1"/>
          <w:kern w:val="0"/>
          <w:sz w:val="24"/>
          <w:szCs w:val="24"/>
          <w:lang w:val="en-US" w:eastAsia="zh-CN" w:bidi="ar"/>
          <w14:textFill>
            <w14:solidFill>
              <w14:schemeClr w14:val="tx1"/>
            </w14:solidFill>
          </w14:textFill>
        </w:rPr>
        <w:drawing>
          <wp:anchor distT="0" distB="0" distL="114300" distR="114300" simplePos="0" relativeHeight="251685888" behindDoc="0" locked="0" layoutInCell="1" allowOverlap="1">
            <wp:simplePos x="0" y="0"/>
            <wp:positionH relativeFrom="column">
              <wp:posOffset>-917575</wp:posOffset>
            </wp:positionH>
            <wp:positionV relativeFrom="paragraph">
              <wp:posOffset>-902335</wp:posOffset>
            </wp:positionV>
            <wp:extent cx="7562215" cy="10702290"/>
            <wp:effectExtent l="0" t="0" r="635" b="3810"/>
            <wp:wrapNone/>
            <wp:docPr id="14"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2" descr="IMG_256"/>
                    <pic:cNvPicPr>
                      <a:picLocks noChangeAspect="1"/>
                    </pic:cNvPicPr>
                  </pic:nvPicPr>
                  <pic:blipFill>
                    <a:blip r:embed="rId15"/>
                    <a:stretch>
                      <a:fillRect/>
                    </a:stretch>
                  </pic:blipFill>
                  <pic:spPr>
                    <a:xfrm>
                      <a:off x="0" y="0"/>
                      <a:ext cx="7562215" cy="10702290"/>
                    </a:xfrm>
                    <a:prstGeom prst="rect">
                      <a:avLst/>
                    </a:prstGeom>
                    <a:noFill/>
                    <a:ln w="9525">
                      <a:noFill/>
                    </a:ln>
                  </pic:spPr>
                </pic:pic>
              </a:graphicData>
            </a:graphic>
          </wp:anchor>
        </w:drawing>
      </w:r>
    </w:p>
    <w:p>
      <w:pPr>
        <w:keepNext w:val="0"/>
        <w:keepLines w:val="0"/>
        <w:pageBreakBefore w:val="0"/>
        <w:widowControl/>
        <w:kinsoku/>
        <w:wordWrap/>
        <w:overflowPunct/>
        <w:topLinePunct w:val="0"/>
        <w:autoSpaceDE/>
        <w:autoSpaceDN/>
        <w:bidi w:val="0"/>
        <w:adjustRightInd/>
        <w:snapToGrid/>
        <w:spacing w:line="460" w:lineRule="exact"/>
        <w:ind w:firstLine="0" w:firstLineChars="0"/>
        <w:textAlignment w:val="auto"/>
        <w:outlineLvl w:val="9"/>
        <w:rPr>
          <w:rFonts w:hint="eastAsia" w:eastAsia="宋体"/>
          <w:color w:val="000000" w:themeColor="text1"/>
          <w:highlight w:val="none"/>
          <w:lang w:eastAsia="zh-CN"/>
          <w14:textFill>
            <w14:solidFill>
              <w14:schemeClr w14:val="tx1"/>
            </w14:solidFill>
          </w14:textFill>
        </w:rPr>
      </w:pPr>
    </w:p>
    <w:p>
      <w:pPr>
        <w:keepNext w:val="0"/>
        <w:keepLines w:val="0"/>
        <w:pageBreakBefore w:val="0"/>
        <w:widowControl/>
        <w:kinsoku/>
        <w:wordWrap/>
        <w:overflowPunct/>
        <w:topLinePunct w:val="0"/>
        <w:autoSpaceDE/>
        <w:autoSpaceDN/>
        <w:bidi w:val="0"/>
        <w:adjustRightInd/>
        <w:snapToGrid/>
        <w:spacing w:line="460" w:lineRule="exact"/>
        <w:ind w:firstLine="0" w:firstLineChars="0"/>
        <w:textAlignment w:val="auto"/>
        <w:outlineLvl w:val="9"/>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5757545" cy="7317740"/>
            <wp:effectExtent l="0" t="0" r="14605" b="16510"/>
            <wp:docPr id="1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
                    <pic:cNvPicPr>
                      <a:picLocks noChangeAspect="1"/>
                    </pic:cNvPicPr>
                  </pic:nvPicPr>
                  <pic:blipFill>
                    <a:blip r:embed="rId16"/>
                    <a:stretch>
                      <a:fillRect/>
                    </a:stretch>
                  </pic:blipFill>
                  <pic:spPr>
                    <a:xfrm>
                      <a:off x="0" y="0"/>
                      <a:ext cx="5757545" cy="7317740"/>
                    </a:xfrm>
                    <a:prstGeom prst="rect">
                      <a:avLst/>
                    </a:prstGeom>
                    <a:noFill/>
                    <a:ln>
                      <a:noFill/>
                    </a:ln>
                  </pic:spPr>
                </pic:pic>
              </a:graphicData>
            </a:graphic>
          </wp:inline>
        </w:drawing>
      </w:r>
    </w:p>
    <w:p>
      <w:pPr>
        <w:bidi w:val="0"/>
        <w:rPr>
          <w:rFonts w:hint="eastAsia" w:ascii="Times New Roman" w:hAnsi="Times New Roman" w:eastAsia="宋体" w:cs="Times New Roman"/>
          <w:sz w:val="24"/>
          <w:szCs w:val="24"/>
          <w:lang w:val="en-US" w:eastAsia="zh-CN" w:bidi="ar-SA"/>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tabs>
          <w:tab w:val="left" w:pos="1197"/>
        </w:tabs>
        <w:bidi w:val="0"/>
        <w:jc w:val="left"/>
        <w:rPr>
          <w:rFonts w:hint="eastAsia" w:ascii="Times New Roman" w:hAnsi="Times New Roman" w:eastAsia="宋体" w:cstheme="majorBidi"/>
          <w:b/>
          <w:bCs/>
          <w:iCs/>
          <w:color w:val="000000" w:themeColor="text1"/>
          <w:sz w:val="30"/>
          <w:szCs w:val="28"/>
          <w:lang w:val="en-US" w:eastAsia="zh-CN" w:bidi="ar-SA"/>
          <w14:textFill>
            <w14:solidFill>
              <w14:schemeClr w14:val="tx1"/>
            </w14:solidFill>
          </w14:textFill>
        </w:rPr>
      </w:pPr>
      <w:r>
        <w:rPr>
          <w:rFonts w:hint="eastAsia"/>
          <w:lang w:val="en-US" w:eastAsia="zh-CN"/>
        </w:rPr>
        <w:tab/>
      </w:r>
    </w:p>
    <w:sectPr>
      <w:headerReference r:id="rId12" w:type="default"/>
      <w:footerReference r:id="rId13" w:type="default"/>
      <w:pgSz w:w="11905" w:h="16838"/>
      <w:pgMar w:top="1417" w:right="1418" w:bottom="1417" w:left="1418" w:header="851" w:footer="992" w:gutter="0"/>
      <w:cols w:space="0" w:num="1"/>
      <w:rtlGutter w:val="0"/>
      <w:docGrid w:type="lines" w:linePitch="33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Z@R2FE.tmp">
    <w:altName w:val="宋体"/>
    <w:panose1 w:val="00000000000000000000"/>
    <w:charset w:val="86"/>
    <w:family w:val="auto"/>
    <w:pitch w:val="default"/>
    <w:sig w:usb0="00000000" w:usb1="00000000" w:usb2="00000016" w:usb3="00000000" w:csb0="00040001" w:csb1="00000000"/>
  </w:font>
  <w:font w:name="Microsoft JhengHei">
    <w:panose1 w:val="020B0604030504040204"/>
    <w:charset w:val="88"/>
    <w:family w:val="swiss"/>
    <w:pitch w:val="default"/>
    <w:sig w:usb0="00000087" w:usb1="28AF4000" w:usb2="00000016" w:usb3="00000000" w:csb0="00100009"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54628481"/>
    </w:sdtPr>
    <w:sdtContent>
      <w:p>
        <w:pPr>
          <w:pStyle w:val="21"/>
          <w:ind w:firstLine="360"/>
          <w:jc w:val="center"/>
        </w:pPr>
        <w:r>
          <w:fldChar w:fldCharType="begin"/>
        </w:r>
        <w:r>
          <w:instrText xml:space="preserve">PAGE   \* MERGEFORMAT</w:instrText>
        </w:r>
        <w:r>
          <w:fldChar w:fldCharType="separate"/>
        </w:r>
        <w:r>
          <w:rPr>
            <w:lang w:val="zh-CN"/>
          </w:rPr>
          <w:t>II</w:t>
        </w:r>
        <w:r>
          <w:fldChar w:fldCharType="end"/>
        </w:r>
      </w:p>
    </w:sdtContent>
  </w:sdt>
  <w:p>
    <w:pPr>
      <w:pStyle w:val="21"/>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22327260"/>
    </w:sdtPr>
    <w:sdtContent>
      <w:p>
        <w:pPr>
          <w:pStyle w:val="21"/>
          <w:ind w:firstLine="360"/>
          <w:jc w:val="center"/>
        </w:pPr>
        <w:r>
          <w:fldChar w:fldCharType="begin"/>
        </w:r>
        <w:r>
          <w:instrText xml:space="preserve">PAGE   \* MERGEFORMAT</w:instrText>
        </w:r>
        <w:r>
          <w:fldChar w:fldCharType="separate"/>
        </w:r>
        <w:r>
          <w:rPr>
            <w:lang w:val="zh-CN"/>
          </w:rPr>
          <w:t>11</w:t>
        </w:r>
        <w:r>
          <w:fldChar w:fldCharType="end"/>
        </w:r>
      </w:p>
    </w:sdtContent>
  </w:sdt>
  <w:p>
    <w:pPr>
      <w:pStyle w:val="21"/>
      <w:ind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80180581"/>
    </w:sdtPr>
    <w:sdtContent>
      <w:p>
        <w:pPr>
          <w:pStyle w:val="21"/>
          <w:ind w:firstLine="360"/>
          <w:jc w:val="center"/>
        </w:pPr>
        <w:r>
          <w:fldChar w:fldCharType="begin"/>
        </w:r>
        <w:r>
          <w:instrText xml:space="preserve">PAGE   \* MERGEFORMAT</w:instrText>
        </w:r>
        <w:r>
          <w:fldChar w:fldCharType="separate"/>
        </w:r>
        <w:r>
          <w:rPr>
            <w:lang w:val="zh-CN"/>
          </w:rPr>
          <w:t>157</w:t>
        </w:r>
        <w:r>
          <w:fldChar w:fldCharType="end"/>
        </w:r>
      </w:p>
    </w:sdtContent>
  </w:sdt>
  <w:p>
    <w:pPr>
      <w:pStyle w:val="21"/>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none" w:color="auto" w:sz="0" w:space="1"/>
      </w:pBdr>
      <w:tabs>
        <w:tab w:val="left" w:pos="4200"/>
        <w:tab w:val="left" w:pos="4620"/>
        <w:tab w:val="left" w:pos="5040"/>
        <w:tab w:val="clear" w:pos="8306"/>
      </w:tabs>
      <w:ind w:firstLine="360"/>
      <w:jc w:val="left"/>
    </w:pPr>
    <w:r>
      <w:tab/>
    </w:r>
    <w:r>
      <w:tab/>
    </w:r>
    <w:r>
      <w:tab/>
    </w:r>
    <w:r>
      <w:tab/>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left" w:pos="4200"/>
        <w:tab w:val="left" w:pos="4620"/>
        <w:tab w:val="left" w:pos="5040"/>
        <w:tab w:val="clear" w:pos="8306"/>
      </w:tabs>
      <w:spacing w:line="240" w:lineRule="auto"/>
      <w:ind w:firstLine="420"/>
      <w:rPr>
        <w:rFonts w:hint="eastAsia" w:eastAsia="宋体"/>
        <w:color w:val="000000" w:themeColor="text1"/>
        <w:sz w:val="21"/>
        <w:lang w:eastAsia="zh-CN"/>
        <w14:textFill>
          <w14:solidFill>
            <w14:schemeClr w14:val="tx1"/>
          </w14:solidFill>
        </w14:textFill>
      </w:rPr>
    </w:pPr>
    <w:r>
      <w:rPr>
        <w:rFonts w:hint="eastAsia"/>
        <w:color w:val="000000" w:themeColor="text1"/>
        <w:sz w:val="21"/>
        <w:lang w:eastAsia="zh-CN"/>
        <w14:textFill>
          <w14:solidFill>
            <w14:schemeClr w14:val="tx1"/>
          </w14:solidFill>
        </w14:textFill>
      </w:rPr>
      <w:t>兴宁市畜禽养殖禁养区划分修订方案</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left" w:pos="4200"/>
        <w:tab w:val="left" w:pos="4620"/>
        <w:tab w:val="left" w:pos="5040"/>
        <w:tab w:val="clear" w:pos="8306"/>
      </w:tabs>
      <w:spacing w:line="240" w:lineRule="auto"/>
      <w:ind w:firstLine="420"/>
      <w:rPr>
        <w:sz w:val="21"/>
      </w:rPr>
    </w:pPr>
    <w:r>
      <w:rPr>
        <w:rFonts w:hint="eastAsia"/>
        <w:sz w:val="21"/>
      </w:rPr>
      <w:t>兴宁市畜禽养殖区划分修订方案</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799F35B"/>
    <w:multiLevelType w:val="singleLevel"/>
    <w:tmpl w:val="D799F35B"/>
    <w:lvl w:ilvl="0" w:tentative="0">
      <w:start w:val="11"/>
      <w:numFmt w:val="chineseCounting"/>
      <w:suff w:val="space"/>
      <w:lvlText w:val="第%1条"/>
      <w:lvlJc w:val="left"/>
      <w:rPr>
        <w:rFonts w:hint="eastAsia"/>
      </w:rPr>
    </w:lvl>
  </w:abstractNum>
  <w:abstractNum w:abstractNumId="1">
    <w:nsid w:val="26D716CF"/>
    <w:multiLevelType w:val="singleLevel"/>
    <w:tmpl w:val="26D716CF"/>
    <w:lvl w:ilvl="0" w:tentative="0">
      <w:start w:val="5"/>
      <w:numFmt w:val="chineseCounting"/>
      <w:suff w:val="nothing"/>
      <w:lvlText w:val="%1、"/>
      <w:lvlJc w:val="left"/>
      <w:rPr>
        <w:rFonts w:hint="eastAsia"/>
      </w:rPr>
    </w:lvl>
  </w:abstractNum>
  <w:abstractNum w:abstractNumId="2">
    <w:nsid w:val="46AABE13"/>
    <w:multiLevelType w:val="singleLevel"/>
    <w:tmpl w:val="46AABE13"/>
    <w:lvl w:ilvl="0" w:tentative="0">
      <w:start w:val="1"/>
      <w:numFmt w:val="chineseCounting"/>
      <w:suff w:val="nothing"/>
      <w:lvlText w:val="（%1）"/>
      <w:lvlJc w:val="left"/>
      <w:pPr>
        <w:ind w:left="0" w:firstLine="420"/>
      </w:pPr>
      <w:rPr>
        <w:rFonts w:hint="eastAsia"/>
      </w:rPr>
    </w:lvl>
  </w:abstractNum>
  <w:abstractNum w:abstractNumId="3">
    <w:nsid w:val="7DA049F9"/>
    <w:multiLevelType w:val="multilevel"/>
    <w:tmpl w:val="7DA049F9"/>
    <w:lvl w:ilvl="0" w:tentative="0">
      <w:start w:val="1"/>
      <w:numFmt w:val="decimal"/>
      <w:pStyle w:val="2"/>
      <w:lvlText w:val="%1"/>
      <w:lvlJc w:val="left"/>
      <w:pPr>
        <w:ind w:left="432" w:hanging="432"/>
      </w:pPr>
      <w:rPr>
        <w:rFonts w:hint="default"/>
      </w:rPr>
    </w:lvl>
    <w:lvl w:ilvl="1" w:tentative="0">
      <w:start w:val="1"/>
      <w:numFmt w:val="decimal"/>
      <w:pStyle w:val="3"/>
      <w:lvlText w:val="%1.%2"/>
      <w:lvlJc w:val="left"/>
      <w:pPr>
        <w:ind w:left="576" w:hanging="576"/>
      </w:pPr>
    </w:lvl>
    <w:lvl w:ilvl="2" w:tentative="0">
      <w:start w:val="1"/>
      <w:numFmt w:val="decimal"/>
      <w:pStyle w:val="4"/>
      <w:lvlText w:val="%1.%2.%3"/>
      <w:lvlJc w:val="left"/>
      <w:pPr>
        <w:ind w:left="720" w:hanging="720"/>
      </w:pPr>
    </w:lvl>
    <w:lvl w:ilvl="3" w:tentative="0">
      <w:start w:val="1"/>
      <w:numFmt w:val="decimal"/>
      <w:pStyle w:val="5"/>
      <w:lvlText w:val="%1.%2.%3.%4"/>
      <w:lvlJc w:val="left"/>
      <w:pPr>
        <w:ind w:left="864" w:hanging="864"/>
      </w:pPr>
    </w:lvl>
    <w:lvl w:ilvl="4" w:tentative="0">
      <w:start w:val="1"/>
      <w:numFmt w:val="decimal"/>
      <w:lvlText w:val="%1.%2.%3.%4.%5"/>
      <w:lvlJc w:val="left"/>
      <w:pPr>
        <w:ind w:left="1008" w:hanging="1008"/>
      </w:pPr>
    </w:lvl>
    <w:lvl w:ilvl="5" w:tentative="0">
      <w:start w:val="1"/>
      <w:numFmt w:val="decimal"/>
      <w:pStyle w:val="7"/>
      <w:lvlText w:val="%1.%2.%3.%4.%5.%6"/>
      <w:lvlJc w:val="left"/>
      <w:pPr>
        <w:ind w:left="1152" w:hanging="1152"/>
      </w:pPr>
    </w:lvl>
    <w:lvl w:ilvl="6" w:tentative="0">
      <w:start w:val="1"/>
      <w:numFmt w:val="decimal"/>
      <w:pStyle w:val="8"/>
      <w:lvlText w:val="%1.%2.%3.%4.%5.%6.%7"/>
      <w:lvlJc w:val="left"/>
      <w:pPr>
        <w:ind w:left="1296" w:hanging="1296"/>
      </w:pPr>
    </w:lvl>
    <w:lvl w:ilvl="7" w:tentative="0">
      <w:start w:val="1"/>
      <w:numFmt w:val="decimal"/>
      <w:pStyle w:val="9"/>
      <w:lvlText w:val="%1.%2.%3.%4.%5.%6.%7.%8"/>
      <w:lvlJc w:val="left"/>
      <w:pPr>
        <w:ind w:left="1440" w:hanging="1440"/>
      </w:pPr>
    </w:lvl>
    <w:lvl w:ilvl="8" w:tentative="0">
      <w:start w:val="1"/>
      <w:numFmt w:val="decimal"/>
      <w:pStyle w:val="10"/>
      <w:lvlText w:val="%1.%2.%3.%4.%5.%6.%7.%8.%9"/>
      <w:lvlJc w:val="left"/>
      <w:pPr>
        <w:ind w:left="1584" w:hanging="1584"/>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hideSpellingErrors/>
  <w:documentProtection w:edit="readOnly" w:enforcement="0"/>
  <w:defaultTabStop w:val="420"/>
  <w:drawingGridHorizontalSpacing w:val="120"/>
  <w:drawingGridVerticalSpacing w:val="166"/>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6BE0"/>
    <w:rsid w:val="0000570F"/>
    <w:rsid w:val="000104A2"/>
    <w:rsid w:val="000142AE"/>
    <w:rsid w:val="00014867"/>
    <w:rsid w:val="0001521A"/>
    <w:rsid w:val="00022DFD"/>
    <w:rsid w:val="0004204B"/>
    <w:rsid w:val="0004477B"/>
    <w:rsid w:val="0004559A"/>
    <w:rsid w:val="00051F6B"/>
    <w:rsid w:val="00054D49"/>
    <w:rsid w:val="000819F4"/>
    <w:rsid w:val="00085D5C"/>
    <w:rsid w:val="00086C00"/>
    <w:rsid w:val="00091C60"/>
    <w:rsid w:val="00094BDB"/>
    <w:rsid w:val="000A014A"/>
    <w:rsid w:val="000B1F30"/>
    <w:rsid w:val="000B6784"/>
    <w:rsid w:val="000C5372"/>
    <w:rsid w:val="000D045B"/>
    <w:rsid w:val="000D0700"/>
    <w:rsid w:val="000D40B2"/>
    <w:rsid w:val="000E63B8"/>
    <w:rsid w:val="000F161A"/>
    <w:rsid w:val="000F2493"/>
    <w:rsid w:val="000F361C"/>
    <w:rsid w:val="000F4547"/>
    <w:rsid w:val="000F7B85"/>
    <w:rsid w:val="00114DFF"/>
    <w:rsid w:val="00117569"/>
    <w:rsid w:val="00123842"/>
    <w:rsid w:val="00124558"/>
    <w:rsid w:val="001327FF"/>
    <w:rsid w:val="001341B7"/>
    <w:rsid w:val="001343D5"/>
    <w:rsid w:val="00134C54"/>
    <w:rsid w:val="00140136"/>
    <w:rsid w:val="00142321"/>
    <w:rsid w:val="00152C84"/>
    <w:rsid w:val="00156BE0"/>
    <w:rsid w:val="001573D9"/>
    <w:rsid w:val="001615A4"/>
    <w:rsid w:val="00164668"/>
    <w:rsid w:val="00167BDD"/>
    <w:rsid w:val="00171428"/>
    <w:rsid w:val="001A0D1B"/>
    <w:rsid w:val="001A240E"/>
    <w:rsid w:val="001B670D"/>
    <w:rsid w:val="001C1B01"/>
    <w:rsid w:val="001C6FCC"/>
    <w:rsid w:val="001C7DF6"/>
    <w:rsid w:val="001D4409"/>
    <w:rsid w:val="001E363E"/>
    <w:rsid w:val="001E4F42"/>
    <w:rsid w:val="001E6740"/>
    <w:rsid w:val="001F14D4"/>
    <w:rsid w:val="001F6773"/>
    <w:rsid w:val="0020019A"/>
    <w:rsid w:val="00205D6A"/>
    <w:rsid w:val="00210DBD"/>
    <w:rsid w:val="002111A6"/>
    <w:rsid w:val="002179BC"/>
    <w:rsid w:val="00217BA6"/>
    <w:rsid w:val="0022240B"/>
    <w:rsid w:val="00240417"/>
    <w:rsid w:val="00241361"/>
    <w:rsid w:val="00243BF0"/>
    <w:rsid w:val="00245926"/>
    <w:rsid w:val="00253F6E"/>
    <w:rsid w:val="00254FB7"/>
    <w:rsid w:val="002557E2"/>
    <w:rsid w:val="00262CC9"/>
    <w:rsid w:val="00271563"/>
    <w:rsid w:val="00281320"/>
    <w:rsid w:val="0028730A"/>
    <w:rsid w:val="00293ED2"/>
    <w:rsid w:val="00294477"/>
    <w:rsid w:val="002A0B3C"/>
    <w:rsid w:val="002A0DF9"/>
    <w:rsid w:val="002A11FE"/>
    <w:rsid w:val="002A29A7"/>
    <w:rsid w:val="002A679E"/>
    <w:rsid w:val="002A781E"/>
    <w:rsid w:val="002B24D3"/>
    <w:rsid w:val="002C1D0D"/>
    <w:rsid w:val="002C2EE1"/>
    <w:rsid w:val="002C51E5"/>
    <w:rsid w:val="002C7DC2"/>
    <w:rsid w:val="002C7DFD"/>
    <w:rsid w:val="002D5195"/>
    <w:rsid w:val="002D6FE7"/>
    <w:rsid w:val="002E4F51"/>
    <w:rsid w:val="003023C2"/>
    <w:rsid w:val="00307933"/>
    <w:rsid w:val="00307ED1"/>
    <w:rsid w:val="0031648C"/>
    <w:rsid w:val="00325909"/>
    <w:rsid w:val="00332915"/>
    <w:rsid w:val="00333579"/>
    <w:rsid w:val="003477C7"/>
    <w:rsid w:val="00350F9C"/>
    <w:rsid w:val="0035791D"/>
    <w:rsid w:val="003651EA"/>
    <w:rsid w:val="00376B77"/>
    <w:rsid w:val="003915BA"/>
    <w:rsid w:val="00392A6C"/>
    <w:rsid w:val="0039784F"/>
    <w:rsid w:val="003B6ABE"/>
    <w:rsid w:val="003B7301"/>
    <w:rsid w:val="003B7ED7"/>
    <w:rsid w:val="003C2B43"/>
    <w:rsid w:val="003D6597"/>
    <w:rsid w:val="003E298A"/>
    <w:rsid w:val="003E4181"/>
    <w:rsid w:val="003E51DB"/>
    <w:rsid w:val="003E57AB"/>
    <w:rsid w:val="003F692B"/>
    <w:rsid w:val="004033BC"/>
    <w:rsid w:val="00423A66"/>
    <w:rsid w:val="004321F8"/>
    <w:rsid w:val="00435192"/>
    <w:rsid w:val="00435E40"/>
    <w:rsid w:val="00440094"/>
    <w:rsid w:val="00445FAE"/>
    <w:rsid w:val="0044668F"/>
    <w:rsid w:val="0045165A"/>
    <w:rsid w:val="004538B9"/>
    <w:rsid w:val="004550FB"/>
    <w:rsid w:val="00462B6A"/>
    <w:rsid w:val="0046637C"/>
    <w:rsid w:val="004674C2"/>
    <w:rsid w:val="00474572"/>
    <w:rsid w:val="0047631F"/>
    <w:rsid w:val="00480ED9"/>
    <w:rsid w:val="004841B6"/>
    <w:rsid w:val="004879BC"/>
    <w:rsid w:val="00494B03"/>
    <w:rsid w:val="0049576B"/>
    <w:rsid w:val="0049681B"/>
    <w:rsid w:val="004A5191"/>
    <w:rsid w:val="004A551A"/>
    <w:rsid w:val="004A5A8B"/>
    <w:rsid w:val="004B298E"/>
    <w:rsid w:val="004B4FEE"/>
    <w:rsid w:val="004B5CCC"/>
    <w:rsid w:val="004E65B9"/>
    <w:rsid w:val="004F2107"/>
    <w:rsid w:val="004F43CE"/>
    <w:rsid w:val="0050195F"/>
    <w:rsid w:val="00510FFF"/>
    <w:rsid w:val="0051151B"/>
    <w:rsid w:val="005144E5"/>
    <w:rsid w:val="00515AB4"/>
    <w:rsid w:val="00516483"/>
    <w:rsid w:val="00521679"/>
    <w:rsid w:val="00524490"/>
    <w:rsid w:val="0054286B"/>
    <w:rsid w:val="00546E46"/>
    <w:rsid w:val="00547DA5"/>
    <w:rsid w:val="00554EA0"/>
    <w:rsid w:val="00556AE6"/>
    <w:rsid w:val="00557BD6"/>
    <w:rsid w:val="00562215"/>
    <w:rsid w:val="00563F72"/>
    <w:rsid w:val="00566855"/>
    <w:rsid w:val="0057071E"/>
    <w:rsid w:val="00576878"/>
    <w:rsid w:val="00577414"/>
    <w:rsid w:val="00577E0E"/>
    <w:rsid w:val="005812F7"/>
    <w:rsid w:val="0058617F"/>
    <w:rsid w:val="00587557"/>
    <w:rsid w:val="005967F6"/>
    <w:rsid w:val="005A3B87"/>
    <w:rsid w:val="005A46D6"/>
    <w:rsid w:val="005B5418"/>
    <w:rsid w:val="005C30D6"/>
    <w:rsid w:val="005E2C07"/>
    <w:rsid w:val="005E39D9"/>
    <w:rsid w:val="005E45B8"/>
    <w:rsid w:val="005F6589"/>
    <w:rsid w:val="00600704"/>
    <w:rsid w:val="00605C65"/>
    <w:rsid w:val="0061177F"/>
    <w:rsid w:val="006225C8"/>
    <w:rsid w:val="006263EF"/>
    <w:rsid w:val="00630922"/>
    <w:rsid w:val="006423E9"/>
    <w:rsid w:val="006468CC"/>
    <w:rsid w:val="00651A7D"/>
    <w:rsid w:val="006577C4"/>
    <w:rsid w:val="00666DC6"/>
    <w:rsid w:val="006848B0"/>
    <w:rsid w:val="006B37B6"/>
    <w:rsid w:val="006B6386"/>
    <w:rsid w:val="006C531D"/>
    <w:rsid w:val="006D16D1"/>
    <w:rsid w:val="006D4D15"/>
    <w:rsid w:val="006D7D22"/>
    <w:rsid w:val="006E09CA"/>
    <w:rsid w:val="006F3C80"/>
    <w:rsid w:val="006F44D7"/>
    <w:rsid w:val="00710C34"/>
    <w:rsid w:val="00711DA5"/>
    <w:rsid w:val="00712587"/>
    <w:rsid w:val="0071354B"/>
    <w:rsid w:val="00714EE6"/>
    <w:rsid w:val="007165B9"/>
    <w:rsid w:val="00721044"/>
    <w:rsid w:val="0072272A"/>
    <w:rsid w:val="0072493D"/>
    <w:rsid w:val="00725436"/>
    <w:rsid w:val="00727313"/>
    <w:rsid w:val="00731331"/>
    <w:rsid w:val="00745DB9"/>
    <w:rsid w:val="00757DA7"/>
    <w:rsid w:val="007743D9"/>
    <w:rsid w:val="007744DD"/>
    <w:rsid w:val="00776785"/>
    <w:rsid w:val="00781135"/>
    <w:rsid w:val="007941C4"/>
    <w:rsid w:val="007A4519"/>
    <w:rsid w:val="007B49DB"/>
    <w:rsid w:val="007B5725"/>
    <w:rsid w:val="007B799D"/>
    <w:rsid w:val="007C1E86"/>
    <w:rsid w:val="007C380C"/>
    <w:rsid w:val="007D5F68"/>
    <w:rsid w:val="007D7B98"/>
    <w:rsid w:val="007E32C1"/>
    <w:rsid w:val="007F0EF0"/>
    <w:rsid w:val="00814FF1"/>
    <w:rsid w:val="008169E4"/>
    <w:rsid w:val="00821049"/>
    <w:rsid w:val="00822C40"/>
    <w:rsid w:val="008254EC"/>
    <w:rsid w:val="00826D90"/>
    <w:rsid w:val="00865B40"/>
    <w:rsid w:val="00872CCB"/>
    <w:rsid w:val="00877133"/>
    <w:rsid w:val="008804D8"/>
    <w:rsid w:val="00884A37"/>
    <w:rsid w:val="00893F6E"/>
    <w:rsid w:val="00894439"/>
    <w:rsid w:val="008A2C60"/>
    <w:rsid w:val="008A7DDC"/>
    <w:rsid w:val="008B32CA"/>
    <w:rsid w:val="008C74D9"/>
    <w:rsid w:val="008C7EE6"/>
    <w:rsid w:val="008D1C39"/>
    <w:rsid w:val="008D22BB"/>
    <w:rsid w:val="008D2A17"/>
    <w:rsid w:val="008E2F4E"/>
    <w:rsid w:val="008F04F3"/>
    <w:rsid w:val="008F31D0"/>
    <w:rsid w:val="0090112B"/>
    <w:rsid w:val="009177BB"/>
    <w:rsid w:val="00921210"/>
    <w:rsid w:val="00927926"/>
    <w:rsid w:val="00935D0C"/>
    <w:rsid w:val="0093654F"/>
    <w:rsid w:val="00941D5C"/>
    <w:rsid w:val="00943FF4"/>
    <w:rsid w:val="009442D8"/>
    <w:rsid w:val="00961563"/>
    <w:rsid w:val="009617CD"/>
    <w:rsid w:val="00972994"/>
    <w:rsid w:val="00976129"/>
    <w:rsid w:val="00981380"/>
    <w:rsid w:val="0098373A"/>
    <w:rsid w:val="0099088C"/>
    <w:rsid w:val="00991708"/>
    <w:rsid w:val="009A6B5F"/>
    <w:rsid w:val="009A76AA"/>
    <w:rsid w:val="009B5444"/>
    <w:rsid w:val="009C51EA"/>
    <w:rsid w:val="009C68C7"/>
    <w:rsid w:val="009C7CD2"/>
    <w:rsid w:val="009E2B46"/>
    <w:rsid w:val="00A00F98"/>
    <w:rsid w:val="00A04671"/>
    <w:rsid w:val="00A16FBB"/>
    <w:rsid w:val="00A2469D"/>
    <w:rsid w:val="00A27271"/>
    <w:rsid w:val="00A40B97"/>
    <w:rsid w:val="00A41204"/>
    <w:rsid w:val="00A41DCD"/>
    <w:rsid w:val="00A43E5F"/>
    <w:rsid w:val="00A44EF4"/>
    <w:rsid w:val="00A457E4"/>
    <w:rsid w:val="00A5376E"/>
    <w:rsid w:val="00A5758D"/>
    <w:rsid w:val="00A774F4"/>
    <w:rsid w:val="00A838D1"/>
    <w:rsid w:val="00A847B1"/>
    <w:rsid w:val="00A85C1A"/>
    <w:rsid w:val="00A91B62"/>
    <w:rsid w:val="00A94486"/>
    <w:rsid w:val="00A97F0E"/>
    <w:rsid w:val="00AA1EDD"/>
    <w:rsid w:val="00AB5542"/>
    <w:rsid w:val="00AB6CF0"/>
    <w:rsid w:val="00AC4F65"/>
    <w:rsid w:val="00AC59C7"/>
    <w:rsid w:val="00AC5ED7"/>
    <w:rsid w:val="00AD2BBA"/>
    <w:rsid w:val="00AD4A3F"/>
    <w:rsid w:val="00AE022B"/>
    <w:rsid w:val="00AF5792"/>
    <w:rsid w:val="00B0390A"/>
    <w:rsid w:val="00B1086E"/>
    <w:rsid w:val="00B12743"/>
    <w:rsid w:val="00B15E8F"/>
    <w:rsid w:val="00B213A3"/>
    <w:rsid w:val="00B2534D"/>
    <w:rsid w:val="00B32FD0"/>
    <w:rsid w:val="00B40CF9"/>
    <w:rsid w:val="00B4694B"/>
    <w:rsid w:val="00B537E8"/>
    <w:rsid w:val="00B57DAB"/>
    <w:rsid w:val="00B66314"/>
    <w:rsid w:val="00B671DA"/>
    <w:rsid w:val="00B70F31"/>
    <w:rsid w:val="00B80663"/>
    <w:rsid w:val="00B80EB7"/>
    <w:rsid w:val="00B815DB"/>
    <w:rsid w:val="00B905BB"/>
    <w:rsid w:val="00B973F3"/>
    <w:rsid w:val="00BA05E3"/>
    <w:rsid w:val="00BA4758"/>
    <w:rsid w:val="00BA6AB9"/>
    <w:rsid w:val="00BB36CD"/>
    <w:rsid w:val="00BB4EC6"/>
    <w:rsid w:val="00BC2097"/>
    <w:rsid w:val="00BC2B49"/>
    <w:rsid w:val="00BC5A0E"/>
    <w:rsid w:val="00BE1806"/>
    <w:rsid w:val="00BE41A8"/>
    <w:rsid w:val="00BE4D10"/>
    <w:rsid w:val="00BE51E3"/>
    <w:rsid w:val="00BE5A20"/>
    <w:rsid w:val="00BF0A2C"/>
    <w:rsid w:val="00BF1B96"/>
    <w:rsid w:val="00BF3E06"/>
    <w:rsid w:val="00BF77EF"/>
    <w:rsid w:val="00C00A79"/>
    <w:rsid w:val="00C05010"/>
    <w:rsid w:val="00C05796"/>
    <w:rsid w:val="00C0580A"/>
    <w:rsid w:val="00C1423D"/>
    <w:rsid w:val="00C21E6C"/>
    <w:rsid w:val="00C22805"/>
    <w:rsid w:val="00C31A95"/>
    <w:rsid w:val="00C35981"/>
    <w:rsid w:val="00C364DF"/>
    <w:rsid w:val="00C42ED3"/>
    <w:rsid w:val="00C440E5"/>
    <w:rsid w:val="00C47D09"/>
    <w:rsid w:val="00C60520"/>
    <w:rsid w:val="00C64B6E"/>
    <w:rsid w:val="00C64D6B"/>
    <w:rsid w:val="00C71EC6"/>
    <w:rsid w:val="00C74F02"/>
    <w:rsid w:val="00C75563"/>
    <w:rsid w:val="00C83A11"/>
    <w:rsid w:val="00CA1BD2"/>
    <w:rsid w:val="00CA29AA"/>
    <w:rsid w:val="00CA3C53"/>
    <w:rsid w:val="00CA3ECC"/>
    <w:rsid w:val="00CB2CF5"/>
    <w:rsid w:val="00CC327F"/>
    <w:rsid w:val="00CC5287"/>
    <w:rsid w:val="00CC6823"/>
    <w:rsid w:val="00CD30AF"/>
    <w:rsid w:val="00CD5A67"/>
    <w:rsid w:val="00CD7B22"/>
    <w:rsid w:val="00CE0B0E"/>
    <w:rsid w:val="00CE34B5"/>
    <w:rsid w:val="00CF1A3F"/>
    <w:rsid w:val="00CF5737"/>
    <w:rsid w:val="00CF62BF"/>
    <w:rsid w:val="00D00768"/>
    <w:rsid w:val="00D0422D"/>
    <w:rsid w:val="00D0510A"/>
    <w:rsid w:val="00D0630D"/>
    <w:rsid w:val="00D1318B"/>
    <w:rsid w:val="00D20709"/>
    <w:rsid w:val="00D258C4"/>
    <w:rsid w:val="00D3000D"/>
    <w:rsid w:val="00D30082"/>
    <w:rsid w:val="00D414AA"/>
    <w:rsid w:val="00D506B3"/>
    <w:rsid w:val="00D51F7A"/>
    <w:rsid w:val="00D53354"/>
    <w:rsid w:val="00D55444"/>
    <w:rsid w:val="00D60D6C"/>
    <w:rsid w:val="00D66B3E"/>
    <w:rsid w:val="00D9378B"/>
    <w:rsid w:val="00D948BB"/>
    <w:rsid w:val="00D94D3B"/>
    <w:rsid w:val="00DA5EA2"/>
    <w:rsid w:val="00DB63BB"/>
    <w:rsid w:val="00DB7EF3"/>
    <w:rsid w:val="00DC14CA"/>
    <w:rsid w:val="00DD75EC"/>
    <w:rsid w:val="00DE0294"/>
    <w:rsid w:val="00DE3949"/>
    <w:rsid w:val="00DF1746"/>
    <w:rsid w:val="00DF36B1"/>
    <w:rsid w:val="00DF6A5A"/>
    <w:rsid w:val="00DF7398"/>
    <w:rsid w:val="00E03203"/>
    <w:rsid w:val="00E07D44"/>
    <w:rsid w:val="00E12794"/>
    <w:rsid w:val="00E22F0B"/>
    <w:rsid w:val="00E24302"/>
    <w:rsid w:val="00E264EE"/>
    <w:rsid w:val="00E2738F"/>
    <w:rsid w:val="00E34628"/>
    <w:rsid w:val="00E37274"/>
    <w:rsid w:val="00E4006A"/>
    <w:rsid w:val="00E4279E"/>
    <w:rsid w:val="00E56332"/>
    <w:rsid w:val="00E56B71"/>
    <w:rsid w:val="00E57713"/>
    <w:rsid w:val="00E71907"/>
    <w:rsid w:val="00E71C00"/>
    <w:rsid w:val="00E732C9"/>
    <w:rsid w:val="00E77C98"/>
    <w:rsid w:val="00E8346B"/>
    <w:rsid w:val="00E95AAF"/>
    <w:rsid w:val="00E97826"/>
    <w:rsid w:val="00EA0561"/>
    <w:rsid w:val="00EA2E6F"/>
    <w:rsid w:val="00EB60FA"/>
    <w:rsid w:val="00EB6BED"/>
    <w:rsid w:val="00EC00B3"/>
    <w:rsid w:val="00ED5896"/>
    <w:rsid w:val="00EF112E"/>
    <w:rsid w:val="00EF119B"/>
    <w:rsid w:val="00EF187F"/>
    <w:rsid w:val="00EF512B"/>
    <w:rsid w:val="00EF5914"/>
    <w:rsid w:val="00EF62B7"/>
    <w:rsid w:val="00F0290F"/>
    <w:rsid w:val="00F044A0"/>
    <w:rsid w:val="00F15510"/>
    <w:rsid w:val="00F16D4B"/>
    <w:rsid w:val="00F17920"/>
    <w:rsid w:val="00F37077"/>
    <w:rsid w:val="00F37722"/>
    <w:rsid w:val="00F4663F"/>
    <w:rsid w:val="00F536BA"/>
    <w:rsid w:val="00F64F0E"/>
    <w:rsid w:val="00F662C9"/>
    <w:rsid w:val="00F73D98"/>
    <w:rsid w:val="00F749A1"/>
    <w:rsid w:val="00F75BD5"/>
    <w:rsid w:val="00F75E96"/>
    <w:rsid w:val="00F80AF8"/>
    <w:rsid w:val="00F8228F"/>
    <w:rsid w:val="00F83516"/>
    <w:rsid w:val="00F85536"/>
    <w:rsid w:val="00F856B9"/>
    <w:rsid w:val="00F90F59"/>
    <w:rsid w:val="00F9527F"/>
    <w:rsid w:val="00F96678"/>
    <w:rsid w:val="00FA185D"/>
    <w:rsid w:val="00FA2501"/>
    <w:rsid w:val="00FC6242"/>
    <w:rsid w:val="00FC67B4"/>
    <w:rsid w:val="00FE12D2"/>
    <w:rsid w:val="00FE5BD8"/>
    <w:rsid w:val="00FF0B60"/>
    <w:rsid w:val="00FF5251"/>
    <w:rsid w:val="00FF5DED"/>
    <w:rsid w:val="00FF6616"/>
    <w:rsid w:val="00FF670B"/>
    <w:rsid w:val="00FF6F73"/>
    <w:rsid w:val="01570161"/>
    <w:rsid w:val="01D76BEE"/>
    <w:rsid w:val="02A47D27"/>
    <w:rsid w:val="02DE3C42"/>
    <w:rsid w:val="02FA3AC7"/>
    <w:rsid w:val="0300130C"/>
    <w:rsid w:val="03D42DB7"/>
    <w:rsid w:val="04230A3E"/>
    <w:rsid w:val="049D2D44"/>
    <w:rsid w:val="04F740A1"/>
    <w:rsid w:val="050D0262"/>
    <w:rsid w:val="077A5096"/>
    <w:rsid w:val="07EE1BB2"/>
    <w:rsid w:val="086573C1"/>
    <w:rsid w:val="08824CC0"/>
    <w:rsid w:val="09416090"/>
    <w:rsid w:val="094F66BB"/>
    <w:rsid w:val="0A01299B"/>
    <w:rsid w:val="0A73755C"/>
    <w:rsid w:val="0AC91733"/>
    <w:rsid w:val="0B582F66"/>
    <w:rsid w:val="0BFE22E9"/>
    <w:rsid w:val="0C6A2F2C"/>
    <w:rsid w:val="0C7D118A"/>
    <w:rsid w:val="0D101D54"/>
    <w:rsid w:val="0E3C1E9E"/>
    <w:rsid w:val="0E7243EF"/>
    <w:rsid w:val="0F5543FD"/>
    <w:rsid w:val="0F700EE4"/>
    <w:rsid w:val="0FAF5705"/>
    <w:rsid w:val="10105968"/>
    <w:rsid w:val="10630C4F"/>
    <w:rsid w:val="10F14137"/>
    <w:rsid w:val="113E4C8A"/>
    <w:rsid w:val="14BC097D"/>
    <w:rsid w:val="15023457"/>
    <w:rsid w:val="154269DB"/>
    <w:rsid w:val="15B30AB9"/>
    <w:rsid w:val="16FF5D49"/>
    <w:rsid w:val="17E4245D"/>
    <w:rsid w:val="192B7DD5"/>
    <w:rsid w:val="197B7F2F"/>
    <w:rsid w:val="19903C06"/>
    <w:rsid w:val="1AF0536D"/>
    <w:rsid w:val="1B4C3AB0"/>
    <w:rsid w:val="1B620DB2"/>
    <w:rsid w:val="1BA9508F"/>
    <w:rsid w:val="1C5E6DF7"/>
    <w:rsid w:val="1C854225"/>
    <w:rsid w:val="1D9639F6"/>
    <w:rsid w:val="1E3548F7"/>
    <w:rsid w:val="1F5C247B"/>
    <w:rsid w:val="1FF871FD"/>
    <w:rsid w:val="208236C2"/>
    <w:rsid w:val="20A55DEF"/>
    <w:rsid w:val="20CB5D2F"/>
    <w:rsid w:val="21032FEF"/>
    <w:rsid w:val="211C2C87"/>
    <w:rsid w:val="228668F6"/>
    <w:rsid w:val="25A234B2"/>
    <w:rsid w:val="25DF7D55"/>
    <w:rsid w:val="2660707E"/>
    <w:rsid w:val="272504CB"/>
    <w:rsid w:val="27390276"/>
    <w:rsid w:val="275D792D"/>
    <w:rsid w:val="276F4A2F"/>
    <w:rsid w:val="27A04BAF"/>
    <w:rsid w:val="28194E6A"/>
    <w:rsid w:val="28D40A9C"/>
    <w:rsid w:val="290F78F6"/>
    <w:rsid w:val="29AF7874"/>
    <w:rsid w:val="29E460D0"/>
    <w:rsid w:val="2A9F4AC2"/>
    <w:rsid w:val="2AA14BFC"/>
    <w:rsid w:val="2AC927C4"/>
    <w:rsid w:val="2CED2284"/>
    <w:rsid w:val="2D3F6008"/>
    <w:rsid w:val="2D82219D"/>
    <w:rsid w:val="2D8D1B21"/>
    <w:rsid w:val="2D9675F1"/>
    <w:rsid w:val="2DB0563A"/>
    <w:rsid w:val="2EF625E0"/>
    <w:rsid w:val="2F153BC3"/>
    <w:rsid w:val="2F3C6737"/>
    <w:rsid w:val="2FF12AB1"/>
    <w:rsid w:val="30200729"/>
    <w:rsid w:val="304F71AA"/>
    <w:rsid w:val="306B5F10"/>
    <w:rsid w:val="30725627"/>
    <w:rsid w:val="30CA6FED"/>
    <w:rsid w:val="314F208F"/>
    <w:rsid w:val="31651A05"/>
    <w:rsid w:val="316741C3"/>
    <w:rsid w:val="31855C88"/>
    <w:rsid w:val="32D4708E"/>
    <w:rsid w:val="33927D36"/>
    <w:rsid w:val="33CF49B0"/>
    <w:rsid w:val="33FD0A75"/>
    <w:rsid w:val="342321C8"/>
    <w:rsid w:val="345D34AB"/>
    <w:rsid w:val="357C64F8"/>
    <w:rsid w:val="35CA28A4"/>
    <w:rsid w:val="35E4596B"/>
    <w:rsid w:val="36833436"/>
    <w:rsid w:val="3705144B"/>
    <w:rsid w:val="384C7FC4"/>
    <w:rsid w:val="389E334B"/>
    <w:rsid w:val="38A97018"/>
    <w:rsid w:val="397F724E"/>
    <w:rsid w:val="39BC1CDF"/>
    <w:rsid w:val="3AED1DFB"/>
    <w:rsid w:val="3C8B0894"/>
    <w:rsid w:val="3D39334D"/>
    <w:rsid w:val="3E6B6356"/>
    <w:rsid w:val="3E8E11F5"/>
    <w:rsid w:val="3E9F33FB"/>
    <w:rsid w:val="3EAA45C7"/>
    <w:rsid w:val="3F4C5F90"/>
    <w:rsid w:val="3F505A32"/>
    <w:rsid w:val="3FAF47A5"/>
    <w:rsid w:val="41C8649E"/>
    <w:rsid w:val="427C1D17"/>
    <w:rsid w:val="43B85EA5"/>
    <w:rsid w:val="441D5D46"/>
    <w:rsid w:val="44411B48"/>
    <w:rsid w:val="447215DD"/>
    <w:rsid w:val="45450283"/>
    <w:rsid w:val="45EA6A57"/>
    <w:rsid w:val="460A1FB9"/>
    <w:rsid w:val="463A552C"/>
    <w:rsid w:val="465D6375"/>
    <w:rsid w:val="46735C84"/>
    <w:rsid w:val="47EE554A"/>
    <w:rsid w:val="47EF31A3"/>
    <w:rsid w:val="4866075D"/>
    <w:rsid w:val="48E0511C"/>
    <w:rsid w:val="49463E95"/>
    <w:rsid w:val="49B05C96"/>
    <w:rsid w:val="49B9251D"/>
    <w:rsid w:val="49C46C20"/>
    <w:rsid w:val="4A1542BD"/>
    <w:rsid w:val="4A1726D2"/>
    <w:rsid w:val="4B580C55"/>
    <w:rsid w:val="4B745F04"/>
    <w:rsid w:val="4B9771A3"/>
    <w:rsid w:val="4C8C3252"/>
    <w:rsid w:val="4D8C79DA"/>
    <w:rsid w:val="4E1673CB"/>
    <w:rsid w:val="4E83611A"/>
    <w:rsid w:val="4E936E91"/>
    <w:rsid w:val="4F311655"/>
    <w:rsid w:val="4F4B4C14"/>
    <w:rsid w:val="4F7C1580"/>
    <w:rsid w:val="4FDA4382"/>
    <w:rsid w:val="4FEF5934"/>
    <w:rsid w:val="508D317A"/>
    <w:rsid w:val="51671436"/>
    <w:rsid w:val="526573AE"/>
    <w:rsid w:val="534E2336"/>
    <w:rsid w:val="537F53B1"/>
    <w:rsid w:val="5382523A"/>
    <w:rsid w:val="54FB66BA"/>
    <w:rsid w:val="55C5080B"/>
    <w:rsid w:val="57417DB6"/>
    <w:rsid w:val="57495CFA"/>
    <w:rsid w:val="58BB7884"/>
    <w:rsid w:val="58D02EBC"/>
    <w:rsid w:val="58D032B4"/>
    <w:rsid w:val="58FF13F5"/>
    <w:rsid w:val="590F5821"/>
    <w:rsid w:val="595408C3"/>
    <w:rsid w:val="59A27DD0"/>
    <w:rsid w:val="59DD0832"/>
    <w:rsid w:val="5A357420"/>
    <w:rsid w:val="5A8A7760"/>
    <w:rsid w:val="5B3539D6"/>
    <w:rsid w:val="5B3807A6"/>
    <w:rsid w:val="5B522632"/>
    <w:rsid w:val="5B8E574E"/>
    <w:rsid w:val="5C305A6F"/>
    <w:rsid w:val="5C4915D7"/>
    <w:rsid w:val="5CEC5BCE"/>
    <w:rsid w:val="5D4A7259"/>
    <w:rsid w:val="5E0764B3"/>
    <w:rsid w:val="5F0529BA"/>
    <w:rsid w:val="5F2033C2"/>
    <w:rsid w:val="5F3F3BAB"/>
    <w:rsid w:val="5F5C4982"/>
    <w:rsid w:val="60391A5B"/>
    <w:rsid w:val="60824EE0"/>
    <w:rsid w:val="60BB7A24"/>
    <w:rsid w:val="61DC31ED"/>
    <w:rsid w:val="620C3D81"/>
    <w:rsid w:val="625A68CA"/>
    <w:rsid w:val="6459128E"/>
    <w:rsid w:val="66961716"/>
    <w:rsid w:val="66AA3889"/>
    <w:rsid w:val="66CF72E4"/>
    <w:rsid w:val="67CF5097"/>
    <w:rsid w:val="67EB4C76"/>
    <w:rsid w:val="699478BC"/>
    <w:rsid w:val="69A3512B"/>
    <w:rsid w:val="6A0F4203"/>
    <w:rsid w:val="6BE111E0"/>
    <w:rsid w:val="6D617AA8"/>
    <w:rsid w:val="6DA3314D"/>
    <w:rsid w:val="6E61208A"/>
    <w:rsid w:val="6F7F025D"/>
    <w:rsid w:val="6FC7214C"/>
    <w:rsid w:val="6FCF361D"/>
    <w:rsid w:val="71643AD5"/>
    <w:rsid w:val="71C906CE"/>
    <w:rsid w:val="71FD799C"/>
    <w:rsid w:val="72231E6E"/>
    <w:rsid w:val="72A32969"/>
    <w:rsid w:val="72AF12A7"/>
    <w:rsid w:val="72F148DE"/>
    <w:rsid w:val="732D6141"/>
    <w:rsid w:val="73C17240"/>
    <w:rsid w:val="744875B9"/>
    <w:rsid w:val="748A6030"/>
    <w:rsid w:val="74CA0CE9"/>
    <w:rsid w:val="774501E5"/>
    <w:rsid w:val="77676F6D"/>
    <w:rsid w:val="786B5534"/>
    <w:rsid w:val="78E95317"/>
    <w:rsid w:val="791D3241"/>
    <w:rsid w:val="7A3B345B"/>
    <w:rsid w:val="7A9D11C8"/>
    <w:rsid w:val="7AE1003C"/>
    <w:rsid w:val="7C004E4B"/>
    <w:rsid w:val="7D577666"/>
    <w:rsid w:val="7DBC1E3C"/>
    <w:rsid w:val="7F44079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iPriority="99" w:semiHidden="0"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360" w:lineRule="auto"/>
      <w:ind w:firstLine="480" w:firstLineChars="200"/>
      <w:jc w:val="both"/>
    </w:pPr>
    <w:rPr>
      <w:rFonts w:ascii="Times New Roman" w:hAnsi="Times New Roman" w:eastAsia="宋体" w:cs="Times New Roman"/>
      <w:sz w:val="24"/>
      <w:szCs w:val="24"/>
      <w:lang w:val="en-US" w:eastAsia="zh-CN" w:bidi="ar-SA"/>
    </w:rPr>
  </w:style>
  <w:style w:type="paragraph" w:styleId="2">
    <w:name w:val="heading 1"/>
    <w:basedOn w:val="1"/>
    <w:next w:val="1"/>
    <w:link w:val="41"/>
    <w:qFormat/>
    <w:uiPriority w:val="9"/>
    <w:pPr>
      <w:keepNext/>
      <w:numPr>
        <w:ilvl w:val="0"/>
        <w:numId w:val="1"/>
      </w:numPr>
      <w:spacing w:before="300" w:after="300"/>
      <w:ind w:firstLineChars="0"/>
      <w:jc w:val="center"/>
      <w:outlineLvl w:val="0"/>
    </w:pPr>
    <w:rPr>
      <w:rFonts w:cstheme="majorBidi"/>
      <w:b/>
      <w:bCs/>
      <w:kern w:val="32"/>
      <w:sz w:val="36"/>
      <w:szCs w:val="32"/>
    </w:rPr>
  </w:style>
  <w:style w:type="paragraph" w:styleId="3">
    <w:name w:val="heading 2"/>
    <w:basedOn w:val="1"/>
    <w:next w:val="1"/>
    <w:link w:val="42"/>
    <w:unhideWhenUsed/>
    <w:qFormat/>
    <w:uiPriority w:val="9"/>
    <w:pPr>
      <w:keepNext/>
      <w:numPr>
        <w:ilvl w:val="1"/>
        <w:numId w:val="1"/>
      </w:numPr>
      <w:spacing w:before="50" w:beforeLines="50" w:after="50" w:afterLines="50"/>
      <w:ind w:firstLineChars="0"/>
      <w:outlineLvl w:val="1"/>
    </w:pPr>
    <w:rPr>
      <w:rFonts w:cstheme="majorBidi"/>
      <w:b/>
      <w:bCs/>
      <w:iCs/>
      <w:sz w:val="30"/>
      <w:szCs w:val="28"/>
    </w:rPr>
  </w:style>
  <w:style w:type="paragraph" w:styleId="4">
    <w:name w:val="heading 3"/>
    <w:basedOn w:val="1"/>
    <w:next w:val="1"/>
    <w:link w:val="43"/>
    <w:unhideWhenUsed/>
    <w:qFormat/>
    <w:uiPriority w:val="9"/>
    <w:pPr>
      <w:keepNext/>
      <w:numPr>
        <w:ilvl w:val="2"/>
        <w:numId w:val="1"/>
      </w:numPr>
      <w:spacing w:before="50" w:beforeLines="50" w:after="50" w:afterLines="50"/>
      <w:ind w:firstLineChars="0"/>
      <w:outlineLvl w:val="2"/>
    </w:pPr>
    <w:rPr>
      <w:rFonts w:cstheme="majorBidi"/>
      <w:b/>
      <w:bCs/>
      <w:szCs w:val="26"/>
    </w:rPr>
  </w:style>
  <w:style w:type="paragraph" w:styleId="5">
    <w:name w:val="heading 4"/>
    <w:basedOn w:val="1"/>
    <w:next w:val="1"/>
    <w:link w:val="44"/>
    <w:unhideWhenUsed/>
    <w:qFormat/>
    <w:uiPriority w:val="9"/>
    <w:pPr>
      <w:keepNext/>
      <w:numPr>
        <w:ilvl w:val="3"/>
        <w:numId w:val="1"/>
      </w:numPr>
      <w:ind w:firstLineChars="0"/>
      <w:outlineLvl w:val="3"/>
    </w:pPr>
    <w:rPr>
      <w:rFonts w:cstheme="majorBidi"/>
      <w:bCs/>
      <w:szCs w:val="28"/>
    </w:rPr>
  </w:style>
  <w:style w:type="paragraph" w:styleId="6">
    <w:name w:val="heading 5"/>
    <w:basedOn w:val="1"/>
    <w:next w:val="1"/>
    <w:link w:val="45"/>
    <w:unhideWhenUsed/>
    <w:qFormat/>
    <w:uiPriority w:val="9"/>
    <w:pPr>
      <w:ind w:left="1008" w:firstLine="0" w:firstLineChars="0"/>
      <w:outlineLvl w:val="4"/>
    </w:pPr>
    <w:rPr>
      <w:rFonts w:cstheme="majorBidi"/>
      <w:bCs/>
      <w:iCs/>
      <w:szCs w:val="26"/>
    </w:rPr>
  </w:style>
  <w:style w:type="paragraph" w:styleId="7">
    <w:name w:val="heading 6"/>
    <w:basedOn w:val="1"/>
    <w:next w:val="1"/>
    <w:link w:val="46"/>
    <w:unhideWhenUsed/>
    <w:qFormat/>
    <w:uiPriority w:val="9"/>
    <w:pPr>
      <w:numPr>
        <w:ilvl w:val="5"/>
        <w:numId w:val="1"/>
      </w:numPr>
      <w:ind w:firstLine="0" w:firstLineChars="0"/>
      <w:outlineLvl w:val="5"/>
    </w:pPr>
    <w:rPr>
      <w:rFonts w:eastAsiaTheme="minorEastAsia" w:cstheme="majorBidi"/>
      <w:b/>
      <w:bCs/>
      <w:szCs w:val="22"/>
    </w:rPr>
  </w:style>
  <w:style w:type="paragraph" w:styleId="8">
    <w:name w:val="heading 7"/>
    <w:basedOn w:val="1"/>
    <w:next w:val="1"/>
    <w:link w:val="47"/>
    <w:unhideWhenUsed/>
    <w:qFormat/>
    <w:uiPriority w:val="9"/>
    <w:pPr>
      <w:keepNext/>
      <w:keepLines/>
      <w:numPr>
        <w:ilvl w:val="6"/>
        <w:numId w:val="1"/>
      </w:numPr>
      <w:spacing w:before="240" w:after="64" w:line="320" w:lineRule="auto"/>
      <w:ind w:firstLineChars="0"/>
      <w:outlineLvl w:val="6"/>
    </w:pPr>
    <w:rPr>
      <w:rFonts w:cstheme="majorBidi"/>
      <w:b/>
      <w:bCs/>
    </w:rPr>
  </w:style>
  <w:style w:type="paragraph" w:styleId="9">
    <w:name w:val="heading 8"/>
    <w:basedOn w:val="1"/>
    <w:next w:val="1"/>
    <w:link w:val="48"/>
    <w:unhideWhenUsed/>
    <w:qFormat/>
    <w:uiPriority w:val="9"/>
    <w:pPr>
      <w:keepNext/>
      <w:keepLines/>
      <w:numPr>
        <w:ilvl w:val="7"/>
        <w:numId w:val="1"/>
      </w:numPr>
      <w:spacing w:before="240" w:after="64" w:line="320" w:lineRule="auto"/>
      <w:ind w:firstLineChars="0"/>
      <w:outlineLvl w:val="7"/>
    </w:pPr>
    <w:rPr>
      <w:rFonts w:asciiTheme="majorHAnsi" w:hAnsiTheme="majorHAnsi" w:eastAsiaTheme="majorEastAsia" w:cstheme="majorBidi"/>
    </w:rPr>
  </w:style>
  <w:style w:type="paragraph" w:styleId="10">
    <w:name w:val="heading 9"/>
    <w:basedOn w:val="1"/>
    <w:next w:val="1"/>
    <w:link w:val="49"/>
    <w:unhideWhenUsed/>
    <w:qFormat/>
    <w:uiPriority w:val="9"/>
    <w:pPr>
      <w:keepNext/>
      <w:keepLines/>
      <w:numPr>
        <w:ilvl w:val="8"/>
        <w:numId w:val="1"/>
      </w:numPr>
      <w:spacing w:before="240" w:after="64" w:line="320" w:lineRule="auto"/>
      <w:ind w:firstLineChars="0"/>
      <w:outlineLvl w:val="8"/>
    </w:pPr>
    <w:rPr>
      <w:rFonts w:asciiTheme="majorHAnsi" w:hAnsiTheme="majorHAnsi" w:eastAsiaTheme="majorEastAsia" w:cstheme="majorBidi"/>
      <w:sz w:val="21"/>
      <w:szCs w:val="21"/>
    </w:rPr>
  </w:style>
  <w:style w:type="character" w:default="1" w:styleId="35">
    <w:name w:val="Default Paragraph Font"/>
    <w:semiHidden/>
    <w:unhideWhenUsed/>
    <w:qFormat/>
    <w:uiPriority w:val="1"/>
  </w:style>
  <w:style w:type="table" w:default="1" w:styleId="3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ind w:left="1440"/>
      <w:jc w:val="left"/>
    </w:pPr>
    <w:rPr>
      <w:rFonts w:asciiTheme="minorHAnsi" w:hAnsiTheme="minorHAnsi" w:cstheme="minorHAnsi"/>
      <w:sz w:val="18"/>
      <w:szCs w:val="18"/>
    </w:rPr>
  </w:style>
  <w:style w:type="paragraph" w:styleId="12">
    <w:name w:val="caption"/>
    <w:basedOn w:val="1"/>
    <w:next w:val="1"/>
    <w:link w:val="90"/>
    <w:unhideWhenUsed/>
    <w:qFormat/>
    <w:uiPriority w:val="35"/>
    <w:rPr>
      <w:rFonts w:eastAsia="黑体" w:asciiTheme="majorHAnsi" w:hAnsiTheme="majorHAnsi" w:cstheme="majorBidi"/>
      <w:sz w:val="20"/>
      <w:szCs w:val="20"/>
    </w:rPr>
  </w:style>
  <w:style w:type="paragraph" w:styleId="13">
    <w:name w:val="Document Map"/>
    <w:basedOn w:val="1"/>
    <w:link w:val="91"/>
    <w:unhideWhenUsed/>
    <w:qFormat/>
    <w:uiPriority w:val="99"/>
    <w:pPr>
      <w:widowControl w:val="0"/>
    </w:pPr>
    <w:rPr>
      <w:rFonts w:ascii="宋体"/>
      <w:kern w:val="2"/>
      <w:sz w:val="18"/>
      <w:szCs w:val="18"/>
    </w:rPr>
  </w:style>
  <w:style w:type="paragraph" w:styleId="14">
    <w:name w:val="annotation text"/>
    <w:basedOn w:val="1"/>
    <w:link w:val="88"/>
    <w:unhideWhenUsed/>
    <w:qFormat/>
    <w:uiPriority w:val="99"/>
    <w:pPr>
      <w:jc w:val="left"/>
    </w:pPr>
  </w:style>
  <w:style w:type="paragraph" w:styleId="15">
    <w:name w:val="Body Text"/>
    <w:basedOn w:val="1"/>
    <w:link w:val="73"/>
    <w:qFormat/>
    <w:uiPriority w:val="1"/>
    <w:pPr>
      <w:widowControl w:val="0"/>
      <w:spacing w:before="60" w:line="240" w:lineRule="auto"/>
      <w:ind w:left="138" w:firstLine="0" w:firstLineChars="0"/>
      <w:jc w:val="left"/>
    </w:pPr>
    <w:rPr>
      <w:rFonts w:ascii="宋体" w:hAnsi="宋体"/>
      <w:sz w:val="28"/>
      <w:szCs w:val="28"/>
      <w:lang w:eastAsia="en-US"/>
    </w:rPr>
  </w:style>
  <w:style w:type="paragraph" w:styleId="16">
    <w:name w:val="Body Text Indent"/>
    <w:basedOn w:val="1"/>
    <w:link w:val="111"/>
    <w:unhideWhenUsed/>
    <w:qFormat/>
    <w:uiPriority w:val="99"/>
    <w:pPr>
      <w:spacing w:after="120"/>
      <w:ind w:left="420" w:leftChars="200"/>
    </w:pPr>
  </w:style>
  <w:style w:type="paragraph" w:styleId="17">
    <w:name w:val="toc 5"/>
    <w:basedOn w:val="1"/>
    <w:next w:val="1"/>
    <w:unhideWhenUsed/>
    <w:qFormat/>
    <w:uiPriority w:val="39"/>
    <w:pPr>
      <w:ind w:left="960"/>
      <w:jc w:val="left"/>
    </w:pPr>
    <w:rPr>
      <w:rFonts w:asciiTheme="minorHAnsi" w:hAnsiTheme="minorHAnsi" w:cstheme="minorHAnsi"/>
      <w:sz w:val="18"/>
      <w:szCs w:val="18"/>
    </w:rPr>
  </w:style>
  <w:style w:type="paragraph" w:styleId="18">
    <w:name w:val="toc 3"/>
    <w:basedOn w:val="1"/>
    <w:next w:val="1"/>
    <w:unhideWhenUsed/>
    <w:qFormat/>
    <w:uiPriority w:val="39"/>
    <w:pPr>
      <w:ind w:left="480"/>
      <w:jc w:val="left"/>
    </w:pPr>
    <w:rPr>
      <w:rFonts w:asciiTheme="minorHAnsi" w:hAnsiTheme="minorHAnsi" w:cstheme="minorHAnsi"/>
      <w:i/>
      <w:iCs/>
      <w:sz w:val="20"/>
      <w:szCs w:val="20"/>
    </w:rPr>
  </w:style>
  <w:style w:type="paragraph" w:styleId="19">
    <w:name w:val="toc 8"/>
    <w:basedOn w:val="1"/>
    <w:next w:val="1"/>
    <w:unhideWhenUsed/>
    <w:qFormat/>
    <w:uiPriority w:val="39"/>
    <w:pPr>
      <w:ind w:left="1680"/>
      <w:jc w:val="left"/>
    </w:pPr>
    <w:rPr>
      <w:rFonts w:asciiTheme="minorHAnsi" w:hAnsiTheme="minorHAnsi" w:cstheme="minorHAnsi"/>
      <w:sz w:val="18"/>
      <w:szCs w:val="18"/>
    </w:rPr>
  </w:style>
  <w:style w:type="paragraph" w:styleId="20">
    <w:name w:val="Balloon Text"/>
    <w:basedOn w:val="1"/>
    <w:link w:val="87"/>
    <w:unhideWhenUsed/>
    <w:qFormat/>
    <w:uiPriority w:val="99"/>
    <w:pPr>
      <w:spacing w:line="240" w:lineRule="auto"/>
    </w:pPr>
    <w:rPr>
      <w:sz w:val="18"/>
      <w:szCs w:val="18"/>
    </w:rPr>
  </w:style>
  <w:style w:type="paragraph" w:styleId="21">
    <w:name w:val="footer"/>
    <w:basedOn w:val="1"/>
    <w:link w:val="51"/>
    <w:unhideWhenUsed/>
    <w:qFormat/>
    <w:uiPriority w:val="99"/>
    <w:pPr>
      <w:tabs>
        <w:tab w:val="center" w:pos="4153"/>
        <w:tab w:val="right" w:pos="8306"/>
      </w:tabs>
      <w:snapToGrid w:val="0"/>
      <w:jc w:val="left"/>
    </w:pPr>
    <w:rPr>
      <w:sz w:val="18"/>
      <w:szCs w:val="18"/>
    </w:rPr>
  </w:style>
  <w:style w:type="paragraph" w:styleId="22">
    <w:name w:val="header"/>
    <w:basedOn w:val="1"/>
    <w:link w:val="50"/>
    <w:unhideWhenUsed/>
    <w:qFormat/>
    <w:uiPriority w:val="99"/>
    <w:pPr>
      <w:pBdr>
        <w:bottom w:val="single" w:color="auto" w:sz="6" w:space="1"/>
      </w:pBdr>
      <w:tabs>
        <w:tab w:val="center" w:pos="4153"/>
        <w:tab w:val="right" w:pos="8306"/>
      </w:tabs>
      <w:snapToGrid w:val="0"/>
      <w:jc w:val="center"/>
    </w:pPr>
    <w:rPr>
      <w:sz w:val="18"/>
      <w:szCs w:val="18"/>
    </w:rPr>
  </w:style>
  <w:style w:type="paragraph" w:styleId="23">
    <w:name w:val="toc 1"/>
    <w:basedOn w:val="1"/>
    <w:next w:val="1"/>
    <w:link w:val="72"/>
    <w:unhideWhenUsed/>
    <w:qFormat/>
    <w:uiPriority w:val="39"/>
    <w:pPr>
      <w:spacing w:before="120" w:after="120"/>
      <w:jc w:val="left"/>
    </w:pPr>
    <w:rPr>
      <w:rFonts w:asciiTheme="minorHAnsi" w:hAnsiTheme="minorHAnsi" w:cstheme="minorHAnsi"/>
      <w:b/>
      <w:bCs/>
      <w:caps/>
      <w:sz w:val="20"/>
      <w:szCs w:val="20"/>
    </w:rPr>
  </w:style>
  <w:style w:type="paragraph" w:styleId="24">
    <w:name w:val="toc 4"/>
    <w:basedOn w:val="1"/>
    <w:next w:val="1"/>
    <w:unhideWhenUsed/>
    <w:qFormat/>
    <w:uiPriority w:val="39"/>
    <w:pPr>
      <w:ind w:left="720"/>
      <w:jc w:val="left"/>
    </w:pPr>
    <w:rPr>
      <w:rFonts w:asciiTheme="minorHAnsi" w:hAnsiTheme="minorHAnsi" w:cstheme="minorHAnsi"/>
      <w:sz w:val="18"/>
      <w:szCs w:val="18"/>
    </w:rPr>
  </w:style>
  <w:style w:type="paragraph" w:styleId="25">
    <w:name w:val="Subtitle"/>
    <w:basedOn w:val="1"/>
    <w:next w:val="1"/>
    <w:link w:val="53"/>
    <w:qFormat/>
    <w:uiPriority w:val="11"/>
    <w:pPr>
      <w:ind w:firstLine="0" w:firstLineChars="0"/>
      <w:jc w:val="center"/>
    </w:pPr>
    <w:rPr>
      <w:rFonts w:eastAsiaTheme="majorEastAsia" w:cstheme="majorBidi"/>
      <w:b/>
    </w:rPr>
  </w:style>
  <w:style w:type="paragraph" w:styleId="26">
    <w:name w:val="toc 6"/>
    <w:basedOn w:val="1"/>
    <w:next w:val="1"/>
    <w:unhideWhenUsed/>
    <w:qFormat/>
    <w:uiPriority w:val="39"/>
    <w:pPr>
      <w:ind w:left="1200"/>
      <w:jc w:val="left"/>
    </w:pPr>
    <w:rPr>
      <w:rFonts w:asciiTheme="minorHAnsi" w:hAnsiTheme="minorHAnsi" w:cstheme="minorHAnsi"/>
      <w:sz w:val="18"/>
      <w:szCs w:val="18"/>
    </w:rPr>
  </w:style>
  <w:style w:type="paragraph" w:styleId="27">
    <w:name w:val="toc 2"/>
    <w:basedOn w:val="1"/>
    <w:next w:val="1"/>
    <w:unhideWhenUsed/>
    <w:qFormat/>
    <w:uiPriority w:val="39"/>
    <w:pPr>
      <w:jc w:val="left"/>
    </w:pPr>
    <w:rPr>
      <w:rFonts w:asciiTheme="minorHAnsi" w:hAnsiTheme="minorHAnsi" w:cstheme="minorHAnsi"/>
      <w:smallCaps/>
      <w:sz w:val="20"/>
      <w:szCs w:val="20"/>
    </w:rPr>
  </w:style>
  <w:style w:type="paragraph" w:styleId="28">
    <w:name w:val="toc 9"/>
    <w:basedOn w:val="1"/>
    <w:next w:val="1"/>
    <w:unhideWhenUsed/>
    <w:qFormat/>
    <w:uiPriority w:val="39"/>
    <w:pPr>
      <w:ind w:left="1920"/>
      <w:jc w:val="left"/>
    </w:pPr>
    <w:rPr>
      <w:rFonts w:asciiTheme="minorHAnsi" w:hAnsiTheme="minorHAnsi" w:cstheme="minorHAnsi"/>
      <w:sz w:val="18"/>
      <w:szCs w:val="18"/>
    </w:rPr>
  </w:style>
  <w:style w:type="paragraph" w:styleId="29">
    <w:name w:val="Normal (Web)"/>
    <w:basedOn w:val="1"/>
    <w:unhideWhenUsed/>
    <w:qFormat/>
    <w:uiPriority w:val="99"/>
    <w:pPr>
      <w:spacing w:before="100" w:beforeAutospacing="1" w:after="100" w:afterAutospacing="1" w:line="240" w:lineRule="auto"/>
      <w:ind w:firstLine="0" w:firstLineChars="0"/>
      <w:jc w:val="left"/>
    </w:pPr>
    <w:rPr>
      <w:rFonts w:ascii="宋体" w:hAnsi="宋体" w:cs="宋体"/>
    </w:rPr>
  </w:style>
  <w:style w:type="paragraph" w:styleId="30">
    <w:name w:val="Title"/>
    <w:basedOn w:val="1"/>
    <w:next w:val="1"/>
    <w:link w:val="74"/>
    <w:qFormat/>
    <w:uiPriority w:val="10"/>
    <w:pPr>
      <w:spacing w:before="240" w:after="60"/>
      <w:jc w:val="center"/>
      <w:outlineLvl w:val="0"/>
    </w:pPr>
    <w:rPr>
      <w:rFonts w:asciiTheme="majorHAnsi" w:hAnsiTheme="majorHAnsi" w:cstheme="majorBidi"/>
      <w:b/>
      <w:bCs/>
      <w:sz w:val="32"/>
      <w:szCs w:val="32"/>
    </w:rPr>
  </w:style>
  <w:style w:type="paragraph" w:styleId="31">
    <w:name w:val="annotation subject"/>
    <w:basedOn w:val="14"/>
    <w:next w:val="14"/>
    <w:link w:val="89"/>
    <w:unhideWhenUsed/>
    <w:qFormat/>
    <w:uiPriority w:val="99"/>
    <w:rPr>
      <w:b/>
      <w:bCs/>
    </w:rPr>
  </w:style>
  <w:style w:type="paragraph" w:styleId="32">
    <w:name w:val="Body Text First Indent 2"/>
    <w:basedOn w:val="16"/>
    <w:link w:val="110"/>
    <w:unhideWhenUsed/>
    <w:qFormat/>
    <w:uiPriority w:val="99"/>
    <w:pPr>
      <w:ind w:firstLine="420"/>
    </w:pPr>
  </w:style>
  <w:style w:type="table" w:styleId="34">
    <w:name w:val="Table Grid"/>
    <w:basedOn w:val="3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6">
    <w:name w:val="Strong"/>
    <w:basedOn w:val="35"/>
    <w:qFormat/>
    <w:uiPriority w:val="22"/>
    <w:rPr>
      <w:b/>
      <w:bCs/>
    </w:rPr>
  </w:style>
  <w:style w:type="character" w:styleId="37">
    <w:name w:val="FollowedHyperlink"/>
    <w:basedOn w:val="35"/>
    <w:unhideWhenUsed/>
    <w:qFormat/>
    <w:uiPriority w:val="99"/>
    <w:rPr>
      <w:color w:val="009966"/>
      <w:u w:val="none"/>
    </w:rPr>
  </w:style>
  <w:style w:type="character" w:styleId="38">
    <w:name w:val="Emphasis"/>
    <w:basedOn w:val="35"/>
    <w:qFormat/>
    <w:uiPriority w:val="20"/>
    <w:rPr>
      <w:rFonts w:asciiTheme="minorHAnsi" w:hAnsiTheme="minorHAnsi"/>
      <w:b/>
      <w:i/>
      <w:iCs/>
    </w:rPr>
  </w:style>
  <w:style w:type="character" w:styleId="39">
    <w:name w:val="Hyperlink"/>
    <w:basedOn w:val="35"/>
    <w:unhideWhenUsed/>
    <w:qFormat/>
    <w:uiPriority w:val="99"/>
    <w:rPr>
      <w:color w:val="0000FF" w:themeColor="hyperlink"/>
      <w:u w:val="single"/>
      <w14:textFill>
        <w14:solidFill>
          <w14:schemeClr w14:val="hlink"/>
        </w14:solidFill>
      </w14:textFill>
    </w:rPr>
  </w:style>
  <w:style w:type="character" w:styleId="40">
    <w:name w:val="annotation reference"/>
    <w:basedOn w:val="35"/>
    <w:unhideWhenUsed/>
    <w:qFormat/>
    <w:uiPriority w:val="99"/>
    <w:rPr>
      <w:sz w:val="21"/>
      <w:szCs w:val="21"/>
    </w:rPr>
  </w:style>
  <w:style w:type="character" w:customStyle="1" w:styleId="41">
    <w:name w:val="标题 1 Char"/>
    <w:basedOn w:val="35"/>
    <w:link w:val="2"/>
    <w:qFormat/>
    <w:uiPriority w:val="9"/>
    <w:rPr>
      <w:rFonts w:ascii="Times New Roman" w:hAnsi="Times New Roman" w:eastAsia="宋体" w:cstheme="majorBidi"/>
      <w:b/>
      <w:bCs/>
      <w:kern w:val="32"/>
      <w:sz w:val="36"/>
      <w:szCs w:val="32"/>
    </w:rPr>
  </w:style>
  <w:style w:type="character" w:customStyle="1" w:styleId="42">
    <w:name w:val="标题 2 Char"/>
    <w:basedOn w:val="35"/>
    <w:link w:val="3"/>
    <w:qFormat/>
    <w:uiPriority w:val="9"/>
    <w:rPr>
      <w:rFonts w:ascii="Times New Roman" w:hAnsi="Times New Roman" w:eastAsia="宋体" w:cstheme="majorBidi"/>
      <w:b/>
      <w:bCs/>
      <w:iCs/>
      <w:sz w:val="30"/>
      <w:szCs w:val="28"/>
    </w:rPr>
  </w:style>
  <w:style w:type="character" w:customStyle="1" w:styleId="43">
    <w:name w:val="标题 3 Char"/>
    <w:basedOn w:val="35"/>
    <w:link w:val="4"/>
    <w:qFormat/>
    <w:uiPriority w:val="9"/>
    <w:rPr>
      <w:rFonts w:ascii="Times New Roman" w:hAnsi="Times New Roman" w:eastAsia="宋体" w:cstheme="majorBidi"/>
      <w:b/>
      <w:bCs/>
      <w:sz w:val="24"/>
      <w:szCs w:val="26"/>
    </w:rPr>
  </w:style>
  <w:style w:type="character" w:customStyle="1" w:styleId="44">
    <w:name w:val="标题 4 Char"/>
    <w:basedOn w:val="35"/>
    <w:link w:val="5"/>
    <w:qFormat/>
    <w:uiPriority w:val="9"/>
    <w:rPr>
      <w:rFonts w:ascii="Times New Roman" w:hAnsi="Times New Roman" w:eastAsia="宋体" w:cstheme="majorBidi"/>
      <w:bCs/>
      <w:sz w:val="24"/>
      <w:szCs w:val="28"/>
    </w:rPr>
  </w:style>
  <w:style w:type="character" w:customStyle="1" w:styleId="45">
    <w:name w:val="标题 5 Char"/>
    <w:basedOn w:val="35"/>
    <w:link w:val="6"/>
    <w:qFormat/>
    <w:uiPriority w:val="9"/>
    <w:rPr>
      <w:rFonts w:ascii="Times New Roman" w:hAnsi="Times New Roman" w:eastAsia="宋体" w:cstheme="majorBidi"/>
      <w:bCs/>
      <w:iCs/>
      <w:sz w:val="24"/>
      <w:szCs w:val="26"/>
    </w:rPr>
  </w:style>
  <w:style w:type="character" w:customStyle="1" w:styleId="46">
    <w:name w:val="标题 6 Char"/>
    <w:basedOn w:val="35"/>
    <w:link w:val="7"/>
    <w:qFormat/>
    <w:uiPriority w:val="9"/>
    <w:rPr>
      <w:rFonts w:ascii="Times New Roman" w:hAnsi="Times New Roman" w:cstheme="majorBidi"/>
      <w:b/>
      <w:bCs/>
      <w:sz w:val="24"/>
    </w:rPr>
  </w:style>
  <w:style w:type="character" w:customStyle="1" w:styleId="47">
    <w:name w:val="标题 7 Char"/>
    <w:basedOn w:val="35"/>
    <w:link w:val="8"/>
    <w:qFormat/>
    <w:uiPriority w:val="9"/>
    <w:rPr>
      <w:rFonts w:ascii="Times New Roman" w:hAnsi="Times New Roman" w:eastAsia="宋体" w:cstheme="majorBidi"/>
      <w:b/>
      <w:bCs/>
      <w:sz w:val="24"/>
      <w:szCs w:val="24"/>
    </w:rPr>
  </w:style>
  <w:style w:type="character" w:customStyle="1" w:styleId="48">
    <w:name w:val="标题 8 Char"/>
    <w:basedOn w:val="35"/>
    <w:link w:val="9"/>
    <w:qFormat/>
    <w:uiPriority w:val="9"/>
    <w:rPr>
      <w:rFonts w:asciiTheme="majorHAnsi" w:hAnsiTheme="majorHAnsi" w:eastAsiaTheme="majorEastAsia" w:cstheme="majorBidi"/>
      <w:sz w:val="24"/>
      <w:szCs w:val="24"/>
    </w:rPr>
  </w:style>
  <w:style w:type="character" w:customStyle="1" w:styleId="49">
    <w:name w:val="标题 9 Char"/>
    <w:basedOn w:val="35"/>
    <w:link w:val="10"/>
    <w:qFormat/>
    <w:uiPriority w:val="9"/>
    <w:rPr>
      <w:rFonts w:asciiTheme="majorHAnsi" w:hAnsiTheme="majorHAnsi" w:eastAsiaTheme="majorEastAsia" w:cstheme="majorBidi"/>
      <w:sz w:val="21"/>
      <w:szCs w:val="21"/>
    </w:rPr>
  </w:style>
  <w:style w:type="character" w:customStyle="1" w:styleId="50">
    <w:name w:val="页眉 Char"/>
    <w:basedOn w:val="35"/>
    <w:link w:val="22"/>
    <w:qFormat/>
    <w:uiPriority w:val="99"/>
    <w:rPr>
      <w:sz w:val="18"/>
      <w:szCs w:val="18"/>
    </w:rPr>
  </w:style>
  <w:style w:type="character" w:customStyle="1" w:styleId="51">
    <w:name w:val="页脚 Char"/>
    <w:basedOn w:val="35"/>
    <w:link w:val="21"/>
    <w:qFormat/>
    <w:uiPriority w:val="99"/>
    <w:rPr>
      <w:sz w:val="18"/>
      <w:szCs w:val="18"/>
    </w:rPr>
  </w:style>
  <w:style w:type="paragraph" w:customStyle="1" w:styleId="52">
    <w:name w:val="表格内"/>
    <w:basedOn w:val="25"/>
    <w:link w:val="54"/>
    <w:qFormat/>
    <w:uiPriority w:val="0"/>
    <w:pPr>
      <w:spacing w:line="240" w:lineRule="auto"/>
    </w:pPr>
    <w:rPr>
      <w:rFonts w:eastAsia="宋体"/>
      <w:b w:val="0"/>
      <w:sz w:val="21"/>
    </w:rPr>
  </w:style>
  <w:style w:type="character" w:customStyle="1" w:styleId="53">
    <w:name w:val="副标题 Char"/>
    <w:basedOn w:val="35"/>
    <w:link w:val="25"/>
    <w:qFormat/>
    <w:uiPriority w:val="11"/>
    <w:rPr>
      <w:rFonts w:ascii="Times New Roman" w:hAnsi="Times New Roman" w:eastAsiaTheme="majorEastAsia" w:cstheme="majorBidi"/>
      <w:b/>
      <w:sz w:val="24"/>
      <w:szCs w:val="24"/>
    </w:rPr>
  </w:style>
  <w:style w:type="character" w:customStyle="1" w:styleId="54">
    <w:name w:val="表格内 Char"/>
    <w:basedOn w:val="35"/>
    <w:link w:val="52"/>
    <w:qFormat/>
    <w:uiPriority w:val="0"/>
    <w:rPr>
      <w:rFonts w:ascii="Times New Roman" w:hAnsi="Times New Roman" w:eastAsia="宋体" w:cstheme="majorBidi"/>
      <w:sz w:val="21"/>
      <w:szCs w:val="24"/>
    </w:rPr>
  </w:style>
  <w:style w:type="paragraph" w:customStyle="1" w:styleId="55">
    <w:name w:val="标题-表/图"/>
    <w:basedOn w:val="1"/>
    <w:link w:val="56"/>
    <w:qFormat/>
    <w:uiPriority w:val="0"/>
    <w:pPr>
      <w:spacing w:line="240" w:lineRule="auto"/>
      <w:ind w:firstLine="0" w:firstLineChars="0"/>
      <w:jc w:val="center"/>
    </w:pPr>
    <w:rPr>
      <w:b/>
    </w:rPr>
  </w:style>
  <w:style w:type="character" w:customStyle="1" w:styleId="56">
    <w:name w:val="标题-表/图 Char"/>
    <w:basedOn w:val="35"/>
    <w:link w:val="55"/>
    <w:qFormat/>
    <w:uiPriority w:val="0"/>
    <w:rPr>
      <w:rFonts w:ascii="Times New Roman" w:hAnsi="Times New Roman" w:eastAsia="宋体"/>
      <w:b/>
      <w:sz w:val="24"/>
      <w:szCs w:val="24"/>
    </w:rPr>
  </w:style>
  <w:style w:type="paragraph" w:customStyle="1" w:styleId="57">
    <w:name w:val="无间隔1"/>
    <w:basedOn w:val="1"/>
    <w:qFormat/>
    <w:uiPriority w:val="1"/>
    <w:pPr>
      <w:spacing w:line="240" w:lineRule="auto"/>
      <w:ind w:firstLine="300" w:firstLineChars="300"/>
    </w:pPr>
    <w:rPr>
      <w:rFonts w:eastAsia="黑体"/>
      <w:sz w:val="21"/>
      <w:szCs w:val="32"/>
    </w:rPr>
  </w:style>
  <w:style w:type="character" w:customStyle="1" w:styleId="58">
    <w:name w:val="无间隔 Char"/>
    <w:basedOn w:val="35"/>
    <w:link w:val="59"/>
    <w:qFormat/>
    <w:uiPriority w:val="1"/>
    <w:rPr>
      <w:rFonts w:ascii="Times New Roman" w:hAnsi="Times New Roman" w:eastAsia="黑体" w:cs="宋体"/>
      <w:sz w:val="21"/>
      <w:szCs w:val="32"/>
    </w:rPr>
  </w:style>
  <w:style w:type="paragraph" w:styleId="59">
    <w:name w:val="No Spacing"/>
    <w:basedOn w:val="1"/>
    <w:link w:val="58"/>
    <w:qFormat/>
    <w:uiPriority w:val="1"/>
    <w:pPr>
      <w:spacing w:line="240" w:lineRule="auto"/>
      <w:ind w:firstLine="300" w:firstLineChars="300"/>
    </w:pPr>
    <w:rPr>
      <w:rFonts w:eastAsia="黑体" w:cs="宋体"/>
      <w:sz w:val="21"/>
      <w:szCs w:val="32"/>
    </w:rPr>
  </w:style>
  <w:style w:type="paragraph" w:customStyle="1" w:styleId="60">
    <w:name w:val="引用1"/>
    <w:basedOn w:val="1"/>
    <w:next w:val="1"/>
    <w:qFormat/>
    <w:uiPriority w:val="29"/>
    <w:rPr>
      <w:rFonts w:asciiTheme="minorHAnsi" w:hAnsiTheme="minorHAnsi"/>
      <w:i/>
    </w:rPr>
  </w:style>
  <w:style w:type="character" w:customStyle="1" w:styleId="61">
    <w:name w:val="引用 Char"/>
    <w:basedOn w:val="35"/>
    <w:link w:val="62"/>
    <w:qFormat/>
    <w:uiPriority w:val="29"/>
    <w:rPr>
      <w:i/>
      <w:sz w:val="24"/>
      <w:szCs w:val="24"/>
    </w:rPr>
  </w:style>
  <w:style w:type="paragraph" w:styleId="62">
    <w:name w:val="Quote"/>
    <w:basedOn w:val="1"/>
    <w:next w:val="1"/>
    <w:link w:val="61"/>
    <w:qFormat/>
    <w:uiPriority w:val="29"/>
    <w:rPr>
      <w:rFonts w:asciiTheme="minorHAnsi" w:hAnsiTheme="minorHAnsi" w:eastAsiaTheme="minorEastAsia"/>
      <w:i/>
    </w:rPr>
  </w:style>
  <w:style w:type="paragraph" w:customStyle="1" w:styleId="63">
    <w:name w:val="明显引用1"/>
    <w:basedOn w:val="1"/>
    <w:next w:val="1"/>
    <w:qFormat/>
    <w:uiPriority w:val="30"/>
    <w:pPr>
      <w:ind w:left="720" w:right="720"/>
    </w:pPr>
    <w:rPr>
      <w:rFonts w:asciiTheme="minorHAnsi" w:hAnsiTheme="minorHAnsi"/>
      <w:b/>
      <w:i/>
      <w:szCs w:val="22"/>
    </w:rPr>
  </w:style>
  <w:style w:type="character" w:customStyle="1" w:styleId="64">
    <w:name w:val="明显引用 Char"/>
    <w:basedOn w:val="35"/>
    <w:link w:val="65"/>
    <w:qFormat/>
    <w:uiPriority w:val="30"/>
    <w:rPr>
      <w:b/>
      <w:i/>
      <w:sz w:val="24"/>
    </w:rPr>
  </w:style>
  <w:style w:type="paragraph" w:styleId="65">
    <w:name w:val="Intense Quote"/>
    <w:basedOn w:val="1"/>
    <w:next w:val="1"/>
    <w:link w:val="64"/>
    <w:qFormat/>
    <w:uiPriority w:val="30"/>
    <w:pPr>
      <w:ind w:left="720" w:right="720"/>
    </w:pPr>
    <w:rPr>
      <w:rFonts w:asciiTheme="minorHAnsi" w:hAnsiTheme="minorHAnsi" w:eastAsiaTheme="minorEastAsia"/>
      <w:b/>
      <w:i/>
      <w:szCs w:val="22"/>
    </w:rPr>
  </w:style>
  <w:style w:type="character" w:customStyle="1" w:styleId="66">
    <w:name w:val="不明显强调1"/>
    <w:qFormat/>
    <w:uiPriority w:val="19"/>
    <w:rPr>
      <w:i/>
      <w:color w:val="595959" w:themeColor="text1" w:themeTint="A6"/>
      <w14:textFill>
        <w14:solidFill>
          <w14:schemeClr w14:val="tx1">
            <w14:lumMod w14:val="65000"/>
            <w14:lumOff w14:val="35000"/>
          </w14:schemeClr>
        </w14:solidFill>
      </w14:textFill>
    </w:rPr>
  </w:style>
  <w:style w:type="character" w:customStyle="1" w:styleId="67">
    <w:name w:val="明显强调1"/>
    <w:basedOn w:val="35"/>
    <w:qFormat/>
    <w:uiPriority w:val="21"/>
    <w:rPr>
      <w:b/>
      <w:i/>
      <w:sz w:val="24"/>
      <w:szCs w:val="24"/>
      <w:u w:val="single"/>
    </w:rPr>
  </w:style>
  <w:style w:type="character" w:customStyle="1" w:styleId="68">
    <w:name w:val="不明显参考1"/>
    <w:basedOn w:val="35"/>
    <w:qFormat/>
    <w:uiPriority w:val="31"/>
    <w:rPr>
      <w:sz w:val="24"/>
      <w:szCs w:val="24"/>
      <w:u w:val="single"/>
    </w:rPr>
  </w:style>
  <w:style w:type="character" w:customStyle="1" w:styleId="69">
    <w:name w:val="明显参考1"/>
    <w:basedOn w:val="35"/>
    <w:qFormat/>
    <w:uiPriority w:val="32"/>
    <w:rPr>
      <w:b/>
      <w:sz w:val="24"/>
      <w:u w:val="single"/>
    </w:rPr>
  </w:style>
  <w:style w:type="character" w:customStyle="1" w:styleId="70">
    <w:name w:val="书籍标题1"/>
    <w:basedOn w:val="35"/>
    <w:qFormat/>
    <w:uiPriority w:val="33"/>
    <w:rPr>
      <w:rFonts w:asciiTheme="majorHAnsi" w:hAnsiTheme="majorHAnsi" w:eastAsiaTheme="majorEastAsia"/>
      <w:b/>
      <w:i/>
      <w:sz w:val="24"/>
      <w:szCs w:val="24"/>
    </w:rPr>
  </w:style>
  <w:style w:type="paragraph" w:customStyle="1" w:styleId="71">
    <w:name w:val="TOC 标题1"/>
    <w:basedOn w:val="2"/>
    <w:next w:val="1"/>
    <w:unhideWhenUsed/>
    <w:qFormat/>
    <w:uiPriority w:val="39"/>
    <w:pPr>
      <w:numPr>
        <w:numId w:val="0"/>
      </w:numPr>
      <w:outlineLvl w:val="9"/>
    </w:pPr>
  </w:style>
  <w:style w:type="character" w:customStyle="1" w:styleId="72">
    <w:name w:val="目录 1 Char"/>
    <w:basedOn w:val="35"/>
    <w:link w:val="23"/>
    <w:qFormat/>
    <w:uiPriority w:val="39"/>
    <w:rPr>
      <w:rFonts w:cstheme="minorHAnsi"/>
      <w:b/>
      <w:bCs/>
      <w:caps/>
      <w:sz w:val="20"/>
      <w:szCs w:val="20"/>
    </w:rPr>
  </w:style>
  <w:style w:type="character" w:customStyle="1" w:styleId="73">
    <w:name w:val="正文文本 Char"/>
    <w:basedOn w:val="35"/>
    <w:link w:val="15"/>
    <w:qFormat/>
    <w:uiPriority w:val="1"/>
    <w:rPr>
      <w:rFonts w:ascii="宋体" w:hAnsi="宋体" w:eastAsia="宋体" w:cstheme="minorBidi"/>
      <w:sz w:val="28"/>
      <w:szCs w:val="28"/>
      <w:lang w:eastAsia="en-US"/>
    </w:rPr>
  </w:style>
  <w:style w:type="character" w:customStyle="1" w:styleId="74">
    <w:name w:val="标题 Char"/>
    <w:basedOn w:val="35"/>
    <w:link w:val="30"/>
    <w:qFormat/>
    <w:uiPriority w:val="10"/>
    <w:rPr>
      <w:rFonts w:eastAsia="宋体" w:asciiTheme="majorHAnsi" w:hAnsiTheme="majorHAnsi" w:cstheme="majorBidi"/>
      <w:b/>
      <w:bCs/>
      <w:kern w:val="0"/>
      <w:sz w:val="32"/>
      <w:szCs w:val="32"/>
    </w:rPr>
  </w:style>
  <w:style w:type="paragraph" w:customStyle="1" w:styleId="75">
    <w:name w:val="列出段落1"/>
    <w:basedOn w:val="1"/>
    <w:link w:val="76"/>
    <w:qFormat/>
    <w:uiPriority w:val="34"/>
    <w:pPr>
      <w:ind w:firstLine="420"/>
    </w:pPr>
  </w:style>
  <w:style w:type="character" w:customStyle="1" w:styleId="76">
    <w:name w:val="列出段落 Char"/>
    <w:link w:val="75"/>
    <w:qFormat/>
    <w:uiPriority w:val="34"/>
    <w:rPr>
      <w:rFonts w:ascii="Times New Roman" w:hAnsi="Times New Roman"/>
      <w:kern w:val="0"/>
      <w:sz w:val="24"/>
      <w:szCs w:val="24"/>
    </w:rPr>
  </w:style>
  <w:style w:type="table" w:customStyle="1" w:styleId="77">
    <w:name w:val="Table Normal"/>
    <w:unhideWhenUsed/>
    <w:qFormat/>
    <w:uiPriority w:val="2"/>
    <w:pPr>
      <w:widowControl w:val="0"/>
    </w:pPr>
    <w:rPr>
      <w:lang w:eastAsia="en-US"/>
    </w:rPr>
    <w:tblPr>
      <w:tblCellMar>
        <w:top w:w="0" w:type="dxa"/>
        <w:left w:w="0" w:type="dxa"/>
        <w:bottom w:w="0" w:type="dxa"/>
        <w:right w:w="0" w:type="dxa"/>
      </w:tblCellMar>
    </w:tblPr>
  </w:style>
  <w:style w:type="table" w:customStyle="1" w:styleId="78">
    <w:name w:val="Table Normal1"/>
    <w:unhideWhenUsed/>
    <w:qFormat/>
    <w:uiPriority w:val="2"/>
    <w:pPr>
      <w:widowControl w:val="0"/>
    </w:pPr>
    <w:rPr>
      <w:lang w:eastAsia="en-US"/>
    </w:rPr>
    <w:tblPr>
      <w:tblCellMar>
        <w:top w:w="0" w:type="dxa"/>
        <w:left w:w="0" w:type="dxa"/>
        <w:bottom w:w="0" w:type="dxa"/>
        <w:right w:w="0" w:type="dxa"/>
      </w:tblCellMar>
    </w:tblPr>
  </w:style>
  <w:style w:type="paragraph" w:customStyle="1" w:styleId="79">
    <w:name w:val="Table Paragraph"/>
    <w:basedOn w:val="1"/>
    <w:qFormat/>
    <w:uiPriority w:val="1"/>
    <w:pPr>
      <w:widowControl w:val="0"/>
      <w:spacing w:line="240" w:lineRule="auto"/>
      <w:ind w:firstLine="0" w:firstLineChars="0"/>
      <w:jc w:val="left"/>
    </w:pPr>
    <w:rPr>
      <w:rFonts w:asciiTheme="minorHAnsi" w:hAnsiTheme="minorHAnsi"/>
      <w:sz w:val="22"/>
      <w:szCs w:val="22"/>
      <w:lang w:eastAsia="en-US"/>
    </w:rPr>
  </w:style>
  <w:style w:type="table" w:customStyle="1" w:styleId="80">
    <w:name w:val="Table Normal2"/>
    <w:unhideWhenUsed/>
    <w:qFormat/>
    <w:uiPriority w:val="2"/>
    <w:pPr>
      <w:widowControl w:val="0"/>
    </w:pPr>
    <w:rPr>
      <w:lang w:eastAsia="en-US"/>
    </w:rPr>
    <w:tblPr>
      <w:tblCellMar>
        <w:top w:w="0" w:type="dxa"/>
        <w:left w:w="0" w:type="dxa"/>
        <w:bottom w:w="0" w:type="dxa"/>
        <w:right w:w="0" w:type="dxa"/>
      </w:tblCellMar>
    </w:tblPr>
  </w:style>
  <w:style w:type="table" w:customStyle="1" w:styleId="81">
    <w:name w:val="Table Normal3"/>
    <w:unhideWhenUsed/>
    <w:qFormat/>
    <w:uiPriority w:val="2"/>
    <w:pPr>
      <w:widowControl w:val="0"/>
    </w:pPr>
    <w:rPr>
      <w:lang w:eastAsia="en-US"/>
    </w:rPr>
    <w:tblPr>
      <w:tblCellMar>
        <w:top w:w="0" w:type="dxa"/>
        <w:left w:w="0" w:type="dxa"/>
        <w:bottom w:w="0" w:type="dxa"/>
        <w:right w:w="0" w:type="dxa"/>
      </w:tblCellMar>
    </w:tblPr>
  </w:style>
  <w:style w:type="table" w:customStyle="1" w:styleId="82">
    <w:name w:val="Table Normal4"/>
    <w:unhideWhenUsed/>
    <w:qFormat/>
    <w:uiPriority w:val="2"/>
    <w:pPr>
      <w:widowControl w:val="0"/>
    </w:pPr>
    <w:rPr>
      <w:lang w:eastAsia="en-US"/>
    </w:rPr>
    <w:tblPr>
      <w:tblCellMar>
        <w:top w:w="0" w:type="dxa"/>
        <w:left w:w="0" w:type="dxa"/>
        <w:bottom w:w="0" w:type="dxa"/>
        <w:right w:w="0" w:type="dxa"/>
      </w:tblCellMar>
    </w:tblPr>
  </w:style>
  <w:style w:type="table" w:customStyle="1" w:styleId="83">
    <w:name w:val="Table Normal5"/>
    <w:unhideWhenUsed/>
    <w:qFormat/>
    <w:uiPriority w:val="2"/>
    <w:pPr>
      <w:widowControl w:val="0"/>
    </w:pPr>
    <w:rPr>
      <w:lang w:eastAsia="en-US"/>
    </w:rPr>
    <w:tblPr>
      <w:tblCellMar>
        <w:top w:w="0" w:type="dxa"/>
        <w:left w:w="0" w:type="dxa"/>
        <w:bottom w:w="0" w:type="dxa"/>
        <w:right w:w="0" w:type="dxa"/>
      </w:tblCellMar>
    </w:tblPr>
  </w:style>
  <w:style w:type="table" w:customStyle="1" w:styleId="84">
    <w:name w:val="Table Normal6"/>
    <w:unhideWhenUsed/>
    <w:qFormat/>
    <w:uiPriority w:val="2"/>
    <w:pPr>
      <w:widowControl w:val="0"/>
    </w:pPr>
    <w:rPr>
      <w:lang w:eastAsia="en-US"/>
    </w:rPr>
    <w:tblPr>
      <w:tblCellMar>
        <w:top w:w="0" w:type="dxa"/>
        <w:left w:w="0" w:type="dxa"/>
        <w:bottom w:w="0" w:type="dxa"/>
        <w:right w:w="0" w:type="dxa"/>
      </w:tblCellMar>
    </w:tblPr>
  </w:style>
  <w:style w:type="table" w:customStyle="1" w:styleId="85">
    <w:name w:val="Table Normal7"/>
    <w:unhideWhenUsed/>
    <w:qFormat/>
    <w:uiPriority w:val="2"/>
    <w:pPr>
      <w:widowControl w:val="0"/>
    </w:pPr>
    <w:rPr>
      <w:lang w:eastAsia="en-US"/>
    </w:rPr>
    <w:tblPr>
      <w:tblCellMar>
        <w:top w:w="0" w:type="dxa"/>
        <w:left w:w="0" w:type="dxa"/>
        <w:bottom w:w="0" w:type="dxa"/>
        <w:right w:w="0" w:type="dxa"/>
      </w:tblCellMar>
    </w:tblPr>
  </w:style>
  <w:style w:type="table" w:customStyle="1" w:styleId="86">
    <w:name w:val="Table Normal8"/>
    <w:unhideWhenUsed/>
    <w:qFormat/>
    <w:uiPriority w:val="2"/>
    <w:pPr>
      <w:widowControl w:val="0"/>
    </w:pPr>
    <w:rPr>
      <w:lang w:eastAsia="en-US"/>
    </w:rPr>
    <w:tblPr>
      <w:tblCellMar>
        <w:top w:w="0" w:type="dxa"/>
        <w:left w:w="0" w:type="dxa"/>
        <w:bottom w:w="0" w:type="dxa"/>
        <w:right w:w="0" w:type="dxa"/>
      </w:tblCellMar>
    </w:tblPr>
  </w:style>
  <w:style w:type="character" w:customStyle="1" w:styleId="87">
    <w:name w:val="批注框文本 Char"/>
    <w:basedOn w:val="35"/>
    <w:link w:val="20"/>
    <w:semiHidden/>
    <w:qFormat/>
    <w:uiPriority w:val="99"/>
    <w:rPr>
      <w:rFonts w:ascii="Times New Roman" w:hAnsi="Times New Roman"/>
      <w:sz w:val="18"/>
      <w:szCs w:val="18"/>
    </w:rPr>
  </w:style>
  <w:style w:type="character" w:customStyle="1" w:styleId="88">
    <w:name w:val="批注文字 Char"/>
    <w:basedOn w:val="35"/>
    <w:link w:val="14"/>
    <w:qFormat/>
    <w:uiPriority w:val="99"/>
    <w:rPr>
      <w:rFonts w:ascii="Times New Roman" w:hAnsi="Times New Roman"/>
      <w:sz w:val="24"/>
      <w:szCs w:val="24"/>
    </w:rPr>
  </w:style>
  <w:style w:type="character" w:customStyle="1" w:styleId="89">
    <w:name w:val="批注主题 Char"/>
    <w:basedOn w:val="88"/>
    <w:link w:val="31"/>
    <w:semiHidden/>
    <w:qFormat/>
    <w:uiPriority w:val="99"/>
    <w:rPr>
      <w:rFonts w:ascii="Times New Roman" w:hAnsi="Times New Roman"/>
      <w:b/>
      <w:bCs/>
      <w:sz w:val="24"/>
      <w:szCs w:val="24"/>
    </w:rPr>
  </w:style>
  <w:style w:type="character" w:customStyle="1" w:styleId="90">
    <w:name w:val="题注 Char"/>
    <w:link w:val="12"/>
    <w:semiHidden/>
    <w:qFormat/>
    <w:locked/>
    <w:uiPriority w:val="35"/>
    <w:rPr>
      <w:rFonts w:eastAsia="黑体" w:asciiTheme="majorHAnsi" w:hAnsiTheme="majorHAnsi" w:cstheme="majorBidi"/>
      <w:kern w:val="0"/>
      <w:sz w:val="20"/>
      <w:szCs w:val="20"/>
    </w:rPr>
  </w:style>
  <w:style w:type="character" w:customStyle="1" w:styleId="91">
    <w:name w:val="文档结构图 Char"/>
    <w:basedOn w:val="35"/>
    <w:link w:val="13"/>
    <w:qFormat/>
    <w:uiPriority w:val="99"/>
    <w:rPr>
      <w:rFonts w:ascii="宋体" w:hAnsi="Times New Roman" w:eastAsia="宋体"/>
      <w:sz w:val="18"/>
      <w:szCs w:val="18"/>
    </w:rPr>
  </w:style>
  <w:style w:type="paragraph" w:customStyle="1" w:styleId="92">
    <w:name w:val="列出段落11"/>
    <w:basedOn w:val="1"/>
    <w:qFormat/>
    <w:uiPriority w:val="34"/>
    <w:pPr>
      <w:widowControl w:val="0"/>
      <w:adjustRightInd w:val="0"/>
      <w:snapToGrid w:val="0"/>
      <w:ind w:firstLine="420"/>
    </w:pPr>
    <w:rPr>
      <w:kern w:val="2"/>
    </w:rPr>
  </w:style>
  <w:style w:type="paragraph" w:customStyle="1" w:styleId="93">
    <w:name w:val="样式1"/>
    <w:basedOn w:val="1"/>
    <w:qFormat/>
    <w:uiPriority w:val="99"/>
    <w:pPr>
      <w:widowControl w:val="0"/>
      <w:tabs>
        <w:tab w:val="left" w:pos="720"/>
      </w:tabs>
      <w:snapToGrid w:val="0"/>
      <w:spacing w:line="440" w:lineRule="atLeast"/>
      <w:ind w:left="567" w:firstLine="0" w:firstLineChars="0"/>
    </w:pPr>
    <w:rPr>
      <w:rFonts w:ascii="宋体"/>
      <w:kern w:val="2"/>
      <w:sz w:val="28"/>
      <w:szCs w:val="20"/>
    </w:rPr>
  </w:style>
  <w:style w:type="paragraph" w:customStyle="1" w:styleId="94">
    <w:name w:val="无间隔11"/>
    <w:qFormat/>
    <w:uiPriority w:val="1"/>
    <w:pPr>
      <w:widowControl w:val="0"/>
      <w:jc w:val="center"/>
    </w:pPr>
    <w:rPr>
      <w:rFonts w:cs="Times New Roman" w:asciiTheme="minorHAnsi" w:hAnsiTheme="minorHAnsi" w:eastAsiaTheme="minorEastAsia"/>
      <w:sz w:val="22"/>
      <w:szCs w:val="22"/>
      <w:lang w:val="en-US" w:eastAsia="zh-CN" w:bidi="ar-SA"/>
    </w:rPr>
  </w:style>
  <w:style w:type="paragraph" w:customStyle="1" w:styleId="95">
    <w:name w:val="目录"/>
    <w:basedOn w:val="23"/>
    <w:link w:val="96"/>
    <w:qFormat/>
    <w:uiPriority w:val="0"/>
    <w:pPr>
      <w:widowControl w:val="0"/>
      <w:tabs>
        <w:tab w:val="left" w:pos="420"/>
        <w:tab w:val="right" w:leader="dot" w:pos="8296"/>
      </w:tabs>
      <w:spacing w:before="0" w:after="0"/>
      <w:ind w:firstLine="0" w:firstLineChars="0"/>
    </w:pPr>
  </w:style>
  <w:style w:type="character" w:customStyle="1" w:styleId="96">
    <w:name w:val="目录 Char"/>
    <w:basedOn w:val="72"/>
    <w:link w:val="95"/>
    <w:qFormat/>
    <w:uiPriority w:val="0"/>
    <w:rPr>
      <w:rFonts w:cstheme="minorHAnsi"/>
      <w:kern w:val="0"/>
      <w:sz w:val="20"/>
      <w:szCs w:val="20"/>
    </w:rPr>
  </w:style>
  <w:style w:type="paragraph" w:customStyle="1" w:styleId="97">
    <w:name w:val="p0"/>
    <w:basedOn w:val="1"/>
    <w:qFormat/>
    <w:uiPriority w:val="99"/>
    <w:pPr>
      <w:ind w:firstLine="420" w:firstLineChars="0"/>
    </w:pPr>
  </w:style>
  <w:style w:type="character" w:customStyle="1" w:styleId="98">
    <w:name w:val="标题 2 Char1"/>
    <w:basedOn w:val="35"/>
    <w:qFormat/>
    <w:uiPriority w:val="9"/>
    <w:rPr>
      <w:rFonts w:eastAsiaTheme="minorEastAsia" w:cstheme="minorBidi"/>
      <w:b/>
      <w:bCs/>
      <w:iCs/>
      <w:kern w:val="2"/>
      <w:sz w:val="28"/>
      <w:szCs w:val="28"/>
    </w:rPr>
  </w:style>
  <w:style w:type="paragraph" w:customStyle="1" w:styleId="99">
    <w:name w:val="无间隔2"/>
    <w:qFormat/>
    <w:uiPriority w:val="99"/>
    <w:pPr>
      <w:widowControl w:val="0"/>
      <w:ind w:firstLine="200" w:firstLineChars="200"/>
      <w:jc w:val="both"/>
    </w:pPr>
    <w:rPr>
      <w:rFonts w:cs="Times New Roman" w:asciiTheme="minorHAnsi" w:hAnsiTheme="minorHAnsi" w:eastAsiaTheme="minorEastAsia"/>
      <w:sz w:val="24"/>
      <w:szCs w:val="22"/>
      <w:lang w:val="en-US" w:eastAsia="zh-CN" w:bidi="ar-SA"/>
    </w:rPr>
  </w:style>
  <w:style w:type="paragraph" w:customStyle="1" w:styleId="100">
    <w:name w:val="列出段落2"/>
    <w:basedOn w:val="1"/>
    <w:qFormat/>
    <w:uiPriority w:val="99"/>
    <w:pPr>
      <w:widowControl w:val="0"/>
      <w:ind w:firstLine="420"/>
    </w:pPr>
    <w:rPr>
      <w:kern w:val="2"/>
      <w:szCs w:val="22"/>
    </w:rPr>
  </w:style>
  <w:style w:type="paragraph" w:customStyle="1" w:styleId="101">
    <w:name w:val="正文Char"/>
    <w:basedOn w:val="1"/>
    <w:qFormat/>
    <w:uiPriority w:val="99"/>
    <w:pPr>
      <w:jc w:val="left"/>
    </w:pPr>
    <w:rPr>
      <w:rFonts w:ascii="宋体" w:hAnsi="宋体" w:cs="宋体"/>
      <w:szCs w:val="20"/>
    </w:rPr>
  </w:style>
  <w:style w:type="paragraph" w:customStyle="1" w:styleId="102">
    <w:name w:val="缩进"/>
    <w:basedOn w:val="1"/>
    <w:link w:val="103"/>
    <w:qFormat/>
    <w:uiPriority w:val="0"/>
    <w:pPr>
      <w:autoSpaceDE w:val="0"/>
      <w:autoSpaceDN w:val="0"/>
      <w:adjustRightInd w:val="0"/>
      <w:spacing w:line="400" w:lineRule="atLeast"/>
      <w:ind w:firstLine="425" w:firstLineChars="0"/>
      <w:textAlignment w:val="baseline"/>
    </w:pPr>
    <w:rPr>
      <w:kern w:val="2"/>
      <w:szCs w:val="20"/>
    </w:rPr>
  </w:style>
  <w:style w:type="character" w:customStyle="1" w:styleId="103">
    <w:name w:val="缩进 Char"/>
    <w:link w:val="102"/>
    <w:qFormat/>
    <w:uiPriority w:val="0"/>
    <w:rPr>
      <w:rFonts w:ascii="Times New Roman" w:hAnsi="Times New Roman" w:eastAsia="宋体" w:cs="Times New Roman"/>
      <w:sz w:val="24"/>
      <w:szCs w:val="20"/>
    </w:rPr>
  </w:style>
  <w:style w:type="table" w:customStyle="1" w:styleId="104">
    <w:name w:val="网格型1"/>
    <w:basedOn w:val="3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5">
    <w:name w:val="网格型11"/>
    <w:basedOn w:val="33"/>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6">
    <w:name w:val="网格型2"/>
    <w:basedOn w:val="3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7">
    <w:name w:val="网格型12"/>
    <w:basedOn w:val="33"/>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08">
    <w:name w:val="表格2"/>
    <w:basedOn w:val="32"/>
    <w:link w:val="109"/>
    <w:qFormat/>
    <w:uiPriority w:val="0"/>
    <w:pPr>
      <w:widowControl w:val="0"/>
      <w:adjustRightInd w:val="0"/>
      <w:snapToGrid w:val="0"/>
      <w:spacing w:after="0" w:line="240" w:lineRule="auto"/>
      <w:ind w:left="0" w:leftChars="0" w:firstLine="0" w:firstLineChars="0"/>
      <w:jc w:val="center"/>
    </w:pPr>
    <w:rPr>
      <w:rFonts w:eastAsia="仿宋"/>
      <w:szCs w:val="21"/>
    </w:rPr>
  </w:style>
  <w:style w:type="character" w:customStyle="1" w:styleId="109">
    <w:name w:val="表格2 Char"/>
    <w:basedOn w:val="110"/>
    <w:link w:val="108"/>
    <w:qFormat/>
    <w:uiPriority w:val="0"/>
    <w:rPr>
      <w:rFonts w:eastAsia="仿宋"/>
      <w:sz w:val="24"/>
      <w:szCs w:val="21"/>
    </w:rPr>
  </w:style>
  <w:style w:type="character" w:customStyle="1" w:styleId="110">
    <w:name w:val="正文首行缩进 2 Char"/>
    <w:basedOn w:val="111"/>
    <w:link w:val="32"/>
    <w:semiHidden/>
    <w:qFormat/>
    <w:uiPriority w:val="99"/>
    <w:rPr>
      <w:rFonts w:eastAsiaTheme="minorEastAsia"/>
      <w:sz w:val="24"/>
      <w:szCs w:val="24"/>
    </w:rPr>
  </w:style>
  <w:style w:type="character" w:customStyle="1" w:styleId="111">
    <w:name w:val="正文文本缩进 Char"/>
    <w:basedOn w:val="35"/>
    <w:link w:val="16"/>
    <w:semiHidden/>
    <w:qFormat/>
    <w:uiPriority w:val="99"/>
    <w:rPr>
      <w:rFonts w:eastAsiaTheme="minorEastAsia"/>
      <w:sz w:val="24"/>
      <w:szCs w:val="24"/>
    </w:rPr>
  </w:style>
  <w:style w:type="character" w:customStyle="1" w:styleId="112">
    <w:name w:val="无间隔 Char1"/>
    <w:basedOn w:val="35"/>
    <w:qFormat/>
    <w:uiPriority w:val="1"/>
    <w:rPr>
      <w:rFonts w:ascii="Times New Roman" w:hAnsi="Times New Roman" w:eastAsia="黑体" w:cs="宋体"/>
      <w:sz w:val="21"/>
      <w:szCs w:val="32"/>
    </w:rPr>
  </w:style>
  <w:style w:type="character" w:customStyle="1" w:styleId="113">
    <w:name w:val="引用 Char1"/>
    <w:basedOn w:val="35"/>
    <w:qFormat/>
    <w:uiPriority w:val="29"/>
    <w:rPr>
      <w:i/>
      <w:sz w:val="24"/>
      <w:szCs w:val="24"/>
    </w:rPr>
  </w:style>
  <w:style w:type="character" w:customStyle="1" w:styleId="114">
    <w:name w:val="明显引用 Char1"/>
    <w:basedOn w:val="35"/>
    <w:qFormat/>
    <w:uiPriority w:val="30"/>
    <w:rPr>
      <w:b/>
      <w:i/>
      <w:sz w:val="24"/>
    </w:rPr>
  </w:style>
  <w:style w:type="character" w:customStyle="1" w:styleId="115">
    <w:name w:val="不明显强调2"/>
    <w:qFormat/>
    <w:uiPriority w:val="19"/>
    <w:rPr>
      <w:i/>
      <w:color w:val="595959" w:themeColor="text1" w:themeTint="A6"/>
      <w14:textFill>
        <w14:solidFill>
          <w14:schemeClr w14:val="tx1">
            <w14:lumMod w14:val="65000"/>
            <w14:lumOff w14:val="35000"/>
          </w14:schemeClr>
        </w14:solidFill>
      </w14:textFill>
    </w:rPr>
  </w:style>
  <w:style w:type="character" w:customStyle="1" w:styleId="116">
    <w:name w:val="明显强调2"/>
    <w:basedOn w:val="35"/>
    <w:qFormat/>
    <w:uiPriority w:val="21"/>
    <w:rPr>
      <w:b/>
      <w:i/>
      <w:sz w:val="24"/>
      <w:szCs w:val="24"/>
      <w:u w:val="single"/>
    </w:rPr>
  </w:style>
  <w:style w:type="character" w:customStyle="1" w:styleId="117">
    <w:name w:val="不明显参考2"/>
    <w:basedOn w:val="35"/>
    <w:qFormat/>
    <w:uiPriority w:val="31"/>
    <w:rPr>
      <w:sz w:val="24"/>
      <w:szCs w:val="24"/>
      <w:u w:val="single"/>
    </w:rPr>
  </w:style>
  <w:style w:type="character" w:customStyle="1" w:styleId="118">
    <w:name w:val="明显参考2"/>
    <w:basedOn w:val="35"/>
    <w:qFormat/>
    <w:uiPriority w:val="32"/>
    <w:rPr>
      <w:b/>
      <w:sz w:val="24"/>
      <w:u w:val="single"/>
    </w:rPr>
  </w:style>
  <w:style w:type="character" w:customStyle="1" w:styleId="119">
    <w:name w:val="书籍标题2"/>
    <w:basedOn w:val="35"/>
    <w:qFormat/>
    <w:uiPriority w:val="33"/>
    <w:rPr>
      <w:rFonts w:asciiTheme="majorHAnsi" w:hAnsiTheme="majorHAnsi" w:eastAsiaTheme="majorEastAsia"/>
      <w:b/>
      <w:i/>
      <w:sz w:val="24"/>
      <w:szCs w:val="24"/>
    </w:rPr>
  </w:style>
  <w:style w:type="paragraph" w:customStyle="1" w:styleId="120">
    <w:name w:val="TOC 标题2"/>
    <w:basedOn w:val="2"/>
    <w:next w:val="1"/>
    <w:unhideWhenUsed/>
    <w:qFormat/>
    <w:uiPriority w:val="39"/>
    <w:pPr>
      <w:numPr>
        <w:numId w:val="0"/>
      </w:numPr>
      <w:outlineLvl w:val="9"/>
    </w:pPr>
  </w:style>
  <w:style w:type="paragraph" w:styleId="121">
    <w:name w:val="List Paragraph"/>
    <w:basedOn w:val="1"/>
    <w:semiHidden/>
    <w:qFormat/>
    <w:uiPriority w:val="99"/>
    <w:pPr>
      <w:ind w:firstLine="420"/>
    </w:pPr>
  </w:style>
  <w:style w:type="table" w:customStyle="1" w:styleId="122">
    <w:name w:val="Table Normal61"/>
    <w:qFormat/>
    <w:uiPriority w:val="2"/>
    <w:pPr>
      <w:widowControl w:val="0"/>
    </w:pPr>
    <w:rPr>
      <w:rFonts w:ascii="Times New Roman" w:hAnsi="Times New Roman" w:eastAsia="宋体"/>
      <w:lang w:eastAsia="en-US"/>
    </w:rPr>
    <w:tblPr>
      <w:tblCellMar>
        <w:top w:w="0" w:type="dxa"/>
        <w:left w:w="0" w:type="dxa"/>
        <w:bottom w:w="0" w:type="dxa"/>
        <w:right w:w="0" w:type="dxa"/>
      </w:tblCellMar>
    </w:tblPr>
  </w:style>
  <w:style w:type="table" w:customStyle="1" w:styleId="123">
    <w:name w:val="网格型3"/>
    <w:basedOn w:val="33"/>
    <w:qFormat/>
    <w:uiPriority w:val="59"/>
    <w:rPr>
      <w:rFonts w:ascii="Times New Roman" w:hAnsi="Times New Roman" w:eastAsia="宋体"/>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24">
    <w:name w:val="Table Normal9"/>
    <w:qFormat/>
    <w:uiPriority w:val="2"/>
    <w:pPr>
      <w:widowControl w:val="0"/>
    </w:pPr>
    <w:rPr>
      <w:rFonts w:ascii="Times New Roman" w:hAnsi="Times New Roman" w:eastAsia="宋体"/>
      <w:lang w:eastAsia="en-US"/>
    </w:rPr>
    <w:tblPr>
      <w:tblCellMar>
        <w:top w:w="0" w:type="dxa"/>
        <w:left w:w="0" w:type="dxa"/>
        <w:bottom w:w="0" w:type="dxa"/>
        <w:right w:w="0" w:type="dxa"/>
      </w:tblCellMar>
    </w:tblPr>
  </w:style>
  <w:style w:type="table" w:customStyle="1" w:styleId="125">
    <w:name w:val="Table Normal11"/>
    <w:qFormat/>
    <w:uiPriority w:val="2"/>
    <w:pPr>
      <w:widowControl w:val="0"/>
    </w:pPr>
    <w:rPr>
      <w:rFonts w:ascii="Times New Roman" w:hAnsi="Times New Roman" w:eastAsia="宋体"/>
      <w:lang w:eastAsia="en-US"/>
    </w:rPr>
    <w:tblPr>
      <w:tblCellMar>
        <w:top w:w="0" w:type="dxa"/>
        <w:left w:w="0" w:type="dxa"/>
        <w:bottom w:w="0" w:type="dxa"/>
        <w:right w:w="0" w:type="dxa"/>
      </w:tblCellMar>
    </w:tblPr>
  </w:style>
  <w:style w:type="table" w:customStyle="1" w:styleId="126">
    <w:name w:val="Table Normal21"/>
    <w:qFormat/>
    <w:uiPriority w:val="2"/>
    <w:pPr>
      <w:widowControl w:val="0"/>
    </w:pPr>
    <w:rPr>
      <w:rFonts w:ascii="Times New Roman" w:hAnsi="Times New Roman" w:eastAsia="宋体"/>
      <w:lang w:eastAsia="en-US"/>
    </w:rPr>
    <w:tblPr>
      <w:tblCellMar>
        <w:top w:w="0" w:type="dxa"/>
        <w:left w:w="0" w:type="dxa"/>
        <w:bottom w:w="0" w:type="dxa"/>
        <w:right w:w="0" w:type="dxa"/>
      </w:tblCellMar>
    </w:tblPr>
  </w:style>
  <w:style w:type="table" w:customStyle="1" w:styleId="127">
    <w:name w:val="Table Normal31"/>
    <w:qFormat/>
    <w:uiPriority w:val="2"/>
    <w:pPr>
      <w:widowControl w:val="0"/>
    </w:pPr>
    <w:rPr>
      <w:rFonts w:ascii="Times New Roman" w:hAnsi="Times New Roman" w:eastAsia="宋体"/>
      <w:lang w:eastAsia="en-US"/>
    </w:rPr>
    <w:tblPr>
      <w:tblCellMar>
        <w:top w:w="0" w:type="dxa"/>
        <w:left w:w="0" w:type="dxa"/>
        <w:bottom w:w="0" w:type="dxa"/>
        <w:right w:w="0" w:type="dxa"/>
      </w:tblCellMar>
    </w:tblPr>
  </w:style>
  <w:style w:type="table" w:customStyle="1" w:styleId="128">
    <w:name w:val="Table Normal41"/>
    <w:qFormat/>
    <w:uiPriority w:val="2"/>
    <w:pPr>
      <w:widowControl w:val="0"/>
    </w:pPr>
    <w:rPr>
      <w:rFonts w:ascii="Times New Roman" w:hAnsi="Times New Roman" w:eastAsia="宋体"/>
      <w:lang w:eastAsia="en-US"/>
    </w:rPr>
    <w:tblPr>
      <w:tblCellMar>
        <w:top w:w="0" w:type="dxa"/>
        <w:left w:w="0" w:type="dxa"/>
        <w:bottom w:w="0" w:type="dxa"/>
        <w:right w:w="0" w:type="dxa"/>
      </w:tblCellMar>
    </w:tblPr>
  </w:style>
  <w:style w:type="table" w:customStyle="1" w:styleId="129">
    <w:name w:val="Table Normal51"/>
    <w:qFormat/>
    <w:uiPriority w:val="2"/>
    <w:pPr>
      <w:widowControl w:val="0"/>
    </w:pPr>
    <w:rPr>
      <w:rFonts w:ascii="Times New Roman" w:hAnsi="Times New Roman" w:eastAsia="宋体"/>
      <w:lang w:eastAsia="en-US"/>
    </w:rPr>
    <w:tblPr>
      <w:tblCellMar>
        <w:top w:w="0" w:type="dxa"/>
        <w:left w:w="0" w:type="dxa"/>
        <w:bottom w:w="0" w:type="dxa"/>
        <w:right w:w="0" w:type="dxa"/>
      </w:tblCellMar>
    </w:tblPr>
  </w:style>
  <w:style w:type="table" w:customStyle="1" w:styleId="130">
    <w:name w:val="Table Normal62"/>
    <w:qFormat/>
    <w:uiPriority w:val="2"/>
    <w:pPr>
      <w:widowControl w:val="0"/>
    </w:pPr>
    <w:rPr>
      <w:rFonts w:ascii="Times New Roman" w:hAnsi="Times New Roman" w:eastAsia="宋体"/>
      <w:lang w:eastAsia="en-US"/>
    </w:rPr>
    <w:tblPr>
      <w:tblCellMar>
        <w:top w:w="0" w:type="dxa"/>
        <w:left w:w="0" w:type="dxa"/>
        <w:bottom w:w="0" w:type="dxa"/>
        <w:right w:w="0" w:type="dxa"/>
      </w:tblCellMar>
    </w:tblPr>
  </w:style>
  <w:style w:type="table" w:customStyle="1" w:styleId="131">
    <w:name w:val="Table Normal71"/>
    <w:qFormat/>
    <w:uiPriority w:val="2"/>
    <w:pPr>
      <w:widowControl w:val="0"/>
    </w:pPr>
    <w:rPr>
      <w:rFonts w:ascii="Times New Roman" w:hAnsi="Times New Roman" w:eastAsia="宋体"/>
      <w:lang w:eastAsia="en-US"/>
    </w:rPr>
    <w:tblPr>
      <w:tblCellMar>
        <w:top w:w="0" w:type="dxa"/>
        <w:left w:w="0" w:type="dxa"/>
        <w:bottom w:w="0" w:type="dxa"/>
        <w:right w:w="0" w:type="dxa"/>
      </w:tblCellMar>
    </w:tblPr>
  </w:style>
  <w:style w:type="table" w:customStyle="1" w:styleId="132">
    <w:name w:val="Table Normal81"/>
    <w:qFormat/>
    <w:uiPriority w:val="2"/>
    <w:pPr>
      <w:widowControl w:val="0"/>
    </w:pPr>
    <w:rPr>
      <w:rFonts w:ascii="Times New Roman" w:hAnsi="Times New Roman" w:eastAsia="宋体"/>
      <w:lang w:eastAsia="en-US"/>
    </w:rPr>
    <w:tblPr>
      <w:tblCellMar>
        <w:top w:w="0" w:type="dxa"/>
        <w:left w:w="0" w:type="dxa"/>
        <w:bottom w:w="0" w:type="dxa"/>
        <w:right w:w="0" w:type="dxa"/>
      </w:tblCellMar>
    </w:tblPr>
  </w:style>
  <w:style w:type="table" w:customStyle="1" w:styleId="133">
    <w:name w:val="网格型13"/>
    <w:basedOn w:val="33"/>
    <w:qFormat/>
    <w:uiPriority w:val="0"/>
    <w:rPr>
      <w:rFonts w:ascii="Times New Roman" w:hAnsi="Times New Roman" w:eastAsia="宋体"/>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4">
    <w:name w:val="网格型111"/>
    <w:basedOn w:val="33"/>
    <w:qFormat/>
    <w:uiPriority w:val="59"/>
    <w:pPr>
      <w:widowControl w:val="0"/>
      <w:jc w:val="both"/>
    </w:pPr>
    <w:rPr>
      <w:rFonts w:ascii="Times New Roman" w:hAnsi="Times New Roman" w:eastAsia="宋体"/>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5">
    <w:name w:val="网格型21"/>
    <w:basedOn w:val="33"/>
    <w:qFormat/>
    <w:uiPriority w:val="59"/>
    <w:rPr>
      <w:rFonts w:ascii="Times New Roman" w:hAnsi="Times New Roman" w:eastAsia="宋体"/>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6">
    <w:name w:val="网格型121"/>
    <w:basedOn w:val="33"/>
    <w:qFormat/>
    <w:uiPriority w:val="59"/>
    <w:pPr>
      <w:widowControl w:val="0"/>
      <w:jc w:val="both"/>
    </w:pPr>
    <w:rPr>
      <w:rFonts w:ascii="Times New Roman" w:hAnsi="Times New Roman" w:eastAsia="宋体"/>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37">
    <w:name w:val="不明显强调3"/>
    <w:qFormat/>
    <w:uiPriority w:val="19"/>
    <w:rPr>
      <w:i/>
      <w:color w:val="595959" w:themeColor="text1" w:themeTint="A6"/>
      <w14:textFill>
        <w14:solidFill>
          <w14:schemeClr w14:val="tx1">
            <w14:lumMod w14:val="65000"/>
            <w14:lumOff w14:val="35000"/>
          </w14:schemeClr>
        </w14:solidFill>
      </w14:textFill>
    </w:rPr>
  </w:style>
  <w:style w:type="character" w:customStyle="1" w:styleId="138">
    <w:name w:val="明显强调3"/>
    <w:basedOn w:val="35"/>
    <w:qFormat/>
    <w:uiPriority w:val="21"/>
    <w:rPr>
      <w:b/>
      <w:i/>
      <w:sz w:val="24"/>
      <w:szCs w:val="24"/>
      <w:u w:val="single"/>
    </w:rPr>
  </w:style>
  <w:style w:type="character" w:customStyle="1" w:styleId="139">
    <w:name w:val="不明显参考3"/>
    <w:basedOn w:val="35"/>
    <w:qFormat/>
    <w:uiPriority w:val="31"/>
    <w:rPr>
      <w:sz w:val="24"/>
      <w:szCs w:val="24"/>
      <w:u w:val="single"/>
    </w:rPr>
  </w:style>
  <w:style w:type="character" w:customStyle="1" w:styleId="140">
    <w:name w:val="明显参考3"/>
    <w:basedOn w:val="35"/>
    <w:qFormat/>
    <w:uiPriority w:val="32"/>
    <w:rPr>
      <w:b/>
      <w:sz w:val="24"/>
      <w:u w:val="single"/>
    </w:rPr>
  </w:style>
  <w:style w:type="character" w:customStyle="1" w:styleId="141">
    <w:name w:val="书籍标题3"/>
    <w:basedOn w:val="35"/>
    <w:qFormat/>
    <w:uiPriority w:val="33"/>
    <w:rPr>
      <w:rFonts w:asciiTheme="majorHAnsi" w:hAnsiTheme="majorHAnsi" w:eastAsiaTheme="majorEastAsia"/>
      <w:b/>
      <w:i/>
      <w:sz w:val="24"/>
      <w:szCs w:val="24"/>
    </w:rPr>
  </w:style>
  <w:style w:type="paragraph" w:customStyle="1" w:styleId="142">
    <w:name w:val="TOC 标题3"/>
    <w:basedOn w:val="2"/>
    <w:next w:val="1"/>
    <w:semiHidden/>
    <w:unhideWhenUsed/>
    <w:qFormat/>
    <w:uiPriority w:val="39"/>
    <w:pPr>
      <w:numPr>
        <w:numId w:val="0"/>
      </w:numPr>
      <w:outlineLvl w:val="9"/>
    </w:pPr>
  </w:style>
  <w:style w:type="paragraph" w:customStyle="1" w:styleId="143">
    <w:name w:val="font5"/>
    <w:basedOn w:val="1"/>
    <w:qFormat/>
    <w:uiPriority w:val="0"/>
    <w:pPr>
      <w:spacing w:before="100" w:beforeAutospacing="1" w:after="100" w:afterAutospacing="1" w:line="240" w:lineRule="auto"/>
      <w:ind w:firstLine="0" w:firstLineChars="0"/>
      <w:jc w:val="left"/>
    </w:pPr>
    <w:rPr>
      <w:rFonts w:ascii="宋体" w:hAnsi="宋体" w:cs="宋体"/>
    </w:rPr>
  </w:style>
  <w:style w:type="paragraph" w:customStyle="1" w:styleId="144">
    <w:name w:val="font6"/>
    <w:basedOn w:val="1"/>
    <w:qFormat/>
    <w:uiPriority w:val="0"/>
    <w:pPr>
      <w:spacing w:before="100" w:beforeAutospacing="1" w:after="100" w:afterAutospacing="1" w:line="240" w:lineRule="auto"/>
      <w:ind w:firstLine="0" w:firstLineChars="0"/>
      <w:jc w:val="left"/>
    </w:pPr>
    <w:rPr>
      <w:rFonts w:ascii="宋体" w:hAnsi="宋体" w:cs="宋体"/>
    </w:rPr>
  </w:style>
  <w:style w:type="paragraph" w:customStyle="1" w:styleId="145">
    <w:name w:val="xl6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rPr>
  </w:style>
  <w:style w:type="paragraph" w:customStyle="1" w:styleId="146">
    <w:name w:val="xl6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rPr>
  </w:style>
  <w:style w:type="paragraph" w:customStyle="1" w:styleId="147">
    <w:name w:val="xl6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rPr>
  </w:style>
  <w:style w:type="paragraph" w:customStyle="1" w:styleId="148">
    <w:name w:val="xl6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rPr>
  </w:style>
  <w:style w:type="paragraph" w:customStyle="1" w:styleId="149">
    <w:name w:val="xl7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rPr>
  </w:style>
  <w:style w:type="paragraph" w:customStyle="1" w:styleId="150">
    <w:name w:val="xl7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rPr>
  </w:style>
  <w:style w:type="paragraph" w:customStyle="1" w:styleId="151">
    <w:name w:val="xl7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rPr>
  </w:style>
  <w:style w:type="paragraph" w:customStyle="1" w:styleId="152">
    <w:name w:val="xl73"/>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宋体" w:hAnsi="宋体" w:cs="宋体"/>
    </w:rPr>
  </w:style>
  <w:style w:type="paragraph" w:customStyle="1" w:styleId="153">
    <w:name w:val="xl74"/>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宋体" w:hAnsi="宋体" w:cs="宋体"/>
    </w:rPr>
  </w:style>
  <w:style w:type="paragraph" w:customStyle="1" w:styleId="154">
    <w:name w:val="xl75"/>
    <w:basedOn w:val="1"/>
    <w:qFormat/>
    <w:uiPriority w:val="0"/>
    <w:pPr>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rPr>
  </w:style>
  <w:style w:type="paragraph" w:customStyle="1" w:styleId="155">
    <w:name w:val="xl76"/>
    <w:basedOn w:val="1"/>
    <w:qFormat/>
    <w:uiPriority w:val="0"/>
    <w:pPr>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宋体" w:hAnsi="宋体" w:cs="宋体"/>
    </w:rPr>
  </w:style>
  <w:style w:type="paragraph" w:customStyle="1" w:styleId="156">
    <w:name w:val="xl77"/>
    <w:basedOn w:val="1"/>
    <w:qFormat/>
    <w:uiPriority w:val="0"/>
    <w:pPr>
      <w:pBdr>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rPr>
  </w:style>
  <w:style w:type="paragraph" w:customStyle="1" w:styleId="157">
    <w:name w:val="xl78"/>
    <w:basedOn w:val="1"/>
    <w:qFormat/>
    <w:uiPriority w:val="0"/>
    <w:pPr>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rPr>
  </w:style>
  <w:style w:type="paragraph" w:customStyle="1" w:styleId="158">
    <w:name w:val="xl79"/>
    <w:basedOn w:val="1"/>
    <w:qFormat/>
    <w:uiPriority w:val="0"/>
    <w:pPr>
      <w:pBdr>
        <w:bottom w:val="single" w:color="auto" w:sz="4" w:space="0"/>
      </w:pBdr>
      <w:spacing w:before="100" w:beforeAutospacing="1" w:after="100" w:afterAutospacing="1" w:line="240" w:lineRule="auto"/>
      <w:ind w:firstLine="0" w:firstLineChars="0"/>
      <w:jc w:val="center"/>
    </w:pPr>
    <w:rPr>
      <w:rFonts w:ascii="宋体" w:hAnsi="宋体" w:cs="宋体"/>
    </w:rPr>
  </w:style>
  <w:style w:type="paragraph" w:customStyle="1" w:styleId="159">
    <w:name w:val="xl8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rPr>
  </w:style>
  <w:style w:type="paragraph" w:customStyle="1" w:styleId="160">
    <w:name w:val="xl81"/>
    <w:basedOn w:val="1"/>
    <w:qFormat/>
    <w:uiPriority w:val="0"/>
    <w:pPr>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rPr>
  </w:style>
  <w:style w:type="paragraph" w:customStyle="1" w:styleId="161">
    <w:name w:val="xl82"/>
    <w:basedOn w:val="1"/>
    <w:qFormat/>
    <w:uiPriority w:val="0"/>
    <w:pPr>
      <w:spacing w:before="100" w:beforeAutospacing="1" w:after="100" w:afterAutospacing="1" w:line="240" w:lineRule="auto"/>
      <w:ind w:firstLine="0" w:firstLineChars="0"/>
      <w:jc w:val="center"/>
    </w:pPr>
    <w:rPr>
      <w:rFonts w:ascii="宋体" w:hAnsi="宋体" w:cs="宋体"/>
    </w:rPr>
  </w:style>
  <w:style w:type="paragraph" w:customStyle="1" w:styleId="162">
    <w:name w:val="xl8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rPr>
  </w:style>
  <w:style w:type="character" w:customStyle="1" w:styleId="163">
    <w:name w:val="不明显强调4"/>
    <w:qFormat/>
    <w:uiPriority w:val="19"/>
    <w:rPr>
      <w:i/>
      <w:color w:val="595959" w:themeColor="text1" w:themeTint="A6"/>
      <w14:textFill>
        <w14:solidFill>
          <w14:schemeClr w14:val="tx1">
            <w14:lumMod w14:val="65000"/>
            <w14:lumOff w14:val="35000"/>
          </w14:schemeClr>
        </w14:solidFill>
      </w14:textFill>
    </w:rPr>
  </w:style>
  <w:style w:type="character" w:customStyle="1" w:styleId="164">
    <w:name w:val="明显强调4"/>
    <w:basedOn w:val="35"/>
    <w:qFormat/>
    <w:uiPriority w:val="21"/>
    <w:rPr>
      <w:b/>
      <w:i/>
      <w:sz w:val="24"/>
      <w:szCs w:val="24"/>
      <w:u w:val="single"/>
    </w:rPr>
  </w:style>
  <w:style w:type="character" w:customStyle="1" w:styleId="165">
    <w:name w:val="不明显参考4"/>
    <w:basedOn w:val="35"/>
    <w:qFormat/>
    <w:uiPriority w:val="31"/>
    <w:rPr>
      <w:sz w:val="24"/>
      <w:szCs w:val="24"/>
      <w:u w:val="single"/>
    </w:rPr>
  </w:style>
  <w:style w:type="character" w:customStyle="1" w:styleId="166">
    <w:name w:val="明显参考4"/>
    <w:basedOn w:val="35"/>
    <w:qFormat/>
    <w:uiPriority w:val="32"/>
    <w:rPr>
      <w:b/>
      <w:sz w:val="24"/>
      <w:u w:val="single"/>
    </w:rPr>
  </w:style>
  <w:style w:type="character" w:customStyle="1" w:styleId="167">
    <w:name w:val="书籍标题4"/>
    <w:basedOn w:val="35"/>
    <w:qFormat/>
    <w:uiPriority w:val="33"/>
    <w:rPr>
      <w:rFonts w:asciiTheme="majorHAnsi" w:hAnsiTheme="majorHAnsi" w:eastAsiaTheme="majorEastAsia"/>
      <w:b/>
      <w:i/>
      <w:sz w:val="24"/>
      <w:szCs w:val="24"/>
    </w:rPr>
  </w:style>
  <w:style w:type="paragraph" w:customStyle="1" w:styleId="168">
    <w:name w:val="TOC 标题4"/>
    <w:basedOn w:val="2"/>
    <w:next w:val="1"/>
    <w:semiHidden/>
    <w:unhideWhenUsed/>
    <w:qFormat/>
    <w:uiPriority w:val="39"/>
    <w:pPr>
      <w:numPr>
        <w:numId w:val="0"/>
      </w:numPr>
      <w:outlineLvl w:val="9"/>
    </w:pPr>
  </w:style>
  <w:style w:type="paragraph" w:customStyle="1" w:styleId="169">
    <w:name w:val="xl65"/>
    <w:basedOn w:val="1"/>
    <w:qFormat/>
    <w:uiPriority w:val="0"/>
    <w:pPr>
      <w:spacing w:before="100" w:beforeAutospacing="1" w:after="100" w:afterAutospacing="1" w:line="240" w:lineRule="auto"/>
      <w:ind w:firstLine="0" w:firstLineChars="0"/>
      <w:jc w:val="center"/>
    </w:pPr>
    <w:rPr>
      <w:rFonts w:ascii="宋体" w:hAnsi="宋体" w:cs="宋体"/>
    </w:rPr>
  </w:style>
  <w:style w:type="character" w:customStyle="1" w:styleId="170">
    <w:name w:val="Subtle Emphasis"/>
    <w:qFormat/>
    <w:uiPriority w:val="19"/>
    <w:rPr>
      <w:i/>
      <w:color w:val="595959" w:themeColor="text1" w:themeTint="A6"/>
      <w14:textFill>
        <w14:solidFill>
          <w14:schemeClr w14:val="tx1">
            <w14:lumMod w14:val="65000"/>
            <w14:lumOff w14:val="35000"/>
          </w14:schemeClr>
        </w14:solidFill>
      </w14:textFill>
    </w:rPr>
  </w:style>
  <w:style w:type="character" w:customStyle="1" w:styleId="171">
    <w:name w:val="Intense Emphasis"/>
    <w:basedOn w:val="35"/>
    <w:qFormat/>
    <w:uiPriority w:val="21"/>
    <w:rPr>
      <w:b/>
      <w:i/>
      <w:sz w:val="24"/>
      <w:szCs w:val="24"/>
      <w:u w:val="single"/>
    </w:rPr>
  </w:style>
  <w:style w:type="character" w:customStyle="1" w:styleId="172">
    <w:name w:val="Subtle Reference"/>
    <w:basedOn w:val="35"/>
    <w:qFormat/>
    <w:uiPriority w:val="31"/>
    <w:rPr>
      <w:sz w:val="24"/>
      <w:szCs w:val="24"/>
      <w:u w:val="single"/>
    </w:rPr>
  </w:style>
  <w:style w:type="character" w:customStyle="1" w:styleId="173">
    <w:name w:val="Intense Reference"/>
    <w:basedOn w:val="35"/>
    <w:qFormat/>
    <w:uiPriority w:val="32"/>
    <w:rPr>
      <w:b/>
      <w:sz w:val="24"/>
      <w:u w:val="single"/>
    </w:rPr>
  </w:style>
  <w:style w:type="character" w:customStyle="1" w:styleId="174">
    <w:name w:val="Book Title"/>
    <w:basedOn w:val="35"/>
    <w:qFormat/>
    <w:uiPriority w:val="33"/>
    <w:rPr>
      <w:rFonts w:asciiTheme="majorHAnsi" w:hAnsiTheme="majorHAnsi" w:eastAsiaTheme="majorEastAsia"/>
      <w:b/>
      <w:i/>
      <w:sz w:val="24"/>
      <w:szCs w:val="24"/>
    </w:rPr>
  </w:style>
  <w:style w:type="paragraph" w:customStyle="1" w:styleId="175">
    <w:name w:val="TOC Heading"/>
    <w:basedOn w:val="2"/>
    <w:next w:val="1"/>
    <w:semiHidden/>
    <w:unhideWhenUsed/>
    <w:qFormat/>
    <w:uiPriority w:val="39"/>
    <w:pPr>
      <w:numPr>
        <w:numId w:val="0"/>
      </w:numPr>
      <w:outlineLvl w:val="9"/>
    </w:pPr>
  </w:style>
  <w:style w:type="paragraph" w:customStyle="1" w:styleId="176">
    <w:name w:val="报告文本"/>
    <w:basedOn w:val="1"/>
    <w:qFormat/>
    <w:uiPriority w:val="0"/>
    <w:pPr>
      <w:spacing w:line="360" w:lineRule="auto"/>
      <w:ind w:firstLine="200" w:firstLineChars="200"/>
      <w:jc w:val="left"/>
    </w:pPr>
    <w:rPr>
      <w:sz w:val="24"/>
      <w:lang w:val="zh-CN"/>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2.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2.png"/><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3375BAA-F21E-41E5-9056-07C3DB28E9B1}">
  <ds:schemaRefs/>
</ds:datastoreItem>
</file>

<file path=docProps/app.xml><?xml version="1.0" encoding="utf-8"?>
<Properties xmlns="http://schemas.openxmlformats.org/officeDocument/2006/extended-properties" xmlns:vt="http://schemas.openxmlformats.org/officeDocument/2006/docPropsVTypes">
  <Template>Normal.dotm</Template>
  <Company>DELL</Company>
  <Pages>122</Pages>
  <Words>69927</Words>
  <Characters>80106</Characters>
  <Lines>1255</Lines>
  <Paragraphs>353</Paragraphs>
  <TotalTime>20</TotalTime>
  <ScaleCrop>false</ScaleCrop>
  <LinksUpToDate>false</LinksUpToDate>
  <CharactersWithSpaces>81952</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2018-10-19T01:32:00Z</dcterms:created>
  <dc:creator>L</dc:creator>
  <cp:lastModifiedBy>Administrator</cp:lastModifiedBy>
  <cp:lastPrinted>2019-08-03T08:26:00Z</cp:lastPrinted>
  <dcterms:modified xsi:type="dcterms:W3CDTF">2020-04-10T06:32:24Z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