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line="590" w:lineRule="exact"/>
        <w:jc w:val="both"/>
        <w:textAlignment w:val="baseline"/>
        <w:outlineLvl w:val="1"/>
        <w:rPr>
          <w:rFonts w:ascii="宋体" w:hAnsi="宋体" w:eastAsia="方正小标宋简体" w:cs="方正小标宋简体"/>
          <w:kern w:val="0"/>
          <w:sz w:val="44"/>
          <w:szCs w:val="44"/>
        </w:rPr>
      </w:pPr>
    </w:p>
    <w:p>
      <w:pPr>
        <w:keepNext w:val="0"/>
        <w:keepLines w:val="0"/>
        <w:pageBreakBefore w:val="0"/>
        <w:widowControl/>
        <w:kinsoku/>
        <w:wordWrap w:val="0"/>
        <w:overflowPunct/>
        <w:topLinePunct w:val="0"/>
        <w:autoSpaceDE/>
        <w:autoSpaceDN/>
        <w:bidi w:val="0"/>
        <w:adjustRightInd/>
        <w:snapToGrid/>
        <w:spacing w:line="590" w:lineRule="exact"/>
        <w:jc w:val="center"/>
        <w:textAlignment w:val="baseline"/>
        <w:outlineLvl w:val="1"/>
        <w:rPr>
          <w:rFonts w:ascii="宋体" w:hAnsi="宋体" w:eastAsia="方正小标宋简体" w:cs="方正小标宋简体"/>
          <w:kern w:val="0"/>
          <w:sz w:val="44"/>
          <w:szCs w:val="44"/>
        </w:rPr>
      </w:pPr>
    </w:p>
    <w:p>
      <w:pPr>
        <w:keepNext w:val="0"/>
        <w:keepLines w:val="0"/>
        <w:pageBreakBefore w:val="0"/>
        <w:kinsoku/>
        <w:overflowPunct/>
        <w:topLinePunct w:val="0"/>
        <w:autoSpaceDE/>
        <w:autoSpaceDN/>
        <w:bidi w:val="0"/>
        <w:adjustRightInd/>
        <w:snapToGrid/>
        <w:spacing w:line="590" w:lineRule="exact"/>
        <w:jc w:val="center"/>
        <w:rPr>
          <w:rFonts w:hint="eastAsia" w:ascii="宋体" w:hAnsi="宋体" w:eastAsia="方正小标宋简体" w:cs="方正小标宋简体"/>
          <w:kern w:val="0"/>
          <w:sz w:val="44"/>
          <w:szCs w:val="44"/>
        </w:rPr>
      </w:pPr>
      <w:r>
        <w:rPr>
          <w:rFonts w:hint="eastAsia" w:ascii="宋体" w:hAnsi="宋体" w:eastAsia="方正小标宋简体" w:cs="方正小标宋简体"/>
          <w:kern w:val="0"/>
          <w:sz w:val="44"/>
          <w:szCs w:val="44"/>
        </w:rPr>
        <w:t>《兴宁市发展和改革局、兴宁市水务局关于</w:t>
      </w:r>
    </w:p>
    <w:p>
      <w:pPr>
        <w:keepNext w:val="0"/>
        <w:keepLines w:val="0"/>
        <w:pageBreakBefore w:val="0"/>
        <w:kinsoku/>
        <w:overflowPunct/>
        <w:topLinePunct w:val="0"/>
        <w:autoSpaceDE/>
        <w:autoSpaceDN/>
        <w:bidi w:val="0"/>
        <w:adjustRightInd/>
        <w:snapToGrid/>
        <w:spacing w:line="590" w:lineRule="exact"/>
        <w:jc w:val="center"/>
        <w:rPr>
          <w:rFonts w:hint="eastAsia" w:ascii="宋体" w:hAnsi="宋体" w:eastAsia="方正小标宋简体" w:cs="方正小标宋简体"/>
          <w:sz w:val="44"/>
          <w:szCs w:val="44"/>
        </w:rPr>
      </w:pPr>
      <w:r>
        <w:rPr>
          <w:rFonts w:hint="eastAsia" w:ascii="宋体" w:hAnsi="宋体" w:eastAsia="方正小标宋简体" w:cs="方正小标宋简体"/>
          <w:kern w:val="0"/>
          <w:sz w:val="44"/>
          <w:szCs w:val="44"/>
        </w:rPr>
        <w:t>实行</w:t>
      </w:r>
      <w:r>
        <w:rPr>
          <w:rFonts w:hint="eastAsia" w:ascii="宋体" w:hAnsi="宋体" w:eastAsia="方正小标宋简体" w:cs="方正小标宋简体"/>
          <w:sz w:val="44"/>
          <w:szCs w:val="44"/>
        </w:rPr>
        <w:t>城镇非居民用水超定额超计划</w:t>
      </w:r>
    </w:p>
    <w:p>
      <w:pPr>
        <w:keepNext w:val="0"/>
        <w:keepLines w:val="0"/>
        <w:pageBreakBefore w:val="0"/>
        <w:kinsoku/>
        <w:overflowPunct/>
        <w:topLinePunct w:val="0"/>
        <w:autoSpaceDE/>
        <w:autoSpaceDN/>
        <w:bidi w:val="0"/>
        <w:adjustRightInd/>
        <w:snapToGrid/>
        <w:spacing w:line="590" w:lineRule="exact"/>
        <w:jc w:val="center"/>
        <w:rPr>
          <w:rFonts w:hint="eastAsia" w:ascii="宋体" w:hAnsi="宋体" w:eastAsia="方正小标宋简体" w:cs="方正小标宋简体"/>
          <w:kern w:val="0"/>
          <w:sz w:val="44"/>
          <w:szCs w:val="44"/>
        </w:rPr>
      </w:pPr>
      <w:r>
        <w:rPr>
          <w:rFonts w:hint="eastAsia" w:ascii="宋体" w:hAnsi="宋体" w:eastAsia="方正小标宋简体" w:cs="方正小标宋简体"/>
          <w:sz w:val="44"/>
          <w:szCs w:val="44"/>
        </w:rPr>
        <w:t>累进加价制度</w:t>
      </w:r>
      <w:r>
        <w:rPr>
          <w:rFonts w:hint="eastAsia" w:ascii="宋体" w:hAnsi="宋体" w:eastAsia="方正小标宋简体" w:cs="方正小标宋简体"/>
          <w:kern w:val="0"/>
          <w:sz w:val="44"/>
          <w:szCs w:val="44"/>
        </w:rPr>
        <w:t>的通知》政策解读</w:t>
      </w:r>
    </w:p>
    <w:p>
      <w:pPr>
        <w:keepNext w:val="0"/>
        <w:keepLines w:val="0"/>
        <w:pageBreakBefore w:val="0"/>
        <w:kinsoku/>
        <w:overflowPunct/>
        <w:topLinePunct w:val="0"/>
        <w:autoSpaceDE/>
        <w:autoSpaceDN/>
        <w:bidi w:val="0"/>
        <w:adjustRightInd/>
        <w:snapToGrid/>
        <w:spacing w:line="590" w:lineRule="exact"/>
        <w:jc w:val="center"/>
        <w:rPr>
          <w:rFonts w:hint="eastAsia" w:ascii="宋体" w:hAnsi="宋体" w:eastAsia="方正小标宋简体" w:cs="方正小标宋简体"/>
          <w:kern w:val="0"/>
          <w:sz w:val="44"/>
          <w:szCs w:val="44"/>
        </w:rPr>
      </w:pPr>
    </w:p>
    <w:p>
      <w:pPr>
        <w:keepNext w:val="0"/>
        <w:keepLines w:val="0"/>
        <w:pageBreakBefore w:val="0"/>
        <w:widowControl/>
        <w:kinsoku/>
        <w:overflowPunct/>
        <w:topLinePunct w:val="0"/>
        <w:autoSpaceDE/>
        <w:autoSpaceDN/>
        <w:bidi w:val="0"/>
        <w:adjustRightInd/>
        <w:snapToGrid/>
        <w:spacing w:line="590" w:lineRule="exact"/>
        <w:ind w:firstLine="640" w:firstLineChars="200"/>
        <w:jc w:val="left"/>
        <w:rPr>
          <w:rFonts w:ascii="宋体" w:hAnsi="宋体" w:eastAsia="方正仿宋简体" w:cs="方正仿宋简体"/>
          <w:kern w:val="0"/>
          <w:sz w:val="32"/>
          <w:szCs w:val="32"/>
        </w:rPr>
      </w:pPr>
      <w:r>
        <w:rPr>
          <w:rFonts w:hint="eastAsia" w:ascii="宋体" w:hAnsi="宋体" w:eastAsia="方正仿宋简体" w:cs="方正仿宋简体"/>
          <w:kern w:val="0"/>
          <w:sz w:val="32"/>
          <w:szCs w:val="32"/>
        </w:rPr>
        <w:t>经市人民政府同意，市发展改革局、市水务局联合印发《关于实行城镇</w:t>
      </w:r>
      <w:r>
        <w:rPr>
          <w:rFonts w:hint="eastAsia" w:ascii="宋体" w:hAnsi="宋体" w:eastAsia="方正仿宋简体" w:cs="方正仿宋简体"/>
          <w:sz w:val="32"/>
          <w:szCs w:val="32"/>
        </w:rPr>
        <w:t>非居民用水超定额超计划累进加价制度</w:t>
      </w:r>
      <w:r>
        <w:rPr>
          <w:rFonts w:hint="eastAsia" w:ascii="宋体" w:hAnsi="宋体" w:eastAsia="方正仿宋简体" w:cs="方正仿宋简体"/>
          <w:kern w:val="0"/>
          <w:sz w:val="32"/>
          <w:szCs w:val="32"/>
        </w:rPr>
        <w:t>的通知》（兴发改[2020] 170 号）于2021年1月1日正式施行，现就有关政策解读如下。</w:t>
      </w:r>
    </w:p>
    <w:p>
      <w:pPr>
        <w:keepNext w:val="0"/>
        <w:keepLines w:val="0"/>
        <w:pageBreakBefore w:val="0"/>
        <w:widowControl/>
        <w:kinsoku/>
        <w:overflowPunct/>
        <w:topLinePunct w:val="0"/>
        <w:autoSpaceDE/>
        <w:autoSpaceDN/>
        <w:bidi w:val="0"/>
        <w:adjustRightInd/>
        <w:snapToGrid/>
        <w:spacing w:line="590" w:lineRule="exact"/>
        <w:ind w:firstLine="640" w:firstLineChars="200"/>
        <w:jc w:val="left"/>
        <w:rPr>
          <w:rFonts w:hint="eastAsia" w:ascii="宋体" w:hAnsi="宋体" w:eastAsia="黑体" w:cs="黑体"/>
          <w:kern w:val="0"/>
          <w:sz w:val="32"/>
          <w:szCs w:val="32"/>
        </w:rPr>
      </w:pPr>
      <w:r>
        <w:rPr>
          <w:rFonts w:hint="eastAsia" w:ascii="宋体" w:hAnsi="宋体" w:eastAsia="黑体" w:cs="黑体"/>
          <w:kern w:val="0"/>
          <w:sz w:val="32"/>
          <w:szCs w:val="32"/>
        </w:rPr>
        <w:t>一、政策制定的背景和依据</w:t>
      </w:r>
    </w:p>
    <w:p>
      <w:pPr>
        <w:keepNext w:val="0"/>
        <w:keepLines w:val="0"/>
        <w:pageBreakBefore w:val="0"/>
        <w:widowControl/>
        <w:kinsoku/>
        <w:overflowPunct/>
        <w:topLinePunct w:val="0"/>
        <w:autoSpaceDE/>
        <w:autoSpaceDN/>
        <w:bidi w:val="0"/>
        <w:adjustRightInd/>
        <w:snapToGrid/>
        <w:spacing w:line="590" w:lineRule="exact"/>
        <w:ind w:firstLine="640" w:firstLineChars="200"/>
        <w:jc w:val="left"/>
        <w:rPr>
          <w:rFonts w:ascii="宋体" w:hAnsi="宋体" w:eastAsia="方正黑体简体" w:cs="方正黑体简体"/>
          <w:sz w:val="32"/>
          <w:szCs w:val="32"/>
        </w:rPr>
      </w:pPr>
      <w:r>
        <w:rPr>
          <w:rFonts w:hint="eastAsia" w:ascii="宋体" w:hAnsi="宋体" w:eastAsia="方正仿宋简体" w:cs="方正仿宋简体"/>
          <w:sz w:val="32"/>
          <w:szCs w:val="32"/>
        </w:rPr>
        <w:t>实行</w:t>
      </w:r>
      <w:r>
        <w:rPr>
          <w:rFonts w:hint="eastAsia" w:ascii="宋体" w:hAnsi="宋体" w:eastAsia="方正仿宋简体" w:cs="方正仿宋简体"/>
          <w:sz w:val="32"/>
          <w:szCs w:val="32"/>
        </w:rPr>
        <w:t>非居民用水超定额超计划累进加价制度是国家和省推进价格机制改革的一项任务，要求各地在2020年底前出台政策执行。为贯彻落实国家和省“节水优先、空间均衡、系统治理、两手发力”的新时期治水方针，进一步落实最严格水资源管理制度，加强节约用水管理。根据国家发展改革委、 住房城乡建设部《关于加快建立健全城镇非居民用水超定额累进加价制度的指导意见》（发改价格〔2017〕1792号）和省发展改革委、水利厅、住房和城乡建设厅《关于全面推行和完善非居民用水超定额超计划累进加价制度的指导意见》（粤发改价格〔2015〕805号）等规定，决定在兴宁市城区实行非居民用水超定额超计划累进加价制度。</w:t>
      </w:r>
    </w:p>
    <w:p>
      <w:pPr>
        <w:keepNext w:val="0"/>
        <w:keepLines w:val="0"/>
        <w:pageBreakBefore w:val="0"/>
        <w:widowControl/>
        <w:kinsoku/>
        <w:overflowPunct/>
        <w:topLinePunct w:val="0"/>
        <w:autoSpaceDE/>
        <w:autoSpaceDN/>
        <w:bidi w:val="0"/>
        <w:adjustRightInd/>
        <w:snapToGrid/>
        <w:spacing w:line="590" w:lineRule="exact"/>
        <w:ind w:firstLine="640" w:firstLineChars="200"/>
        <w:jc w:val="left"/>
        <w:rPr>
          <w:rFonts w:hint="eastAsia" w:ascii="宋体" w:hAnsi="宋体" w:eastAsia="黑体" w:cs="黑体"/>
          <w:kern w:val="0"/>
          <w:sz w:val="32"/>
          <w:szCs w:val="32"/>
        </w:rPr>
      </w:pPr>
      <w:r>
        <w:rPr>
          <w:rFonts w:hint="eastAsia" w:ascii="宋体" w:hAnsi="宋体" w:eastAsia="黑体" w:cs="黑体"/>
          <w:kern w:val="0"/>
          <w:sz w:val="32"/>
          <w:szCs w:val="32"/>
        </w:rPr>
        <w:t>二、政策实施范围</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firstLine="800" w:firstLineChars="250"/>
        <w:jc w:val="left"/>
        <w:rPr>
          <w:rFonts w:ascii="宋体" w:hAnsi="宋体" w:eastAsia="方正黑体简体" w:cs="方正黑体简体"/>
          <w:kern w:val="0"/>
          <w:sz w:val="32"/>
          <w:szCs w:val="32"/>
        </w:rPr>
      </w:pPr>
      <w:r>
        <w:rPr>
          <w:rFonts w:hint="eastAsia" w:ascii="宋体" w:hAnsi="宋体" w:eastAsia="方正仿宋简体" w:cs="方正仿宋简体"/>
          <w:sz w:val="32"/>
          <w:szCs w:val="32"/>
        </w:rPr>
        <w:t>实行超定额超计划累进加价制度</w:t>
      </w:r>
      <w:r>
        <w:rPr>
          <w:rFonts w:hint="eastAsia" w:ascii="宋体" w:hAnsi="宋体" w:eastAsia="方正黑体简体" w:cs="方正黑体简体"/>
          <w:kern w:val="0"/>
          <w:sz w:val="32"/>
          <w:szCs w:val="32"/>
        </w:rPr>
        <w:t>的范围为</w:t>
      </w:r>
      <w:r>
        <w:rPr>
          <w:rFonts w:hint="eastAsia" w:ascii="宋体" w:hAnsi="宋体" w:eastAsia="方正仿宋简体" w:cs="方正仿宋简体"/>
          <w:sz w:val="32"/>
          <w:szCs w:val="32"/>
        </w:rPr>
        <w:t>城镇月用水量超过1万立方米的非居民用水大户（含特种行业用水户、淘汰类限制类企业用水户）。</w:t>
      </w:r>
    </w:p>
    <w:p>
      <w:pPr>
        <w:keepNext w:val="0"/>
        <w:keepLines w:val="0"/>
        <w:pageBreakBefore w:val="0"/>
        <w:widowControl/>
        <w:kinsoku/>
        <w:overflowPunct/>
        <w:topLinePunct w:val="0"/>
        <w:autoSpaceDE/>
        <w:autoSpaceDN/>
        <w:bidi w:val="0"/>
        <w:adjustRightInd/>
        <w:snapToGrid/>
        <w:spacing w:line="590" w:lineRule="exact"/>
        <w:ind w:firstLine="640" w:firstLineChars="200"/>
        <w:jc w:val="left"/>
        <w:rPr>
          <w:rFonts w:hint="eastAsia" w:ascii="宋体" w:hAnsi="宋体" w:eastAsia="黑体" w:cs="黑体"/>
          <w:kern w:val="0"/>
          <w:sz w:val="32"/>
          <w:szCs w:val="32"/>
        </w:rPr>
      </w:pPr>
      <w:r>
        <w:rPr>
          <w:rFonts w:hint="eastAsia" w:ascii="宋体" w:hAnsi="宋体" w:eastAsia="黑体" w:cs="黑体"/>
          <w:kern w:val="0"/>
          <w:sz w:val="32"/>
          <w:szCs w:val="32"/>
        </w:rPr>
        <w:t>三、对超定额超计划分级水量如何规定</w:t>
      </w:r>
    </w:p>
    <w:p>
      <w:pPr>
        <w:keepNext w:val="0"/>
        <w:keepLines w:val="0"/>
        <w:pageBreakBefore w:val="0"/>
        <w:kinsoku/>
        <w:overflowPunct/>
        <w:topLinePunct w:val="0"/>
        <w:autoSpaceDE/>
        <w:autoSpaceDN/>
        <w:bidi w:val="0"/>
        <w:adjustRightInd/>
        <w:snapToGrid/>
        <w:spacing w:line="590" w:lineRule="exact"/>
        <w:ind w:firstLine="640" w:firstLineChars="200"/>
        <w:rPr>
          <w:rFonts w:ascii="宋体" w:hAnsi="宋体" w:eastAsia="楷体" w:cs="楷体"/>
          <w:sz w:val="32"/>
          <w:szCs w:val="32"/>
        </w:rPr>
      </w:pPr>
      <w:r>
        <w:rPr>
          <w:rFonts w:hint="eastAsia" w:ascii="宋体" w:hAnsi="宋体" w:eastAsia="方正仿宋简体" w:cs="方正仿宋简体"/>
          <w:sz w:val="32"/>
          <w:szCs w:val="32"/>
        </w:rPr>
        <w:t>非居民用水计量水量分为</w:t>
      </w:r>
      <w:r>
        <w:rPr>
          <w:rFonts w:hint="eastAsia" w:ascii="宋体" w:hAnsi="宋体" w:eastAsia="楷体" w:cs="楷体"/>
          <w:sz w:val="32"/>
          <w:szCs w:val="32"/>
        </w:rPr>
        <w:t>四级。</w:t>
      </w:r>
      <w:r>
        <w:rPr>
          <w:rFonts w:hint="eastAsia" w:ascii="宋体" w:hAnsi="宋体" w:eastAsia="方正仿宋简体" w:cs="方正仿宋简体"/>
          <w:sz w:val="32"/>
          <w:szCs w:val="32"/>
        </w:rPr>
        <w:t>第一级水量基数为定额水量；第二级水量为超计划或者超定额用水不足20%（含20%）的部分；第三级水量超计划或者超定额用水20%以上不足40%（含40%）的部分；第四级超计划或者超定额用水40%以上的部分。</w:t>
      </w:r>
    </w:p>
    <w:p>
      <w:pPr>
        <w:keepNext w:val="0"/>
        <w:keepLines w:val="0"/>
        <w:pageBreakBefore w:val="0"/>
        <w:widowControl/>
        <w:kinsoku/>
        <w:overflowPunct/>
        <w:topLinePunct w:val="0"/>
        <w:autoSpaceDE/>
        <w:autoSpaceDN/>
        <w:bidi w:val="0"/>
        <w:adjustRightInd/>
        <w:snapToGrid/>
        <w:spacing w:line="590" w:lineRule="exact"/>
        <w:ind w:firstLine="640" w:firstLineChars="200"/>
        <w:jc w:val="left"/>
        <w:rPr>
          <w:rFonts w:hint="eastAsia" w:ascii="宋体" w:hAnsi="宋体" w:eastAsia="黑体" w:cs="黑体"/>
          <w:kern w:val="0"/>
          <w:sz w:val="32"/>
          <w:szCs w:val="32"/>
        </w:rPr>
      </w:pPr>
      <w:r>
        <w:rPr>
          <w:rFonts w:hint="eastAsia" w:ascii="宋体" w:hAnsi="宋体" w:eastAsia="黑体" w:cs="黑体"/>
          <w:kern w:val="0"/>
          <w:sz w:val="32"/>
          <w:szCs w:val="32"/>
        </w:rPr>
        <w:t>四、对超定额超计划水量加价标准如何规定</w:t>
      </w:r>
    </w:p>
    <w:p>
      <w:pPr>
        <w:keepNext w:val="0"/>
        <w:keepLines w:val="0"/>
        <w:pageBreakBefore w:val="0"/>
        <w:kinsoku/>
        <w:overflowPunct/>
        <w:topLinePunct w:val="0"/>
        <w:autoSpaceDE/>
        <w:autoSpaceDN/>
        <w:bidi w:val="0"/>
        <w:adjustRightInd/>
        <w:snapToGrid/>
        <w:spacing w:line="590" w:lineRule="exact"/>
        <w:ind w:firstLine="640" w:firstLineChars="200"/>
        <w:rPr>
          <w:rFonts w:ascii="宋体" w:hAnsi="宋体" w:eastAsia="楷体" w:cs="楷体"/>
          <w:sz w:val="32"/>
          <w:szCs w:val="32"/>
        </w:rPr>
      </w:pPr>
      <w:r>
        <w:rPr>
          <w:rFonts w:hint="eastAsia" w:ascii="宋体" w:hAnsi="宋体" w:eastAsia="方正仿宋简体" w:cs="方正仿宋简体"/>
          <w:sz w:val="32"/>
          <w:szCs w:val="32"/>
        </w:rPr>
        <w:t>超定额超计划用水的部分按用水类别和超计划用水幅度，按累进级数分为四级：第一级定额范围内按基准水价收费；第二级的水量按基准水价加收100%征收；第三级水量按基准水价加收150%征收；第四级水量按基准水价加收200%征收；对限制类、淘汰类企业用水实行高额累进加价。加价额在非居民用水超定额、超计划累进加价各级的基础上，分别加收10%征收。</w:t>
      </w:r>
    </w:p>
    <w:p>
      <w:pPr>
        <w:keepNext w:val="0"/>
        <w:keepLines w:val="0"/>
        <w:pageBreakBefore w:val="0"/>
        <w:widowControl/>
        <w:kinsoku/>
        <w:overflowPunct/>
        <w:topLinePunct w:val="0"/>
        <w:autoSpaceDE/>
        <w:autoSpaceDN/>
        <w:bidi w:val="0"/>
        <w:adjustRightInd/>
        <w:snapToGrid/>
        <w:spacing w:line="590" w:lineRule="exact"/>
        <w:ind w:firstLine="640" w:firstLineChars="200"/>
        <w:jc w:val="left"/>
        <w:rPr>
          <w:rFonts w:hint="eastAsia" w:ascii="宋体" w:hAnsi="宋体" w:eastAsia="黑体" w:cs="黑体"/>
          <w:kern w:val="0"/>
          <w:sz w:val="32"/>
          <w:szCs w:val="32"/>
        </w:rPr>
      </w:pPr>
      <w:r>
        <w:rPr>
          <w:rFonts w:hint="eastAsia" w:ascii="宋体" w:hAnsi="宋体" w:eastAsia="黑体" w:cs="黑体"/>
          <w:kern w:val="0"/>
          <w:sz w:val="32"/>
          <w:szCs w:val="32"/>
        </w:rPr>
        <w:t>五、相关解读</w:t>
      </w:r>
    </w:p>
    <w:p>
      <w:pPr>
        <w:keepNext w:val="0"/>
        <w:keepLines w:val="0"/>
        <w:pageBreakBefore w:val="0"/>
        <w:kinsoku/>
        <w:overflowPunct/>
        <w:topLinePunct w:val="0"/>
        <w:autoSpaceDE/>
        <w:autoSpaceDN/>
        <w:bidi w:val="0"/>
        <w:adjustRightInd/>
        <w:snapToGrid/>
        <w:spacing w:line="590" w:lineRule="exact"/>
        <w:ind w:firstLine="640" w:firstLineChars="200"/>
        <w:rPr>
          <w:rFonts w:hint="eastAsia" w:ascii="宋体" w:hAnsi="宋体" w:eastAsia="楷体" w:cs="楷体"/>
          <w:sz w:val="32"/>
          <w:szCs w:val="32"/>
        </w:rPr>
      </w:pPr>
      <w:r>
        <w:rPr>
          <w:rFonts w:hint="eastAsia" w:ascii="宋体" w:hAnsi="宋体" w:eastAsia="楷体" w:cs="楷体"/>
          <w:sz w:val="32"/>
          <w:szCs w:val="32"/>
        </w:rPr>
        <w:t>（一）对核定用水定额（计划）的职责分工</w:t>
      </w:r>
    </w:p>
    <w:p>
      <w:pPr>
        <w:keepNext w:val="0"/>
        <w:keepLines w:val="0"/>
        <w:pageBreakBefore w:val="0"/>
        <w:kinsoku/>
        <w:overflowPunct/>
        <w:topLinePunct w:val="0"/>
        <w:autoSpaceDE/>
        <w:autoSpaceDN/>
        <w:bidi w:val="0"/>
        <w:adjustRightInd/>
        <w:snapToGrid/>
        <w:spacing w:line="59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市发展改革局主要负责制定非居民用户超定额超计划用水累进加价征收标准等工作；市水务局主要做好定额用水、计划用水以及超定额超计划累进加价征收管理等工作；其它部门及供水部门要配合做好超定额超计划累进加价制度的实施工作。</w:t>
      </w:r>
    </w:p>
    <w:p>
      <w:pPr>
        <w:keepNext w:val="0"/>
        <w:keepLines w:val="0"/>
        <w:pageBreakBefore w:val="0"/>
        <w:numPr>
          <w:ilvl w:val="0"/>
          <w:numId w:val="1"/>
        </w:numPr>
        <w:kinsoku/>
        <w:overflowPunct/>
        <w:topLinePunct w:val="0"/>
        <w:autoSpaceDE/>
        <w:autoSpaceDN/>
        <w:bidi w:val="0"/>
        <w:adjustRightInd/>
        <w:snapToGrid/>
        <w:spacing w:line="590" w:lineRule="exact"/>
        <w:ind w:firstLine="640" w:firstLineChars="200"/>
        <w:rPr>
          <w:rFonts w:ascii="宋体" w:hAnsi="宋体" w:eastAsia="方正仿宋简体" w:cs="方正仿宋简体"/>
          <w:sz w:val="32"/>
          <w:szCs w:val="32"/>
        </w:rPr>
      </w:pPr>
      <w:r>
        <w:rPr>
          <w:rFonts w:hint="eastAsia" w:ascii="宋体" w:hAnsi="宋体" w:eastAsia="楷体" w:cs="楷体"/>
          <w:sz w:val="32"/>
          <w:szCs w:val="32"/>
        </w:rPr>
        <w:t>用水定额（计划）的核定办法</w:t>
      </w:r>
    </w:p>
    <w:p>
      <w:pPr>
        <w:keepNext w:val="0"/>
        <w:keepLines w:val="0"/>
        <w:pageBreakBefore w:val="0"/>
        <w:numPr>
          <w:numId w:val="0"/>
        </w:numPr>
        <w:kinsoku/>
        <w:overflowPunct/>
        <w:topLinePunct w:val="0"/>
        <w:autoSpaceDE/>
        <w:autoSpaceDN/>
        <w:bidi w:val="0"/>
        <w:adjustRightInd/>
        <w:snapToGrid/>
        <w:spacing w:line="59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用水定额对照《广东省用水定额》（DB44/T1461－2014）确定的用水定额标准，由市水务局负责根据兴宁市水资源状况，结合企业的生产、经营用水实际情况，核定用水户每月的用水定额（计划）；用水企业因经营模式或产品结构调整、生产规模扩大等原因确需增加本年度用水计划指标的，应当以书面形式向市水务局(地点：兴宁市兴东路水利大厦四楼水资源股，联系电话：3397063)提出申请，经批准后方可重新核定用水定额（计划）。</w:t>
      </w:r>
    </w:p>
    <w:p>
      <w:pPr>
        <w:keepNext w:val="0"/>
        <w:keepLines w:val="0"/>
        <w:pageBreakBefore w:val="0"/>
        <w:kinsoku/>
        <w:overflowPunct/>
        <w:topLinePunct w:val="0"/>
        <w:autoSpaceDE/>
        <w:autoSpaceDN/>
        <w:bidi w:val="0"/>
        <w:adjustRightInd/>
        <w:snapToGrid/>
        <w:spacing w:line="590" w:lineRule="exact"/>
        <w:ind w:firstLine="640" w:firstLineChars="200"/>
        <w:rPr>
          <w:rFonts w:ascii="宋体" w:hAnsi="宋体" w:eastAsia="楷体" w:cs="楷体"/>
          <w:sz w:val="32"/>
          <w:szCs w:val="32"/>
        </w:rPr>
      </w:pPr>
      <w:r>
        <w:rPr>
          <w:rFonts w:hint="eastAsia" w:ascii="宋体" w:hAnsi="宋体" w:eastAsia="楷体" w:cs="楷体"/>
          <w:sz w:val="32"/>
          <w:szCs w:val="32"/>
        </w:rPr>
        <w:t>（三）加价水费收取的管理和使用</w:t>
      </w:r>
    </w:p>
    <w:p>
      <w:pPr>
        <w:keepNext w:val="0"/>
        <w:keepLines w:val="0"/>
        <w:pageBreakBefore w:val="0"/>
        <w:kinsoku/>
        <w:overflowPunct/>
        <w:topLinePunct w:val="0"/>
        <w:autoSpaceDE/>
        <w:autoSpaceDN/>
        <w:bidi w:val="0"/>
        <w:adjustRightInd/>
        <w:snapToGrid/>
        <w:spacing w:line="59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非居民用户超定额、超计划用水累进加价收费由市水务局负责征收，可委托供水企业代收代缴。超定额超计划累进加价收入全额上缴市财政，实行“收支两条线”管理，专项用于市人民政府节水管理、节水科研工作和完善取用水计量设施等。</w:t>
      </w:r>
    </w:p>
    <w:p>
      <w:pPr>
        <w:keepNext w:val="0"/>
        <w:keepLines w:val="0"/>
        <w:pageBreakBefore w:val="0"/>
        <w:widowControl/>
        <w:kinsoku/>
        <w:overflowPunct/>
        <w:topLinePunct w:val="0"/>
        <w:autoSpaceDE/>
        <w:autoSpaceDN/>
        <w:bidi w:val="0"/>
        <w:adjustRightInd/>
        <w:snapToGrid/>
        <w:spacing w:line="590" w:lineRule="exact"/>
        <w:ind w:firstLine="640" w:firstLineChars="200"/>
        <w:jc w:val="left"/>
        <w:rPr>
          <w:rFonts w:hint="eastAsia" w:ascii="宋体" w:hAnsi="宋体" w:eastAsia="黑体" w:cs="黑体"/>
          <w:kern w:val="0"/>
          <w:sz w:val="32"/>
          <w:szCs w:val="32"/>
        </w:rPr>
      </w:pPr>
      <w:r>
        <w:rPr>
          <w:rFonts w:hint="eastAsia" w:ascii="宋体" w:hAnsi="宋体" w:eastAsia="黑体" w:cs="黑体"/>
          <w:kern w:val="0"/>
          <w:sz w:val="32"/>
          <w:szCs w:val="32"/>
        </w:rPr>
        <w:t>六、执行时间</w:t>
      </w:r>
    </w:p>
    <w:p>
      <w:pPr>
        <w:keepNext w:val="0"/>
        <w:keepLines w:val="0"/>
        <w:pageBreakBefore w:val="0"/>
        <w:kinsoku/>
        <w:overflowPunct/>
        <w:topLinePunct w:val="0"/>
        <w:autoSpaceDE/>
        <w:autoSpaceDN/>
        <w:bidi w:val="0"/>
        <w:adjustRightInd/>
        <w:snapToGrid/>
        <w:spacing w:line="59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本通知从2021年1月1日（抄见水量）起执行。</w:t>
      </w:r>
    </w:p>
    <w:p>
      <w:pPr>
        <w:keepNext w:val="0"/>
        <w:keepLines w:val="0"/>
        <w:pageBreakBefore w:val="0"/>
        <w:widowControl/>
        <w:kinsoku/>
        <w:overflowPunct/>
        <w:topLinePunct w:val="0"/>
        <w:autoSpaceDE/>
        <w:autoSpaceDN/>
        <w:bidi w:val="0"/>
        <w:adjustRightInd/>
        <w:snapToGrid/>
        <w:spacing w:line="590" w:lineRule="exact"/>
        <w:ind w:firstLine="640" w:firstLineChars="200"/>
        <w:jc w:val="left"/>
        <w:rPr>
          <w:rFonts w:hint="eastAsia" w:ascii="宋体" w:hAnsi="宋体" w:eastAsia="黑体" w:cs="黑体"/>
          <w:kern w:val="0"/>
          <w:sz w:val="32"/>
          <w:szCs w:val="32"/>
        </w:rPr>
      </w:pPr>
      <w:r>
        <w:rPr>
          <w:rFonts w:hint="eastAsia" w:ascii="宋体" w:hAnsi="宋体" w:eastAsia="黑体" w:cs="黑体"/>
          <w:kern w:val="0"/>
          <w:sz w:val="32"/>
          <w:szCs w:val="32"/>
        </w:rPr>
        <w:t>七、解读机关及联系方式</w:t>
      </w:r>
    </w:p>
    <w:p>
      <w:pPr>
        <w:keepNext w:val="0"/>
        <w:keepLines w:val="0"/>
        <w:pageBreakBefore w:val="0"/>
        <w:kinsoku/>
        <w:overflowPunct/>
        <w:topLinePunct w:val="0"/>
        <w:autoSpaceDE/>
        <w:autoSpaceDN/>
        <w:bidi w:val="0"/>
        <w:adjustRightInd/>
        <w:snapToGrid/>
        <w:spacing w:line="590" w:lineRule="exact"/>
        <w:ind w:firstLine="960" w:firstLineChars="300"/>
        <w:rPr>
          <w:rFonts w:ascii="宋体" w:hAnsi="宋体" w:eastAsia="方正仿宋简体" w:cs="方正仿宋简体"/>
          <w:sz w:val="32"/>
          <w:szCs w:val="32"/>
        </w:rPr>
      </w:pPr>
      <w:r>
        <w:rPr>
          <w:rFonts w:hint="eastAsia" w:ascii="宋体" w:hAnsi="宋体" w:eastAsia="方正仿宋简体" w:cs="方正仿宋简体"/>
          <w:sz w:val="32"/>
          <w:szCs w:val="32"/>
        </w:rPr>
        <w:t>解读机关：兴宁市发展和改革局</w:t>
      </w:r>
    </w:p>
    <w:p>
      <w:pPr>
        <w:keepNext w:val="0"/>
        <w:keepLines w:val="0"/>
        <w:pageBreakBefore w:val="0"/>
        <w:widowControl/>
        <w:kinsoku/>
        <w:wordWrap w:val="0"/>
        <w:overflowPunct/>
        <w:topLinePunct w:val="0"/>
        <w:autoSpaceDE/>
        <w:autoSpaceDN/>
        <w:bidi w:val="0"/>
        <w:adjustRightInd/>
        <w:snapToGrid/>
        <w:spacing w:line="590" w:lineRule="exact"/>
        <w:ind w:firstLine="960" w:firstLineChars="300"/>
        <w:jc w:val="left"/>
        <w:textAlignment w:val="baseline"/>
        <w:rPr>
          <w:rFonts w:ascii="宋体" w:hAnsi="宋体" w:eastAsia="方正仿宋简体" w:cs="方正仿宋简体"/>
          <w:sz w:val="32"/>
          <w:szCs w:val="32"/>
        </w:rPr>
      </w:pPr>
      <w:r>
        <w:rPr>
          <w:rFonts w:hint="eastAsia" w:ascii="宋体" w:hAnsi="宋体" w:eastAsia="方正仿宋简体" w:cs="方正仿宋简体"/>
          <w:sz w:val="32"/>
          <w:szCs w:val="32"/>
        </w:rPr>
        <w:t>联系方式：0753－3332996</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baseline"/>
        <w:rPr>
          <w:rFonts w:ascii="宋体" w:hAnsi="宋体" w:eastAsia="方正仿宋简体" w:cs="方正仿宋简体"/>
          <w:kern w:val="0"/>
          <w:sz w:val="32"/>
          <w:szCs w:val="32"/>
        </w:rPr>
      </w:pPr>
    </w:p>
    <w:p>
      <w:pPr>
        <w:keepNext w:val="0"/>
        <w:keepLines w:val="0"/>
        <w:pageBreakBefore w:val="0"/>
        <w:kinsoku/>
        <w:overflowPunct/>
        <w:topLinePunct w:val="0"/>
        <w:autoSpaceDE/>
        <w:autoSpaceDN/>
        <w:bidi w:val="0"/>
        <w:adjustRightInd/>
        <w:snapToGrid/>
        <w:spacing w:line="590" w:lineRule="exact"/>
        <w:ind w:firstLine="640" w:firstLineChars="200"/>
        <w:rPr>
          <w:rFonts w:ascii="宋体" w:hAnsi="宋体" w:eastAsia="方正仿宋简体" w:cs="方正仿宋简体"/>
          <w:bCs/>
          <w:kern w:val="0"/>
          <w:sz w:val="32"/>
          <w:szCs w:val="32"/>
        </w:rPr>
      </w:pPr>
    </w:p>
    <w:p>
      <w:pPr>
        <w:keepNext w:val="0"/>
        <w:keepLines w:val="0"/>
        <w:pageBreakBefore w:val="0"/>
        <w:kinsoku/>
        <w:overflowPunct/>
        <w:topLinePunct w:val="0"/>
        <w:autoSpaceDE/>
        <w:autoSpaceDN/>
        <w:bidi w:val="0"/>
        <w:adjustRightInd/>
        <w:snapToGrid/>
        <w:spacing w:line="590" w:lineRule="exact"/>
        <w:ind w:firstLine="5120" w:firstLineChars="1600"/>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rPr>
        <w:t>兴宁市发展和改革局</w:t>
      </w:r>
      <w:r>
        <w:rPr>
          <w:rFonts w:hint="eastAsia" w:ascii="宋体" w:hAnsi="宋体" w:eastAsia="方正仿宋简体" w:cs="方正仿宋简体"/>
          <w:sz w:val="32"/>
          <w:szCs w:val="32"/>
          <w:lang w:val="en-US" w:eastAsia="zh-CN"/>
        </w:rPr>
        <w:t xml:space="preserve"> </w:t>
      </w:r>
      <w:bookmarkStart w:id="0" w:name="_GoBack"/>
      <w:bookmarkEnd w:id="0"/>
    </w:p>
    <w:p>
      <w:pPr>
        <w:keepNext w:val="0"/>
        <w:keepLines w:val="0"/>
        <w:pageBreakBefore w:val="0"/>
        <w:kinsoku/>
        <w:overflowPunct/>
        <w:topLinePunct w:val="0"/>
        <w:autoSpaceDE/>
        <w:autoSpaceDN/>
        <w:bidi w:val="0"/>
        <w:adjustRightInd/>
        <w:snapToGrid/>
        <w:spacing w:line="590" w:lineRule="exact"/>
        <w:ind w:firstLine="5120" w:firstLineChars="1600"/>
        <w:rPr>
          <w:rFonts w:hint="default" w:ascii="宋体" w:hAnsi="宋体" w:eastAsia="方正仿宋简体" w:cs="方正仿宋简体"/>
          <w:sz w:val="32"/>
          <w:szCs w:val="32"/>
          <w:lang w:val="en-US" w:eastAsia="zh-CN"/>
        </w:rPr>
      </w:pPr>
      <w:r>
        <w:rPr>
          <w:rFonts w:hint="eastAsia" w:ascii="宋体" w:hAnsi="宋体" w:eastAsia="方正仿宋简体" w:cs="方正仿宋简体"/>
          <w:bCs/>
          <w:kern w:val="0"/>
          <w:sz w:val="32"/>
          <w:szCs w:val="32"/>
        </w:rPr>
        <w:t>2020年12月31日</w:t>
      </w:r>
    </w:p>
    <w:sectPr>
      <w:footerReference r:id="rId3" w:type="default"/>
      <w:pgSz w:w="11906" w:h="16838"/>
      <w:pgMar w:top="1984" w:right="1474" w:bottom="175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altName w:val="Arial Unicode MS"/>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_GBK">
    <w:panose1 w:val="02000000000000000000"/>
    <w:charset w:val="86"/>
    <w:family w:val="auto"/>
    <w:pitch w:val="default"/>
    <w:sig w:usb0="A00002BF" w:usb1="38CF7CFA" w:usb2="00082016" w:usb3="00000000" w:csb0="00040001" w:csb1="0000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26.25pt;height:37.25pt;width:35.05pt;mso-position-horizontal:outside;mso-position-horizontal-relative:margin;z-index:251658240;mso-width-relative:page;mso-height-relative:page;" filled="f" stroked="f" coordsize="21600,21600">
          <v:path/>
          <v:fill on="f" focussize="0,0"/>
          <v:stroke on="f" joinstyle="miter"/>
          <v:imagedata o:title=""/>
          <o:lock v:ext="edit"/>
          <v:textbox inset="0mm,0mm,0mm,0mm">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6A067"/>
    <w:multiLevelType w:val="singleLevel"/>
    <w:tmpl w:val="3F76A06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71A32"/>
    <w:rsid w:val="00027E69"/>
    <w:rsid w:val="00044D85"/>
    <w:rsid w:val="00072546"/>
    <w:rsid w:val="000B0BDD"/>
    <w:rsid w:val="00130A8F"/>
    <w:rsid w:val="00143FBB"/>
    <w:rsid w:val="00186744"/>
    <w:rsid w:val="00195856"/>
    <w:rsid w:val="001C7CB6"/>
    <w:rsid w:val="002145B4"/>
    <w:rsid w:val="00220575"/>
    <w:rsid w:val="002233F8"/>
    <w:rsid w:val="00227D53"/>
    <w:rsid w:val="00245395"/>
    <w:rsid w:val="00246239"/>
    <w:rsid w:val="00270F67"/>
    <w:rsid w:val="00271A32"/>
    <w:rsid w:val="002720A1"/>
    <w:rsid w:val="00281A57"/>
    <w:rsid w:val="00282563"/>
    <w:rsid w:val="002A0CE3"/>
    <w:rsid w:val="002F4ED0"/>
    <w:rsid w:val="00307759"/>
    <w:rsid w:val="003175DB"/>
    <w:rsid w:val="003433AE"/>
    <w:rsid w:val="0034489C"/>
    <w:rsid w:val="00346B45"/>
    <w:rsid w:val="003625C8"/>
    <w:rsid w:val="00380507"/>
    <w:rsid w:val="003B53D9"/>
    <w:rsid w:val="003C670C"/>
    <w:rsid w:val="00403386"/>
    <w:rsid w:val="004221D4"/>
    <w:rsid w:val="004244DD"/>
    <w:rsid w:val="0043150F"/>
    <w:rsid w:val="00432624"/>
    <w:rsid w:val="00480CDC"/>
    <w:rsid w:val="004829DC"/>
    <w:rsid w:val="00493BA5"/>
    <w:rsid w:val="004B6BA0"/>
    <w:rsid w:val="004C2DE6"/>
    <w:rsid w:val="004D0429"/>
    <w:rsid w:val="00533FA6"/>
    <w:rsid w:val="0056184C"/>
    <w:rsid w:val="00575053"/>
    <w:rsid w:val="005762B0"/>
    <w:rsid w:val="005822A5"/>
    <w:rsid w:val="00585EBB"/>
    <w:rsid w:val="005E6004"/>
    <w:rsid w:val="005F0BBB"/>
    <w:rsid w:val="00604450"/>
    <w:rsid w:val="00604C43"/>
    <w:rsid w:val="00661AF3"/>
    <w:rsid w:val="00666C1B"/>
    <w:rsid w:val="00690C36"/>
    <w:rsid w:val="006936A0"/>
    <w:rsid w:val="006F766F"/>
    <w:rsid w:val="00700506"/>
    <w:rsid w:val="00713DAE"/>
    <w:rsid w:val="0072740E"/>
    <w:rsid w:val="007475DA"/>
    <w:rsid w:val="007B2C1C"/>
    <w:rsid w:val="007C11AF"/>
    <w:rsid w:val="007E01E8"/>
    <w:rsid w:val="007E4AE9"/>
    <w:rsid w:val="007F1F76"/>
    <w:rsid w:val="00863024"/>
    <w:rsid w:val="00866A63"/>
    <w:rsid w:val="0087170A"/>
    <w:rsid w:val="00871BD3"/>
    <w:rsid w:val="00876AA9"/>
    <w:rsid w:val="008B01DC"/>
    <w:rsid w:val="008B7678"/>
    <w:rsid w:val="00921338"/>
    <w:rsid w:val="00931C49"/>
    <w:rsid w:val="00934DB4"/>
    <w:rsid w:val="00963243"/>
    <w:rsid w:val="009E2C02"/>
    <w:rsid w:val="009E7CBB"/>
    <w:rsid w:val="00A2028A"/>
    <w:rsid w:val="00A716F4"/>
    <w:rsid w:val="00A7178F"/>
    <w:rsid w:val="00A71879"/>
    <w:rsid w:val="00A811C2"/>
    <w:rsid w:val="00AA682F"/>
    <w:rsid w:val="00AF1F92"/>
    <w:rsid w:val="00B06E39"/>
    <w:rsid w:val="00B716CF"/>
    <w:rsid w:val="00B83484"/>
    <w:rsid w:val="00B865B8"/>
    <w:rsid w:val="00C0125A"/>
    <w:rsid w:val="00C12991"/>
    <w:rsid w:val="00C31D15"/>
    <w:rsid w:val="00C44C37"/>
    <w:rsid w:val="00C51E58"/>
    <w:rsid w:val="00C56075"/>
    <w:rsid w:val="00C85DA0"/>
    <w:rsid w:val="00CA67FE"/>
    <w:rsid w:val="00CD5C59"/>
    <w:rsid w:val="00CE3EEE"/>
    <w:rsid w:val="00CF352D"/>
    <w:rsid w:val="00D118EF"/>
    <w:rsid w:val="00D27AEB"/>
    <w:rsid w:val="00D526B6"/>
    <w:rsid w:val="00D67B0A"/>
    <w:rsid w:val="00D86A2E"/>
    <w:rsid w:val="00DA0397"/>
    <w:rsid w:val="00DE1058"/>
    <w:rsid w:val="00DE5987"/>
    <w:rsid w:val="00E07B5D"/>
    <w:rsid w:val="00E65232"/>
    <w:rsid w:val="00E674D6"/>
    <w:rsid w:val="00EA72E6"/>
    <w:rsid w:val="00EB61D5"/>
    <w:rsid w:val="00EC6E2C"/>
    <w:rsid w:val="00F45487"/>
    <w:rsid w:val="00F53FB2"/>
    <w:rsid w:val="00F6542A"/>
    <w:rsid w:val="00F678BE"/>
    <w:rsid w:val="00F7414D"/>
    <w:rsid w:val="00F943CA"/>
    <w:rsid w:val="21981ABA"/>
    <w:rsid w:val="5AF01773"/>
    <w:rsid w:val="5F46272E"/>
    <w:rsid w:val="6B5E707E"/>
    <w:rsid w:val="7A065B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6"/>
    <w:semiHidden/>
    <w:unhideWhenUsed/>
    <w:qFormat/>
    <w:uiPriority w:val="99"/>
    <w:pPr>
      <w:tabs>
        <w:tab w:val="center" w:pos="4153"/>
        <w:tab w:val="right" w:pos="8306"/>
      </w:tabs>
      <w:snapToGrid w:val="0"/>
      <w:jc w:val="left"/>
    </w:pPr>
    <w:rPr>
      <w:sz w:val="18"/>
      <w:szCs w:val="18"/>
    </w:rPr>
  </w:style>
  <w:style w:type="paragraph" w:styleId="4">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semiHidden/>
    <w:unhideWhenUsed/>
    <w:qFormat/>
    <w:uiPriority w:val="99"/>
    <w:rPr>
      <w:color w:val="0000FF"/>
      <w:u w:val="single"/>
    </w:rPr>
  </w:style>
  <w:style w:type="character" w:customStyle="1" w:styleId="11">
    <w:name w:val="标题 2 Char"/>
    <w:basedOn w:val="7"/>
    <w:link w:val="2"/>
    <w:qFormat/>
    <w:uiPriority w:val="9"/>
    <w:rPr>
      <w:rFonts w:ascii="宋体" w:hAnsi="宋体" w:eastAsia="宋体" w:cs="宋体"/>
      <w:b/>
      <w:bCs/>
      <w:kern w:val="0"/>
      <w:sz w:val="36"/>
      <w:szCs w:val="36"/>
    </w:rPr>
  </w:style>
  <w:style w:type="character" w:customStyle="1" w:styleId="12">
    <w:name w:val="source"/>
    <w:basedOn w:val="7"/>
    <w:qFormat/>
    <w:uiPriority w:val="0"/>
  </w:style>
  <w:style w:type="character" w:customStyle="1" w:styleId="13">
    <w:name w:val="rich_media_meta"/>
    <w:basedOn w:val="7"/>
    <w:qFormat/>
    <w:uiPriority w:val="0"/>
  </w:style>
  <w:style w:type="character" w:customStyle="1" w:styleId="14">
    <w:name w:val="apple-converted-space"/>
    <w:basedOn w:val="7"/>
    <w:qFormat/>
    <w:uiPriority w:val="0"/>
  </w:style>
  <w:style w:type="character" w:customStyle="1" w:styleId="15">
    <w:name w:val="页眉 Char"/>
    <w:basedOn w:val="7"/>
    <w:link w:val="4"/>
    <w:semiHidden/>
    <w:qFormat/>
    <w:uiPriority w:val="99"/>
    <w:rPr>
      <w:sz w:val="18"/>
      <w:szCs w:val="18"/>
    </w:rPr>
  </w:style>
  <w:style w:type="character" w:customStyle="1" w:styleId="16">
    <w:name w:val="页脚 Char"/>
    <w:basedOn w:val="7"/>
    <w:link w:val="3"/>
    <w:semiHidden/>
    <w:qFormat/>
    <w:uiPriority w:val="99"/>
    <w:rPr>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214</Words>
  <Characters>1221</Characters>
  <Lines>10</Lines>
  <Paragraphs>2</Paragraphs>
  <TotalTime>106</TotalTime>
  <ScaleCrop>false</ScaleCrop>
  <LinksUpToDate>false</LinksUpToDate>
  <CharactersWithSpaces>1433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2020-01-06T09:35:00Z</dcterms:created>
  <dc:creator>微软用户</dc:creator>
  <cp:lastModifiedBy>发改局</cp:lastModifiedBy>
  <cp:lastPrinted>2021-01-07T01:24:30Z</cp:lastPrinted>
  <dcterms:modified xsi:type="dcterms:W3CDTF">2021-01-07T01:31:37Z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924024014_cloud</vt:lpwstr>
  </property>
</Properties>
</file>